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2 of EgyptResultsInitial.docx, the final Table 2, the rebuilt ad hoc calculations and the prototype: what differs and why (2030), v0.5</w:t>
      </w:r>
    </w:p>
    <w:p>
      <w:r>
        <w:rPr>
          <w:b/>
        </w:rPr>
        <w:t>Sources.</w:t>
      </w:r>
    </w:p>
    <w:p>
      <w:pPr>
        <w:pStyle w:val="ListBullet"/>
      </w:pPr>
      <w:r>
        <w:t xml:space="preserve">(i) Table 2 and the narrative of </w:t>
      </w:r>
      <w:r>
        <w:rPr>
          <w:rFonts w:ascii="Consolas" w:hAnsi="Consolas" w:eastAsia="Consolas"/>
        </w:rPr>
        <w:t>EgyptResultsInitial.docx</w:t>
      </w:r>
      <w:r>
        <w:t>.</w:t>
      </w:r>
    </w:p>
    <w:p>
      <w:pPr>
        <w:pStyle w:val="ListBullet"/>
      </w:pPr>
      <w:r>
        <w:t>(ii) The final Table 2: CBAM carve-out (</w:t>
      </w:r>
      <w:r>
        <w:rPr>
          <w:rFonts w:ascii="Consolas" w:hAnsi="Consolas" w:eastAsia="Consolas"/>
        </w:rPr>
        <w:t>EGYPT_CarveOut_Table2_v1.6</w:t>
      </w:r>
      <w:r>
        <w:t xml:space="preserve">; kernel sheets </w:t>
      </w:r>
      <w:r>
        <w:rPr>
          <w:rFonts w:ascii="Consolas" w:hAnsi="Consolas" w:eastAsia="Consolas"/>
        </w:rPr>
        <w:t>CarveOut_Table2</w:t>
      </w:r>
      <w:r>
        <w:t xml:space="preserve">, </w:t>
      </w:r>
      <w:r>
        <w:rPr>
          <w:rFonts w:ascii="Consolas" w:hAnsi="Consolas" w:eastAsia="Consolas"/>
        </w:rPr>
        <w:t>Table2_Final</w:t>
      </w:r>
      <w:r>
        <w:t>).</w:t>
      </w:r>
    </w:p>
    <w:p>
      <w:pPr>
        <w:pStyle w:val="ListBullet"/>
      </w:pPr>
      <w:r>
        <w:t xml:space="preserve">(iii) Rebuild v0.5: </w:t>
      </w:r>
      <w:r>
        <w:rPr>
          <w:rFonts w:ascii="Consolas" w:hAnsi="Consolas" w:eastAsia="Consolas"/>
        </w:rPr>
        <w:t>AdHocCalculations_Rebuild_v0.5.xlsx</w:t>
      </w:r>
      <w:r>
        <w:t xml:space="preserve">, </w:t>
      </w:r>
      <w:r>
        <w:rPr>
          <w:rFonts w:ascii="Consolas" w:hAnsi="Consolas" w:eastAsia="Consolas"/>
        </w:rPr>
        <w:t>Mode</w:t>
      </w:r>
      <w:r>
        <w:t xml:space="preserve"> = REBUILD, </w:t>
      </w:r>
      <w:r>
        <w:rPr>
          <w:rFonts w:ascii="Consolas" w:hAnsi="Consolas" w:eastAsia="Consolas"/>
        </w:rPr>
        <w:t>Conv</w:t>
      </w:r>
      <w:r>
        <w:t xml:space="preserve"> = FULL, </w:t>
      </w:r>
      <w:r>
        <w:rPr>
          <w:rFonts w:ascii="Consolas" w:hAnsi="Consolas" w:eastAsia="Consolas"/>
        </w:rPr>
        <w:t>ThetaOther</w:t>
      </w:r>
      <w:r>
        <w:t xml:space="preserve"> = 1, </w:t>
      </w:r>
      <w:r>
        <w:rPr>
          <w:rFonts w:ascii="Consolas" w:hAnsi="Consolas" w:eastAsia="Consolas"/>
        </w:rPr>
        <w:t>KappaMode</w:t>
      </w:r>
      <w:r>
        <w:t xml:space="preserve"> = SCALE (see </w:t>
      </w:r>
      <w:r>
        <w:rPr>
          <w:rFonts w:ascii="Consolas" w:hAnsi="Consolas" w:eastAsia="Consolas"/>
        </w:rPr>
        <w:t>MethodologyNote_v0.5.md</w:t>
      </w:r>
      <w:r>
        <w:t>).</w:t>
      </w:r>
    </w:p>
    <w:p>
      <w:pPr>
        <w:pStyle w:val="ListBullet"/>
      </w:pPr>
      <w:r>
        <w:t xml:space="preserve">(iv) Prototype: kernel </w:t>
      </w:r>
      <w:r>
        <w:rPr>
          <w:rFonts w:ascii="Consolas" w:hAnsi="Consolas" w:eastAsia="Consolas"/>
        </w:rPr>
        <w:t>CPAT_Industry_Kernel_Egypt_v1.6.xlsx</w:t>
      </w:r>
      <w:r>
        <w:t xml:space="preserve">, sheet </w:t>
      </w:r>
      <w:r>
        <w:rPr>
          <w:rFonts w:ascii="Consolas" w:hAnsi="Consolas" w:eastAsia="Consolas"/>
        </w:rPr>
        <w:t>Table2_Industry</w:t>
      </w:r>
      <w:r>
        <w:t xml:space="preserve"> (stored 2030 snapshot, kernel composition).</w:t>
      </w:r>
    </w:p>
    <w:p>
      <w:r>
        <w:t>All values are for 2030 at USD 20/t. The rebuild and the prototype scale EG3 to full industrial coverage (a linear approximation); the final Table 2 uses EG3 as run. All three models use output elasticities by product (cement −0.10, steel and fertilisers −0.40, aluminium −0.50; the rebuild's PROTOTYPE mode keeps −0.5).</w:t>
      </w:r>
    </w:p>
    <w:p>
      <w:pPr>
        <w:pStyle w:val="Heading2"/>
      </w:pPr>
      <w:r>
        <w:t>1. Side by side (2030)</w:t>
      </w:r>
    </w:p>
    <w:p>
      <w:r>
        <w:rPr>
          <w:b/>
        </w:rPr>
        <w:t>Total emissions reduction, MtCO₂e (K)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(initial)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−38.9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−18.1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Final 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−34.7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−31.9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−33.7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−30.8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−27.1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−28.6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−23.4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−19.4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−17.4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−31.6</w:t>
            </w:r>
          </w:p>
        </w:tc>
      </w:tr>
    </w:tbl>
    <w:p/>
    <w:p>
      <w:r>
        <w:rPr>
          <w:b/>
        </w:rPr>
        <w:t>Carbon revenue, $bn (P)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(initial)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Final 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0.7</w:t>
            </w:r>
          </w:p>
        </w:tc>
      </w:tr>
    </w:tbl>
    <w:p/>
    <w:p>
      <w:r>
        <w:rPr>
          <w:b/>
        </w:rPr>
        <w:t>Air-pollution deaths avoided per year (Q)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(initial)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546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345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621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Final 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1,440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1,492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509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330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606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412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997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1,472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746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984</w:t>
            </w:r>
          </w:p>
        </w:tc>
      </w:tr>
    </w:tbl>
    <w:p/>
    <w:p>
      <w:r>
        <w:rPr>
          <w:b/>
        </w:rPr>
        <w:t>CBAM-sector emission intensity change, % (N)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(initial)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Final 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−23.1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−11.2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−21.1</w:t>
            </w:r>
          </w:p>
        </w:tc>
      </w:tr>
    </w:tbl>
    <w:p/>
    <w:p>
      <w:r>
        <w:rPr>
          <w:b/>
        </w:rPr>
        <w:t>National GHG covered, % (J)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(initial)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Final 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18.5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18.5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18.5</w:t>
            </w:r>
          </w:p>
        </w:tc>
      </w:tr>
    </w:tbl>
    <w:p/>
    <w:p>
      <w:r>
        <w:rPr>
          <w:b/>
        </w:rPr>
        <w:t>CBAM obligations, % per unit exported (O).</w:t>
      </w:r>
      <w:r>
        <w:t xml:space="preserve"> The final Table 2 reports the intensity-only measure (−5.4 / −2.6 / −2.7 / −5.4 / −5.4 / −20.7). The rebuild and the prototype report the deduction-based obligation; it is not comparable with the final row 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(initial, ≈ NOPHASE)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−30.4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FULL (NOPHASE)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−44.4 (−24.3)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−23.1 (−12.5)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−23.1 (−12.5)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−44.4 (−24.3)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−5.4 (−5.4)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−47.4 (−28.4)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FULL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−42.9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−42.9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−51.9</w:t>
            </w:r>
          </w:p>
        </w:tc>
      </w:tr>
    </w:tbl>
    <w:p/>
    <w:p>
      <w:r>
        <w:rPr>
          <w:b/>
        </w:rPr>
        <w:t>Other PolicyMatrix columns</w:t>
      </w:r>
      <w:r>
        <w:t xml:space="preserve"> (rebuild; not in Table 2): T block emissions, % 1A −7.2, 2A −2.8, 2B −2.8, 3A −7.2, 3B −5.8, 3C −12.6. U block output, % 1A −1.5, 2A −0.7, 2B −0.7, 3A −1.5, 3B 0.0, 3C −1.5. AR change in net revenue, $bn 1A 10.43, 2A 10.43, 2B 10.62, 3A 2.69, 3B 0.51, 3C 0.36.</w:t>
      </w:r>
    </w:p>
    <w:p>
      <w:pPr>
        <w:pStyle w:val="Heading2"/>
      </w:pPr>
      <w:r>
        <w:t>2. Why the models differ</w:t>
      </w:r>
    </w:p>
    <w:p>
      <w:pPr>
        <w:pStyle w:val="ListBullet"/>
      </w:pPr>
      <w:r>
        <w:rPr>
          <w:b/>
        </w:rPr>
        <w:t>Scope of the national response.</w:t>
      </w:r>
      <w:r>
        <w:t xml:space="preserve"> The final Table 2 keeps CPAT's own response everywhere except the CBAM block and uses EG3 as run, so 3A–3C are lower bounds (coverage 14%). The rebuild and the prototype scale EG3's industry response by 1/κ (κ = 0.537), which raises coverage to 18.5–20.8% and the 3A–3C reductions.</w:t>
      </w:r>
    </w:p>
    <w:p>
      <w:pPr>
        <w:pStyle w:val="ListBullet"/>
      </w:pPr>
      <w:r>
        <w:rPr>
          <w:b/>
        </w:rPr>
        <w:t>IPPU.</w:t>
      </w:r>
      <w:r>
        <w:t xml:space="preserve"> The final Table 2 keeps CPAT's proportional IPPU response for non-CBAM IPPU. The rebuild removes CPAT's IPPU scaling altogether (</w:t>
      </w:r>
      <w:r>
        <w:rPr>
          <w:rFonts w:ascii="Consolas" w:hAnsi="Consolas" w:eastAsia="Consolas"/>
        </w:rPr>
        <w:t>IppuOther</w:t>
      </w:r>
      <w:r>
        <w:t xml:space="preserve"> = NONE); the prototype replaces it by the kernel's IPPU. This is the main reason the rebuild's 1A–2B cuts (−27 to −30 Mt) are smaller than the final Table 2's.</w:t>
      </w:r>
    </w:p>
    <w:p>
      <w:pPr>
        <w:pStyle w:val="ListBullet"/>
      </w:pPr>
      <w:r>
        <w:rPr>
          <w:b/>
        </w:rPr>
        <w:t>3B rebate scope.</w:t>
      </w:r>
      <w:r>
        <w:t xml:space="preserve"> The rebuild and the final Table 2 rebate all covered industry; the prototype rebates the CBAM block only, so its 3B cut is larger and its revenue higher.</w:t>
      </w:r>
    </w:p>
    <w:p>
      <w:pPr>
        <w:pStyle w:val="ListBullet"/>
      </w:pPr>
      <w:r>
        <w:rPr>
          <w:b/>
        </w:rPr>
        <w:t>3C fund.</w:t>
      </w:r>
      <w:r>
        <w:t xml:space="preserve"> The rebuild sends all industrial carbon revenue to the fund at a fixed USD 20/t shadow price (net revenue 0). The prototype's fund equals the block's own payments after abatement, solved as a fixed point, and the final Table 2 takes the prototype's fund.</w:t>
      </w:r>
    </w:p>
    <w:p>
      <w:pPr>
        <w:pStyle w:val="ListBullet"/>
      </w:pPr>
      <w:r>
        <w:rPr>
          <w:b/>
        </w:rPr>
        <w:t>Data vintage.</w:t>
      </w:r>
      <w:r>
        <w:t xml:space="preserve"> The prototype combines changes from two CPAT data vintages (industry energy CO₂ 75.4 Mt stored against 89.0 Mt in the new Egypt runs); this lowers its coverage and revenue for 3A–3C.</w:t>
      </w:r>
    </w:p>
    <w:p>
      <w:pPr>
        <w:pStyle w:val="ListBullet"/>
      </w:pPr>
      <w:r>
        <w:rPr>
          <w:b/>
        </w:rPr>
        <w:t>Fixed block fuel intensity in the prototype.</w:t>
      </w:r>
      <w:r>
        <w:t xml:space="preserve"> Its CBAM intensity change for 2A/2B is 0 (rebuild and final Table 2 about −2%).</w:t>
      </w:r>
    </w:p>
    <w:p>
      <w:pPr>
        <w:pStyle w:val="ListBullet"/>
      </w:pPr>
      <w:r>
        <w:rPr>
          <w:b/>
        </w:rPr>
        <w:t>Obligations.</w:t>
      </w:r>
      <w:r>
        <w:t xml:space="preserve"> The rebuild and the prototype compute a deduction-based obligation (FULL: 2030 phase-in, CBAM factor 0.485; NOPHASE: factor 1). The final Table 2 reports the CBAM-product intensity change only.</w:t>
      </w:r>
    </w:p>
    <w:p>
      <w:pPr>
        <w:pStyle w:val="Heading2"/>
      </w:pPr>
      <w:r>
        <w:t>3. Internal inconsistencies in EgyptResultsInitial.docx</w:t>
      </w:r>
    </w:p>
    <w:p>
      <w:pPr>
        <w:pStyle w:val="ListNumber"/>
      </w:pPr>
      <w:r>
        <w:rPr>
          <w:b/>
        </w:rPr>
        <w:t>3B reduction:</w:t>
      </w:r>
      <w:r>
        <w:t xml:space="preserve"> the table gives −18.1 Mt, the text 13.6 Mt.</w:t>
      </w:r>
    </w:p>
    <w:p>
      <w:pPr>
        <w:pStyle w:val="ListNumber"/>
      </w:pPr>
      <w:r>
        <w:rPr>
          <w:b/>
        </w:rPr>
        <w:t>Mixed bases.</w:t>
      </w:r>
      <w:r>
        <w:t xml:space="preserve"> "5–17% of Egypt's annual CO₂ of about 249 Mt" uses a CO₂-only base, while the coverage shares use total GHG (594 Mt).</w:t>
      </w:r>
    </w:p>
    <w:p>
      <w:pPr>
        <w:pStyle w:val="ListNumber"/>
      </w:pPr>
      <w:r>
        <w:rPr>
          <w:b/>
        </w:rPr>
        <w:t>Obligations and intensity:</w:t>
      </w:r>
      <w:r>
        <w:t xml:space="preserve"> the text says "about 8 to 30%" for obligations and "nearly 8%" for intensity, while the table gives −7.6%.</w:t>
      </w:r>
    </w:p>
    <w:p>
      <w:pPr>
        <w:pStyle w:val="ListNumber"/>
      </w:pPr>
      <w:r>
        <w:rPr>
          <w:b/>
        </w:rPr>
        <w:t>3A revenue:</w:t>
      </w:r>
      <w:r>
        <w:t xml:space="preserve"> 1.1 $bn (gross block payments) against 2.38 in the workbook cell.</w:t>
      </w:r>
    </w:p>
    <w:p>
      <w:pPr>
        <w:pStyle w:val="ListNumber"/>
      </w:pPr>
      <w:r>
        <w:rPr>
          <w:b/>
        </w:rPr>
        <w:t>Coverage:</w:t>
      </w:r>
      <w:r>
        <w:t xml:space="preserve"> 72/65% is typed in; the workbook's own columns imply 59/53% and 24.3%.</w:t>
      </w:r>
    </w:p>
    <w:p>
      <w:pPr>
        <w:pStyle w:val="Heading2"/>
      </w:pPr>
      <w:r>
        <w:t>4. Caveats that matter for this comparison</w:t>
      </w:r>
    </w:p>
    <w:p>
      <w:pPr>
        <w:pStyle w:val="ListBullet"/>
      </w:pPr>
      <w:r>
        <w:t>The 1/κ scaling is linear; a full-coverage EG3 CPAT run would differ (fuel mix of aluminium and other manufacturing, general-equilibrium effects).</w:t>
      </w:r>
    </w:p>
    <w:p>
      <w:pPr>
        <w:pStyle w:val="ListBullet"/>
      </w:pPr>
      <w:r>
        <w:t>The 3C fund convention and the 3B rebate scope differ between the models (section 2).</w:t>
      </w:r>
    </w:p>
    <w:p>
      <w:pPr>
        <w:pStyle w:val="ListBullet"/>
      </w:pPr>
      <w:r>
        <w:t>Block fuel intensity is fixed in the prototype; process β is not routed to fp.</w:t>
      </w:r>
    </w:p>
    <w:p>
      <w:pPr>
        <w:pStyle w:val="ListBullet"/>
      </w:pPr>
      <w:r>
        <w:t xml:space="preserve">Provisional parameters: the Egypt EF v0.1 VERIFY list is open; AN 50% abatement blend; aluminium combined β; ammonia/urea β = 0; output elasticities are judgements (Low–Medium confidence). See </w:t>
      </w:r>
      <w:r>
        <w:rPr>
          <w:rFonts w:ascii="Consolas" w:hAnsi="Consolas" w:eastAsia="Consolas"/>
        </w:rPr>
        <w:t>EGYPT_FinalCaveats_v1.6</w:t>
      </w:r>
      <w:r>
        <w:t>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