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Table 2 of EgyptResultsInitial.docx vs the rebuilt ad hoc calculations vs the final prototype — what differs and why (2030), v0.2</w:t>
      </w:r>
    </w:p>
    <w:p>
      <w:r>
        <w:rPr>
          <w:b/>
        </w:rPr>
        <w:t>Sources.</w:t>
      </w:r>
      <w:r>
        <w:t xml:space="preserve"> (i) Table 2 and narrative of </w:t>
      </w:r>
      <w:r>
        <w:rPr>
          <w:rFonts w:ascii="Consolas" w:hAnsi="Consolas" w:eastAsia="Consolas"/>
        </w:rPr>
        <w:t>EgyptResultsInitial.docx</w:t>
      </w:r>
      <w:r>
        <w:t xml:space="preserve"> (typed values; 2030 cells of </w:t>
      </w:r>
      <w:r>
        <w:rPr>
          <w:rFonts w:ascii="Consolas" w:hAnsi="Consolas" w:eastAsia="Consolas"/>
        </w:rPr>
        <w:t>AdHocCalculations.xlsb</w:t>
      </w:r>
      <w:r>
        <w:t xml:space="preserve"> where they differ). (ii) Rebuild v0.2: </w:t>
      </w:r>
      <w:r>
        <w:rPr>
          <w:rFonts w:ascii="Consolas" w:hAnsi="Consolas" w:eastAsia="Consolas"/>
        </w:rPr>
        <w:t>AdHocCalculations_Rebuild_v0.2.xlsx</w:t>
      </w:r>
      <w:r>
        <w:t xml:space="preserve">, </w:t>
      </w:r>
      <w:r>
        <w:rPr>
          <w:rFonts w:ascii="Consolas" w:hAnsi="Consolas" w:eastAsia="Consolas"/>
        </w:rPr>
        <w:t>Mode</w:t>
      </w:r>
      <w:r>
        <w:t xml:space="preserve"> = REBUILD, </w:t>
      </w:r>
      <w:r>
        <w:rPr>
          <w:rFonts w:ascii="Consolas" w:hAnsi="Consolas" w:eastAsia="Consolas"/>
        </w:rPr>
        <w:t>Conv</w:t>
      </w:r>
      <w:r>
        <w:t xml:space="preserve"> = NOPHASE, </w:t>
      </w:r>
      <w:r>
        <w:rPr>
          <w:rFonts w:ascii="Consolas" w:hAnsi="Consolas" w:eastAsia="Consolas"/>
        </w:rPr>
        <w:t>EFSet</w:t>
      </w:r>
      <w:r>
        <w:t xml:space="preserve"> = EGY_EF_V01, </w:t>
      </w:r>
      <w:r>
        <w:rPr>
          <w:rFonts w:ascii="Consolas" w:hAnsi="Consolas" w:eastAsia="Consolas"/>
        </w:rPr>
        <w:t>Yr</w:t>
      </w:r>
      <w:r>
        <w:t xml:space="preserve"> = 2030 (PolicyMatrix rows 7–12; </w:t>
      </w:r>
      <w:r>
        <w:rPr>
          <w:rFonts w:ascii="Consolas" w:hAnsi="Consolas" w:eastAsia="Consolas"/>
        </w:rPr>
        <w:t>MethodologyNote_v0.2.md</w:t>
      </w:r>
      <w:r>
        <w:t xml:space="preserve">). (iii) Final prototype: </w:t>
      </w:r>
      <w:r>
        <w:rPr>
          <w:rFonts w:ascii="Consolas" w:hAnsi="Consolas" w:eastAsia="Consolas"/>
        </w:rPr>
        <w:t>CPAT_Industry_Kernel_Egypt_v0.15.xlsx</w:t>
      </w:r>
      <w:r>
        <w:t xml:space="preserve">, sheet </w:t>
      </w:r>
      <w:r>
        <w:rPr>
          <w:rFonts w:ascii="Consolas" w:hAnsi="Consolas" w:eastAsia="Consolas"/>
        </w:rPr>
        <w:t>Table2_Industry</w:t>
      </w:r>
      <w:r>
        <w:t xml:space="preserve"> (stored 2030 snapshot = live), </w:t>
      </w:r>
      <w:r>
        <w:rPr>
          <w:rFonts w:ascii="Consolas" w:hAnsi="Consolas" w:eastAsia="Consolas"/>
        </w:rPr>
        <w:t>Manual inputs</w:t>
      </w:r>
      <w:r>
        <w:t xml:space="preserve"> at default (Egypt CBAM EF v0.1, Task D IPCC β, output response ON, </w:t>
      </w:r>
      <w:r>
        <w:rPr>
          <w:rFonts w:ascii="Consolas" w:hAnsi="Consolas" w:eastAsia="Consolas"/>
        </w:rPr>
        <w:t>IppuOther</w:t>
      </w:r>
      <w:r>
        <w:t xml:space="preserve"> = NONE, CBAM convention FULL; NOPHASE values of O obtained by switching E76). All values 2030, carbon price 20 $/t in every bundle.</w:t>
      </w:r>
    </w:p>
    <w:p>
      <w:r>
        <w:rPr>
          <w:b/>
        </w:rPr>
        <w:t>What changed vs v0.1 of this note.</w:t>
      </w:r>
      <w:r>
        <w:t xml:space="preserve"> Both models now use the same emission factors (Egypt CBAM EF v0.1; block baseline 62.42 Mt in 2030) and the same IPCC process semi-elasticities (Task D). The prototype's placeholder β (≈ ¼ of the IPCC set) is gone, and a formula bug in its non-CO₂ process rows is fixed. The prototype–rebuild gap therefore no longer reflects β; it reflects scope (four kernel sectors vs all industry), the fixed block fuel intensity, the data-vintage mix and the fund design.</w:t>
      </w:r>
    </w:p>
    <w:p>
      <w:r>
        <w:rPr>
          <w:b/>
        </w:rPr>
        <w:t>Scope.</w:t>
      </w:r>
      <w:r>
        <w:t xml:space="preserve"> Table 2 and the rebuild are national (CPAT runs EG1 = 1A/2A, EG2 = 2B, EG3 = 3A–3C, plus the CBAM block). The prototype's national columns (J, K, P, Q) are a composition: CPAT deltas of the same runs with the industry/IPPU part replaced by the kernel's own response. For industry-only bundles only the four kernel sectors (16.4 Mt energy CO₂) are priced, not all industry (89 Mt in the CPAT run).</w:t>
      </w:r>
    </w:p>
    <w:p>
      <w:pPr>
        <w:pStyle w:val="Heading2"/>
      </w:pPr>
      <w:r>
        <w:t>1. Side by side (2030)</w:t>
      </w:r>
    </w:p>
    <w:p>
      <w:r>
        <w:rPr>
          <w:b/>
        </w:rPr>
        <w:t>Carbon revenues raised, $bn (Table 2 col. 6; 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Original xlsb 2030 cell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5.77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5.18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5.18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2.38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v0.2, net (gross)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6.83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6.19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1.53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0.32 (1.57; rebate 1.25)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 (1.48 to fund)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v0.15, net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6.87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−0.02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−0.47</w:t>
            </w:r>
          </w:p>
        </w:tc>
      </w:tr>
    </w:tbl>
    <w:p/>
    <w:p>
      <w:r>
        <w:rPr>
          <w:b/>
        </w:rPr>
        <w:t>Total emissions reduction, MtCO₂e (col. 7; 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 (text)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−38.9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−41.0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−18.1 (13.6)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−24.5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−31.8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−27.8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−29.3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−18.2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−22.6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v0.15 (composition)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−29.8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−27.1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−11.8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−8.6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−23.9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block only (emrt)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−18.3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*memo:* rebuild v0.1 / prototype v0.14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−31.6 / −27.7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−27.7 / −25.7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−29.3 / −27.0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−18.0 / −9.7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−12.8 / −6.6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−22.4 / −17.3</w:t>
            </w:r>
          </w:p>
        </w:tc>
      </w:tr>
    </w:tbl>
    <w:p/>
    <w:p>
      <w:r>
        <w:rPr>
          <w:b/>
        </w:rPr>
        <w:t>CBAM coverage, % of CBAM-sector emissions (col. 8; 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 / original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44.5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44.5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v0.2 = prototype v0.15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44.2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44.2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</w:tr>
    </w:tbl>
    <w:p/>
    <w:p>
      <w:r>
        <w:t>(Fuel share of block emissions when only fuels are priced; moves from 44.5 to 44.2 with the Egypt EFs.)</w:t>
      </w:r>
    </w:p>
    <w:p>
      <w:r>
        <w:rPr>
          <w:b/>
        </w:rPr>
        <w:t>Emission-intensity reduction, CBAM sectors, % (col. 9; 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−12.7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v0.15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−24.8</w:t>
            </w:r>
          </w:p>
        </w:tc>
      </w:tr>
    </w:tbl>
    <w:p/>
    <w:p>
      <w:r>
        <w:rPr>
          <w:b/>
        </w:rPr>
        <w:t>CBAM obligations reduced, % per unit exported (col. 10; 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 (≈ NOPHASE)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−26.1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−26.1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−30.4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NOPHASE (FULL)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−24.8 (−44.8)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−12.5 (−23.1)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−12.5 (−23.1)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−24.8 (−44.8)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−6.0 (−6.0)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−29.3 (−48.1)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NOPHASE (FULL, default)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−22.8 (−43.3)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−10.5 (−21.6)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−10.5 (−21.6)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−22.8 (−43.3)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−3.5 (−3.5)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−36.9 (−53.6)</w:t>
            </w:r>
          </w:p>
        </w:tc>
      </w:tr>
    </w:tbl>
    <w:p/>
    <w:p>
      <w:r>
        <w:rPr>
          <w:b/>
        </w:rPr>
        <w:t>Air-pollution deaths avoided per year (col. 11; 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1,656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546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345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621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546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410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633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v0.15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1,441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1,441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1,497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278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239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366</w:t>
            </w:r>
          </w:p>
        </w:tc>
      </w:tr>
    </w:tbl>
    <w:p/>
    <w:p>
      <w:r>
        <w:rPr>
          <w:b/>
        </w:rPr>
        <w:t>National GHG covered, % (col. 3 text; J)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 text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72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Original xlsb J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72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24.3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24.3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24.3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13.9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13.9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13.9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v0.15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8.6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8.6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8.6</w:t>
            </w:r>
          </w:p>
        </w:tc>
      </w:tr>
    </w:tbl>
    <w:p/>
    <w:p>
      <w:r>
        <w:t>Other PolicyMatrix columns (not in Table 2), rebuild / prototype: T block emissions −12.3/−10.2, −4.7/−2.6, −4.7/−2.6, −12.3/−10.2, −6.6/−4.4, −18.0/−29.4 %; U block output −6.1/−6.1, −2.6/−2.6, −2.6/−2.6, −6.1/−6.1, 0/0, −6.1/−6.1 %; AR Δnet revenue 10.43/11.07, 10.43/10.47, 10.62/10.67, 2.69/2.65, 1.44/1.74, 1.21/1.29 $bn (original 10.62 for 1A–2B, 2.69, 0, –).</w:t>
      </w:r>
    </w:p>
    <w:p>
      <w:pPr>
        <w:pStyle w:val="Heading2"/>
      </w:pPr>
      <w:r>
        <w:t>2. Why K differs — decomposition, MtCO₂e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CPAT ΔGHG of the run (common start)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−38.88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−38.88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−41.00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*Table 2 / original:* extra terms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−2.74 (1A built on EG2 −41.00 − 0.62 legacy process term)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K = −13.59·(2/3)/0.5 (untraceable)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−2.94 (untraceable)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*Rebuild:* remove CPAT's proportional IPPU scaling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+11.96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+11.96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+12.56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+8.26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+8.26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+8.26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*Rebuild:* block process intensity ER_p (IPCC β, 20 $/t; 3C: 40 $/t)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−2.57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−2.57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−2.76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−4.94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*Rebuild:* block process output channel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−2.30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−0.90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−0.90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−2.30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−2.30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*Rebuild:* OBR correction D_obr / fund fuel F_fund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–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–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–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–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+3.29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−2.10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Rebuild K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−31.79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−27.82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−29.34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−18.15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−12.74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−22.62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*Prototype:* IPPU replacement (kernel ΔIPPU − CPAT ΔIPPU)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+6.98 (−4.98 + 11.96)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+10.95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+11.56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+3.29 (−4.98 + 8.26)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+5.51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−6.68 (−14.94 + 8.26)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*Prototype:* industry-energy replacement (kernel composition − CPAT ΔInd)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+2.11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+2.11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+2.32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+6.49 (−2.06 + 8.55)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+7.42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+4.35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Prototype K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−29.79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−25.82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−27.12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−11.77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−8.62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−23.87</w:t>
            </w:r>
          </w:p>
        </w:tc>
      </w:tr>
    </w:tbl>
    <w:p/>
    <w:p>
      <w:pPr>
        <w:pStyle w:val="ListBullet"/>
      </w:pPr>
      <w:r>
        <w:rPr>
          <w:b/>
        </w:rPr>
        <w:t>Table 2 → rebuild (10–12 Mt less for 1A–2B, 3.4 for 3A):</w:t>
      </w:r>
      <w:r>
        <w:t xml:space="preserve"> CPAT scales *all* IPPU (86 Mt) with industrial fuel CO₂ (−13.9 % → −12 Mt), which a fuel price cannot do; the rebuild deletes that and adds the block's explicit process responses (ER_p via IPCC β, output channel). 1A also moves from the EG2 base to EG1. 3B: the untraceable −18.1 (text 13.6) is replaced by EG3 with the OBR correction (+3.3); 3C: σ = 20 $/t on both intensity channels instead of a −2.9 Mt constant.</w:t>
      </w:r>
    </w:p>
    <w:p>
      <w:pPr>
        <w:pStyle w:val="ListBullet"/>
      </w:pPr>
      <w:r>
        <w:rPr>
          <w:b/>
        </w:rPr>
        <w:t>Rebuild → prototype (now −2.0 Mt for 1A–2B, −6.4 for 3A, −4.1 for 3B, +1.2 for 3C):</w:t>
      </w:r>
      <w:r>
        <w:t xml:space="preserve"> with the same EFs and β, the process side is now close: kernel ΔIPPU −4.98 vs rebuild −4.87 (1A/3A). The remaining gap is (a) industry energy — for *All sectors*, +0.2 Mt from the kernel's own 4-sector response and </w:t>
      </w:r>
      <w:r>
        <w:rPr>
          <w:b/>
        </w:rPr>
        <w:t>+1.9 Mt from the data-vintage mix</w:t>
      </w:r>
      <w:r>
        <w:t xml:space="preserve"> (kernel industry CO₂ 75.4 vs csv 89.0 Mt via </w:t>
      </w:r>
      <w:r>
        <w:rPr>
          <w:rFonts w:ascii="Consolas" w:hAnsi="Consolas" w:eastAsia="Consolas"/>
        </w:rPr>
        <w:t>nk1 = indx − ek1</w:t>
      </w:r>
      <w:r>
        <w:t>); for *Industry only*, everything outside the four sectors is unpriced, so CPAT EG3's −8.55 Mt shrinks to −2.06 (3A), −1.13 (3B), −4.20 (3C), which is the largest cause of the 3A/3B gap; (b) 3B: no D_obr-type correction is needed in the kernel (the rebate per unit of output sets the output channel to 0 directly); (c) 3C: the kernel's fund is solved as a shadow price that spends the whole fund on block abatement (block −18.3 Mt; ΔIPPU −14.9), versus the rebuild's σ = 20 $/t. With IPCC β this now *exceeds* the rebuild's K.</w:t>
      </w:r>
    </w:p>
    <w:p>
      <w:pPr>
        <w:pStyle w:val="Heading2"/>
      </w:pPr>
      <w:r>
        <w:t>3. Why the other columns differ</w:t>
      </w:r>
    </w:p>
    <w:p>
      <w:pPr>
        <w:pStyle w:val="ListBullet"/>
      </w:pPr>
      <w:r>
        <w:rPr>
          <w:b/>
        </w:rPr>
        <w:t>Revenue P.</w:t>
      </w:r>
      <w:r>
        <w:t xml:space="preserve"> Table 2's 5.8/5.2 cannot be reproduced from 2030 CPAT outputs (six-fuel receipts 6.23 $bn EG1, 6.19 EG2). Rebuild and prototype agree within 0.05 $bn for 1A–2B (CPAT receipts + block process revenue ≈ 0.6 $bn). 3A: 1.1 in the text = gross block payments (xlsb cell 2.38); rebuild 1.53 = EG3 receipts (κ = 0.54 of industry priced) + process; prototype 0.89 = four sectors' fuel + process. 3B: Table 2's 0 is a convention; prototype ≈ 0 (−0.02) because the rebate ≈ block payments; rebuild 0.32 because only CBAM producers are rebated (</w:t>
      </w:r>
      <w:r>
        <w:rPr>
          <w:rFonts w:ascii="Consolas" w:hAnsi="Consolas" w:eastAsia="Consolas"/>
        </w:rPr>
        <w:t>ThetaOther</w:t>
      </w:r>
      <w:r>
        <w:t xml:space="preserve"> = 0). 3C: nothing to the budget in all three; the prototype is *negative* (−0.47) because the fund is fixed at pre-abatement revenue and fully spent while post-abatement receipts fall further with the larger IPCC β.</w:t>
      </w:r>
    </w:p>
    <w:p>
      <w:pPr>
        <w:pStyle w:val="ListBullet"/>
      </w:pPr>
      <w:r>
        <w:rPr>
          <w:b/>
        </w:rPr>
        <w:t>Coverage J.</w:t>
      </w:r>
      <w:r>
        <w:t xml:space="preserve"> Typed in the original (its columns imply 59/53). Rebuild and prototype give the same 63.2/57.3 for 1A–2B. Industry bundles: Table 2's 20 % ≈ all industry energy CO₂ + block process; the EG3 run prices only 54 % of industrial fuel (rebuild 13.9 %), the kernel only its four sectors (8.6 %).</w:t>
      </w:r>
    </w:p>
    <w:p>
      <w:pPr>
        <w:pStyle w:val="ListBullet"/>
      </w:pPr>
      <w:r>
        <w:rPr>
          <w:b/>
        </w:rPr>
        <w:t>CBAM coverage M.</w:t>
      </w:r>
      <w:r>
        <w:t xml:space="preserve"> Same definition everywhere; 44.2 vs 44.5 is the Egypt EF fuel/process split.</w:t>
      </w:r>
    </w:p>
    <w:p>
      <w:pPr>
        <w:pStyle w:val="ListBullet"/>
      </w:pPr>
      <w:r>
        <w:rPr>
          <w:b/>
        </w:rPr>
        <w:t>Intensity N.</w:t>
      </w:r>
      <w:r>
        <w:t xml:space="preserve"> Table 2 from the legacy −0.549 %/$ block. Rebuild: fuel-intensity channel (−4.9 % on the fuel share = −2.2 %, the whole of 2A/2B) plus IPCC-β process response → −6.6 %. Prototype: same IPCC β on the process share (−4.4 %) but block fuel intensity is fixed (0 for 2A/2B; the missing ≈ −2.2 pp is the fuel-intensity channel). 3C: the prototype's fund buys much more process abatement (−24.8 % vs −12.7 %).</w:t>
      </w:r>
    </w:p>
    <w:p>
      <w:pPr>
        <w:pStyle w:val="ListBullet"/>
      </w:pPr>
      <w:r>
        <w:rPr>
          <w:b/>
        </w:rPr>
        <w:t>Obligations O.</w:t>
      </w:r>
      <w:r>
        <w:t xml:space="preserve"> O ≈ (1 + N)(1 − 20/100) − 1 in every source, so gaps follow N: Table 2 −26.1 ↔ −7.6; rebuild −24.8 ↔ −6.6; prototype −22.8 ↔ −4.4. FULL (CBAM factor 0.485 in 2030) roughly doubles the percentage; Table 2 is on the NOPHASE basis. 3B: the rebate cancels the deductible price, so O ≈ N (−7.6 / −6.0 / −3.5).</w:t>
      </w:r>
    </w:p>
    <w:p>
      <w:pPr>
        <w:pStyle w:val="ListBullet"/>
      </w:pPr>
      <w:r>
        <w:rPr>
          <w:b/>
        </w:rPr>
        <w:t>Deaths Q.</w:t>
      </w:r>
      <w:r>
        <w:t xml:space="preserve"> 1A: the original scaled EG2's 1,631 by K7/K9 → 1,656; on EG1 it equals 2A (1,564). 3B: 345 typed/stale; rebuild 410 after D_obr. Prototype = CPAT deaths × kernel/CPAT energy-CO₂ change: ×0.92 for All sectors, ×0.51 for 3A (only four sectors' fuel responds), 239 (3B), 366 (3C).</w:t>
      </w:r>
    </w:p>
    <w:p>
      <w:pPr>
        <w:pStyle w:val="ListBullet"/>
      </w:pPr>
      <w:r>
        <w:rPr>
          <w:b/>
        </w:rPr>
        <w:t>AR.</w:t>
      </w:r>
      <w:r>
        <w:t xml:space="preserve"> Original 10.62 (EG2) for all of 1A–2B; rebuild = CPAT Δnet revenue of the run less rebates/fund; prototype = CPAT Δnet revenue − CPAT receipts + its own P.</w:t>
      </w:r>
    </w:p>
    <w:p>
      <w:pPr>
        <w:pStyle w:val="Heading2"/>
      </w:pPr>
      <w:r>
        <w:t>4. Internal inconsistencies in EgyptResultsInitial.docx (unchanged)</w:t>
      </w:r>
    </w:p>
    <w:p>
      <w:pPr>
        <w:pStyle w:val="ListNumber"/>
      </w:pPr>
      <w:r>
        <w:t>3B reduction: table −18.1 Mt, text 13.6 Mt.</w:t>
      </w:r>
    </w:p>
    <w:p>
      <w:pPr>
        <w:pStyle w:val="ListNumber"/>
      </w:pPr>
      <w:r>
        <w:t>"5–17 % of Egypt's annual CO₂ of about 249 Mt" uses a CO₂-only base, while coverage shares (72/65/20 %) use total GHG (594 Mt incl. LULUCF in 2030); on one base 1A is −7.0 % (−41.6/594), rebuild −5.3 %.</w:t>
      </w:r>
    </w:p>
    <w:p>
      <w:pPr>
        <w:pStyle w:val="ListNumber"/>
      </w:pPr>
      <w:r>
        <w:t>Obligations "about 8 to 30 %" and "the 8 % reduction (3B)" vs −7.6 % in the table; intensity "nearly 8 %" vs −7.6 %, "nearly 6 %" vs −5.5 %.</w:t>
      </w:r>
    </w:p>
    <w:p>
      <w:pPr>
        <w:pStyle w:val="ListNumber"/>
      </w:pPr>
      <w:r>
        <w:t>3A revenue 1.1 $bn (gross block payments) vs 2.38 in the workbook cell; the "value returned to firms not counted" convention is applied to 3B/3C but not 3A.</w:t>
      </w:r>
    </w:p>
    <w:p>
      <w:pPr>
        <w:pStyle w:val="ListNumber"/>
      </w:pPr>
      <w:r>
        <w:t>Coverage 72/65 % typed; the workbook's own columns imply 59/53 % and 24.3 % (not 20 %) for 3A–3C.</w:t>
      </w:r>
    </w:p>
    <w:p>
      <w:r>
        <w:t>The updated text (</w:t>
      </w:r>
      <w:r>
        <w:rPr>
          <w:rFonts w:ascii="Consolas" w:hAnsi="Consolas" w:eastAsia="Consolas"/>
        </w:rPr>
        <w:t>EgyptResultsInitial_UpdatedResults_v0.2_tracked.docx</w:t>
      </w:r>
      <w:r>
        <w:t>) uses the rebuild v0.2 values.</w:t>
      </w:r>
    </w:p>
    <w:p>
      <w:pPr>
        <w:pStyle w:val="Heading2"/>
      </w:pPr>
      <w:r>
        <w:t>5. Prototype caveats that matter for this comparison</w:t>
      </w:r>
    </w:p>
    <w:p>
      <w:pPr>
        <w:pStyle w:val="ListBullet"/>
      </w:pPr>
      <w:r>
        <w:t>Industry-only bundles price the four kernel sectors only (about one fifth of industrial energy CO₂); Table 2 and CPAT EG3 intend all industry (re-run EG3 with full coverage pending).</w:t>
      </w:r>
    </w:p>
    <w:p>
      <w:pPr>
        <w:pStyle w:val="ListBullet"/>
      </w:pPr>
      <w:r>
        <w:t>Data-vintage mix in the K composition (+1.9 Mt in 1A/2A/2B); fund fixed at pre-abatement revenue (3C net revenue &lt; 0); CBAM convention default FULL; no fuel-intensity channel in the block (N, O, T understated for fuel-priced bundles).</w:t>
      </w:r>
    </w:p>
    <w:p>
      <w:pPr>
        <w:pStyle w:val="ListBullet"/>
      </w:pPr>
      <w:r>
        <w:t xml:space="preserve">Egypt EF v0.1 VERIFY list open; AN 50 % abatement blend, aluminium combined β, ammonia/urea β = 0 (see </w:t>
      </w:r>
      <w:r>
        <w:rPr>
          <w:rFonts w:ascii="Consolas" w:hAnsi="Consolas" w:eastAsia="Consolas"/>
        </w:rPr>
        <w:t>CAVEATS.md</w:t>
      </w:r>
      <w:r>
        <w:t xml:space="preserve"> 2026-10-02 T1 + T5).</w:t>
      </w:r>
    </w:p>
    <w:p>
      <w:pPr>
        <w:pStyle w:val="Heading2"/>
      </w:pPr>
      <w:r>
        <w:t>6. Bottom line</w:t>
      </w:r>
    </w:p>
    <w:p>
      <w:r>
        <w:t>Table 2's national figures rest on the original workbook's defects (typed coverage, CPAT IPPU double-scaling, 1A on the wrong run, stale 3B deaths, mixed revenue concepts): the coherent rebuild gives 8–30 % smaller K and about 1 $bn more revenue for the economy-wide bundles. With common EFs and β, the final prototype now agrees with the rebuild within about 2 Mt for 1A–2B and on the process response; the remaining differences are scope (3A/3B), the fixed block fuel intensity (N, O) and the fund design (3C), all flagged above.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