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 of EgyptResultsInitial.docx vs the rebuilt ad hoc calculations vs the final prototype — what differs and why (2030), v0.4</w:t>
      </w:r>
    </w:p>
    <w:p>
      <w:r>
        <w:rPr>
          <w:b/>
        </w:rPr>
        <w:t>Sources.</w:t>
      </w:r>
    </w:p>
    <w:p>
      <w:pPr>
        <w:pStyle w:val="ListBullet"/>
      </w:pPr>
      <w:r>
        <w:t xml:space="preserve">(i) Table 2 and the narrative of </w:t>
      </w:r>
      <w:r>
        <w:rPr>
          <w:rFonts w:ascii="Consolas" w:hAnsi="Consolas" w:eastAsia="Consolas"/>
        </w:rPr>
        <w:t>EgyptResultsInitial.docx</w:t>
      </w:r>
      <w:r>
        <w:t>.</w:t>
      </w:r>
    </w:p>
    <w:p>
      <w:pPr>
        <w:pStyle w:val="ListBullet"/>
      </w:pPr>
      <w:r>
        <w:t xml:space="preserve">(ii) Rebuild v0.4: </w:t>
      </w:r>
      <w:r>
        <w:rPr>
          <w:rFonts w:ascii="Consolas" w:hAnsi="Consolas" w:eastAsia="Consolas"/>
        </w:rPr>
        <w:t>AdHocCalculations_Rebuild_v0.4.xlsx</w:t>
      </w:r>
      <w:r>
        <w:t xml:space="preserve">, </w:t>
      </w:r>
      <w:r>
        <w:rPr>
          <w:rFonts w:ascii="Consolas" w:hAnsi="Consolas" w:eastAsia="Consolas"/>
        </w:rPr>
        <w:t>Mode</w:t>
      </w:r>
      <w:r>
        <w:t xml:space="preserve"> = REBUILD, </w:t>
      </w:r>
      <w:r>
        <w:rPr>
          <w:rFonts w:ascii="Consolas" w:hAnsi="Consolas" w:eastAsia="Consolas"/>
        </w:rPr>
        <w:t>Conv</w:t>
      </w:r>
      <w:r>
        <w:t xml:space="preserve"> = FULL, </w:t>
      </w:r>
      <w:r>
        <w:rPr>
          <w:rFonts w:ascii="Consolas" w:hAnsi="Consolas" w:eastAsia="Consolas"/>
        </w:rPr>
        <w:t>ThetaOther</w:t>
      </w:r>
      <w:r>
        <w:t xml:space="preserve"> = 1, </w:t>
      </w:r>
      <w:r>
        <w:rPr>
          <w:rFonts w:ascii="Consolas" w:hAnsi="Consolas" w:eastAsia="Consolas"/>
        </w:rPr>
        <w:t>EFSet</w:t>
      </w:r>
      <w:r>
        <w:t xml:space="preserve"> = EGY_EF_V01, </w:t>
      </w:r>
      <w:r>
        <w:rPr>
          <w:rFonts w:ascii="Consolas" w:hAnsi="Consolas" w:eastAsia="Consolas"/>
        </w:rPr>
        <w:t>KappaMode</w:t>
      </w:r>
      <w:r>
        <w:t xml:space="preserve"> = SCALE, </w:t>
      </w:r>
      <w:r>
        <w:rPr>
          <w:rFonts w:ascii="Consolas" w:hAnsi="Consolas" w:eastAsia="Consolas"/>
        </w:rPr>
        <w:t>Yr</w:t>
      </w:r>
      <w:r>
        <w:t xml:space="preserve"> = 2030 (see </w:t>
      </w:r>
      <w:r>
        <w:rPr>
          <w:rFonts w:ascii="Consolas" w:hAnsi="Consolas" w:eastAsia="Consolas"/>
        </w:rPr>
        <w:t>MethodologyNote_v0.4.md</w:t>
      </w:r>
      <w:r>
        <w:t>).</w:t>
      </w:r>
    </w:p>
    <w:p>
      <w:pPr>
        <w:pStyle w:val="ListBullet"/>
      </w:pPr>
      <w:r>
        <w:t xml:space="preserve">(iii) Prototype kernel: </w:t>
      </w:r>
      <w:r>
        <w:rPr>
          <w:rFonts w:ascii="Consolas" w:hAnsi="Consolas" w:eastAsia="Consolas"/>
        </w:rPr>
        <w:t>CPAT_Industry_Kernel_Egypt_v1.3.xlsx</w:t>
      </w:r>
      <w:r>
        <w:t xml:space="preserve">, sheet </w:t>
      </w:r>
      <w:r>
        <w:rPr>
          <w:rFonts w:ascii="Consolas" w:hAnsi="Consolas" w:eastAsia="Consolas"/>
        </w:rPr>
        <w:t>Table2_Industry</w:t>
      </w:r>
      <w:r>
        <w:t xml:space="preserve"> (stored 2030 snapshot, kernel composition), with </w:t>
      </w:r>
      <w:r>
        <w:rPr>
          <w:rFonts w:ascii="Consolas" w:hAnsi="Consolas" w:eastAsia="Consolas"/>
        </w:rPr>
        <w:t>Manual inputs</w:t>
      </w:r>
      <w:r>
        <w:t xml:space="preserve"> at default and the CBAM convention FULL. NOPHASE values of O are obtained by switching </w:t>
      </w:r>
      <w:r>
        <w:rPr>
          <w:rFonts w:ascii="Consolas" w:hAnsi="Consolas" w:eastAsia="Consolas"/>
        </w:rPr>
        <w:t>Manual inputs</w:t>
      </w:r>
      <w:r>
        <w:t xml:space="preserve"> E76.</w:t>
      </w:r>
    </w:p>
    <w:p>
      <w:r>
        <w:t>This note compares the rebuild with the prototype's own composition. It is not the final Table 2: the final Table 2 is the CBAM carve-out (</w:t>
      </w:r>
      <w:r>
        <w:rPr>
          <w:rFonts w:ascii="Consolas" w:hAnsi="Consolas" w:eastAsia="Consolas"/>
        </w:rPr>
        <w:t>EGYPT_CarveOut_Table2_v1.3</w:t>
      </w:r>
      <w:r>
        <w:t>), whose row O is the intensity-only measure (EGYPT_Methodology section 4.5).</w:t>
      </w:r>
    </w:p>
    <w:p>
      <w:r>
        <w:t>All values are for 2030, at a carbon price of USD 20/t in every bundle.</w:t>
      </w:r>
    </w:p>
    <w:p>
      <w:r>
        <w:rPr>
          <w:b/>
        </w:rPr>
        <w:t>Settings common to both models.</w:t>
      </w:r>
    </w:p>
    <w:p>
      <w:pPr>
        <w:pStyle w:val="ListNumber"/>
      </w:pPr>
      <w:r>
        <w:rPr>
          <w:b/>
        </w:rPr>
        <w:t>P\* = USD 122 (2024 dollars).** The process response is anchored at USD 100 in 2019 dollar</w:t>
      </w:r>
    </w:p>
    <w:p>
      <w:pPr>
        <w:pStyle w:val="ListNumber"/>
      </w:pPr>
      <w:r>
        <w:rPr>
          <w:b/>
        </w:rPr>
        <w:t>EG3 scaled to full industrial coverage by 1/κ (κ = 0.537).</w:t>
      </w:r>
      <w:r>
        <w:t xml:space="preserve"> For 3A–3C, CPAT's industry energy CO₂ change, receipts and deaths are scaled to what a run covering all industry would give. </w:t>
      </w:r>
      <w:r>
        <w:rPr>
          <w:b/>
        </w:rPr>
        <w:t>This is a linear approximation, not a CPAT re-run.</w:t>
      </w:r>
    </w:p>
    <w:p>
      <w:pPr>
        <w:pStyle w:val="ListNumber"/>
      </w:pPr>
      <w:r>
        <w:rPr>
          <w:b/>
        </w:rPr>
        <w:t>3C fund</w:t>
      </w:r>
      <w:r>
        <w:t xml:space="preserve"> (kernel): capped at revenue after abatement, solved as a fixed point; the fund equals what the block actually pays after it abates.</w:t>
      </w:r>
    </w:p>
    <w:p>
      <w:pPr>
        <w:pStyle w:val="ListNumber"/>
      </w:pPr>
      <w:r>
        <w:rPr>
          <w:b/>
        </w:rPr>
        <w:t>Block fuel CO₂ above the sector total</w:t>
      </w:r>
      <w:r>
        <w:t xml:space="preserve"> (kernel): where the block's fuel CO₂ exceeds CPAT's sector energy CO₂ (cement 19.05 vs 10.91 Mt, chemicals 1.88 vs 0, non-ferrous metals 0.05 vs 0 in 2030), the excess comes out of non-kernel industry. Total industry CO₂ is unchanged: kernel sectors 26.5 Mt, non-kernel 48.9 Mt.</w:t>
      </w:r>
    </w:p>
    <w:p>
      <w:r>
        <w:rPr>
          <w:b/>
        </w:rPr>
        <w:t>Where the models differ by design.</w:t>
      </w:r>
      <w:r>
        <w:t xml:space="preserve"> The rebuild rebates all covered industry in 3B (</w:t>
      </w:r>
      <w:r>
        <w:rPr>
          <w:rFonts w:ascii="Consolas" w:hAnsi="Consolas" w:eastAsia="Consolas"/>
        </w:rPr>
        <w:t>ThetaOther</w:t>
      </w:r>
      <w:r>
        <w:t xml:space="preserve"> = 1) and uses σ = 20 $/t for the 3C fund; the kernel rebates the CBAM block only (rebate capped by sector shares) and solves the 3C fund from the block's own post-abatement payments.</w:t>
      </w:r>
    </w:p>
    <w:p>
      <w:pPr>
        <w:pStyle w:val="Heading2"/>
      </w:pPr>
      <w:r>
        <w:t>1. Side by side (2030)</w:t>
      </w:r>
    </w:p>
    <w:p>
      <w:r>
        <w:rPr>
          <w:b/>
        </w:rPr>
        <w:t>Carbon revenues raised, $bn (Table 2 col. 6; 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v0.4, net (gross)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0.20 (2.38; rebate 2.18)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(2.30 to fund)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Prototype, net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0.73 (gross 1.65; fund 0.93)</w:t>
            </w:r>
          </w:p>
        </w:tc>
      </w:tr>
    </w:tbl>
    <w:p/>
    <w:p>
      <w:r>
        <w:rPr>
          <w:b/>
        </w:rPr>
        <w:t>Total emissions reduction, MtCO₂e (col. 7; 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(text)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 (13.6)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(composition)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−32.9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block only (emrt)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−16.2</w:t>
            </w:r>
          </w:p>
        </w:tc>
      </w:tr>
    </w:tbl>
    <w:p/>
    <w:p>
      <w:r>
        <w:rPr>
          <w:b/>
        </w:rPr>
        <w:t>CBAM coverage, % (col. 8; M).</w:t>
      </w:r>
      <w:r>
        <w:t xml:space="preserve"> Table 2 and the original give 100 / 44.5 / 44.5 / 100 / 100 / 100. Both the rebuild and the prototype give 100 / 44.2 / 44.2 / 100 / 100 / 100.</w:t>
      </w:r>
    </w:p>
    <w:p>
      <w:r>
        <w:rPr>
          <w:b/>
        </w:rPr>
        <w:t>Emission-intensity reduction, CBAM sectors, % (col. 9;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</w:tr>
    </w:tbl>
    <w:p/>
    <w:p>
      <w:r>
        <w:rPr>
          <w:b/>
        </w:rPr>
        <w:t>CBAM obligations reduced, % per unit exported (col. 10; 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(≈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 (−24.3)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 (−12.5)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 (−12.5)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 (−24.3)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−5.4 (−5.4)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−47.4 (−28.4)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−42.9 (−22.3)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−21.6 (−10.5)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−21.6 (−10.5)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−42.9 (−22.3)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 (−2.9)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−51.9 (−34.6)</w:t>
            </w:r>
          </w:p>
        </w:tc>
      </w:tr>
    </w:tbl>
    <w:p/>
    <w:p>
      <w:r>
        <w:t>These are deduction-based obligations. Row O of the final Table 2 is the intensity-only measure (−5.4 / −2.6 / −2.7 / −5.4 / −5.4 / −20.7), which is not comparable with the rows above.</w:t>
      </w:r>
    </w:p>
    <w:p>
      <w:r>
        <w:rPr>
          <w:b/>
        </w:rPr>
        <w:t>Air-pollution deaths avoided per year (col. 11; 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985</w:t>
            </w:r>
          </w:p>
        </w:tc>
      </w:tr>
    </w:tbl>
    <w:p/>
    <w:p>
      <w:r>
        <w:rPr>
          <w:b/>
        </w:rPr>
        <w:t>National GHG covered, % (col. 3 text; 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text (original xlsb)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</w:tr>
    </w:tbl>
    <w:p/>
    <w:p>
      <w:r>
        <w:rPr>
          <w:b/>
        </w:rPr>
        <w:t>Other PolicyMatrix columns, 2030</w:t>
      </w:r>
      <w:r>
        <w:t xml:space="preserve"> (not in Table 2; rebuild / prototype):</w:t>
      </w:r>
    </w:p>
    <w:p>
      <w:pPr>
        <w:pStyle w:val="ListBullet"/>
      </w:pPr>
      <w:r>
        <w:rPr>
          <w:b/>
        </w:rPr>
        <w:t>T, block emissions, %:</w:t>
      </w:r>
      <w:r>
        <w:t xml:space="preserve"> 1A −11.6 / −9.5; 2A −4.7 / −2.6; 2B −4.7 / −2.6; 3A −11.6 / −9.5; 3B −5.8 / −3.6; 3C −16.7 / −25.9.</w:t>
      </w:r>
    </w:p>
    <w:p>
      <w:pPr>
        <w:pStyle w:val="ListBullet"/>
      </w:pPr>
      <w:r>
        <w:rPr>
          <w:b/>
        </w:rPr>
        <w:t>U, block output, %:</w:t>
      </w:r>
      <w:r>
        <w:t xml:space="preserve"> −6.1 / −6.1 for 1A and 3A; −2.6 / −2.6 for 2A and 2B; 0 / 0 for 3B; −6.1 / −6.1 for 3C.</w:t>
      </w:r>
    </w:p>
    <w:p>
      <w:pPr>
        <w:pStyle w:val="ListBullet"/>
      </w:pPr>
      <w:r>
        <w:rPr>
          <w:b/>
        </w:rPr>
        <w:t>AR, Δ net revenue, $bn:</w:t>
      </w:r>
      <w:r>
        <w:t xml:space="preserve"> 1A 10.43 / 11.09; 2A 10.43 / 10.48; 2B 10.62 / 10.67; 3A 2.69 / 2.84; 3B 0.51 / 1.94; 3C 0.39 / 1.69.</w:t>
      </w:r>
    </w:p>
    <w:p>
      <w:pPr>
        <w:pStyle w:val="Heading2"/>
      </w:pPr>
      <w:r>
        <w:t>2. Why K differs — decomposition, MtCO₂e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ΔGHG of the run (EG3 unscaled)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ΔGHG scaled by 1/κ, less CPAT ΔIPPU scaling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−28.44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intensity ER_p (3C: σ added)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−4.11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output channel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D_obr / F_fund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+10.61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−3.56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Rebuild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−31.35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−25.07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−12.31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−30.60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IPPU replacement (kernel ΔIPPU − CPAT ΔIPPU)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+7.43 (−4.53 + 11.96)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+10.95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+3.73 (−4.53 + 8.26)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+5.99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−4.61 (−12.87 + 8.26)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industry-energy replacement (kernel composition − CPAT ΔInd)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−3.32 (−11.87 + 8.55)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−6.73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Prototype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−25.47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−26.71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−21.13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−17.45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−32.88</w:t>
            </w:r>
          </w:p>
        </w:tc>
      </w:tr>
    </w:tbl>
    <w:p/>
    <w:p>
      <w:r>
        <w:rPr>
          <w:b/>
        </w:rPr>
        <w:t>Notes on the decomposition:</w:t>
      </w:r>
    </w:p>
    <w:p>
      <w:pPr>
        <w:pStyle w:val="ListBullet"/>
      </w:pPr>
      <w:r>
        <w:rPr>
          <w:b/>
        </w:rPr>
        <w:t>For EG3 the two models present the 1/κ scaling differently.</w:t>
      </w:r>
    </w:p>
    <w:p>
      <w:pPr>
        <w:pStyle w:val="ListBullet"/>
      </w:pPr>
      <w:r>
        <w:t>The rebuild scales CPAT's ΔGHG and ΔIPPU.</w:t>
      </w:r>
    </w:p>
    <w:p>
      <w:pPr>
        <w:pStyle w:val="ListBullet"/>
      </w:pPr>
      <w:r>
        <w:t>The prototype keeps the unscaled CPAT ΔGHG and puts the scaling in its industry replacement. Non-kernel industry falls at CPAT's full-coverage rate: dnk = −8.75 Mt instead of −4.70.</w:t>
      </w:r>
    </w:p>
    <w:p>
      <w:pPr>
        <w:pStyle w:val="ListBullet"/>
      </w:pPr>
      <w:r>
        <w:t>Both give the same economic quantity.</w:t>
      </w:r>
    </w:p>
    <w:p>
      <w:pPr>
        <w:pStyle w:val="ListBullet"/>
      </w:pPr>
      <w:r>
        <w:rPr>
          <w:b/>
        </w:rPr>
        <w:t>Rebuild → prototype gap:</w:t>
      </w:r>
    </w:p>
    <w:p>
      <w:pPr>
        <w:pStyle w:val="ListBullet"/>
      </w:pPr>
      <w:r>
        <w:t>1A–2B: about −2.4 Mt.</w:t>
      </w:r>
    </w:p>
    <w:p>
      <w:pPr>
        <w:pStyle w:val="ListBullet"/>
      </w:pPr>
      <w:r>
        <w:t>3A: −3.9 Mt; 3B: +5.1 Mt, so the prototype is larger (the rebuild's D_obr removes the output channel for all covered industry).</w:t>
      </w:r>
    </w:p>
    <w:p>
      <w:pPr>
        <w:pStyle w:val="ListBullet"/>
      </w:pPr>
      <w:r>
        <w:t>3C: +2.3 Mt, so the prototype is larger.</w:t>
      </w:r>
    </w:p>
    <w:p>
      <w:pPr>
        <w:pStyle w:val="ListBullet"/>
      </w:pPr>
      <w:r>
        <w:rPr>
          <w:b/>
        </w:rPr>
        <w:t>Sources of the gap:</w:t>
      </w:r>
    </w:p>
    <w:p>
      <w:pPr>
        <w:pStyle w:val="ListBullet"/>
      </w:pPr>
      <w:r>
        <w:rPr>
          <w:b/>
        </w:rPr>
        <w:t>(a) Process response.</w:t>
      </w:r>
      <w:r>
        <w:t xml:space="preserve"> It is now common to both models (kernel ΔIPPU −4.53 vs rebuild −4.43 in 1A/3A).</w:t>
      </w:r>
    </w:p>
    <w:p>
      <w:pPr>
        <w:pStyle w:val="ListBullet"/>
      </w:pPr>
      <w:r>
        <w:rPr>
          <w:b/>
        </w:rPr>
        <w:t>(b) Data-vintage mix, the largest remaining cause.</w:t>
      </w:r>
      <w:r>
        <w:t xml:space="preserve"> The prototype's non-kernel industry is the stored CPAT industry energy CO₂ (75.4 Mt) less the kernel sectors (26.5), not the csv's 89.0. This is about 1.9 Mt at κ = 1 and about 3.5 Mt for EG3 after 1/κ.</w:t>
      </w:r>
    </w:p>
    <w:p>
      <w:pPr>
        <w:pStyle w:val="ListBullet"/>
      </w:pPr>
      <w:r>
        <w:rPr>
          <w:b/>
        </w:rPr>
        <w:t>(c) Kernel-sector fuel response.</w:t>
      </w:r>
      <w:r>
        <w:t xml:space="preserve"> The kernel sectors respond slightly less than CPAT's industry average (−11.8 % vs −13.9 %), because the block's fuel intensity is fixed.</w:t>
      </w:r>
    </w:p>
    <w:p>
      <w:pPr>
        <w:pStyle w:val="ListBullet"/>
      </w:pPr>
      <w:r>
        <w:rPr>
          <w:b/>
        </w:rPr>
        <w:t>(d) 3C fund design.</w:t>
      </w:r>
      <w:r>
        <w:t xml:space="preserve"> The prototype's fund equals the block's revenue after abatement and buys block process abatement at the solved shadow price, giving block −16.2 Mt and ΔIPPU −12.9. The rebuild uses σ = 20 $/t.</w:t>
      </w:r>
    </w:p>
    <w:p>
      <w:pPr>
        <w:pStyle w:val="ListBullet"/>
      </w:pPr>
      <w:r>
        <w:rPr>
          <w:b/>
        </w:rPr>
        <w:t>(e) 3B rebate scope.</w:t>
      </w:r>
      <w:r>
        <w:t xml:space="preserve"> The rebuild rebates all covered industry (D_obr +10.6 Mt); the kernel rebates the CBAM block only, so no D_obr-type term is needed.</w:t>
      </w:r>
    </w:p>
    <w:p>
      <w:pPr>
        <w:pStyle w:val="Heading2"/>
      </w:pPr>
      <w:r>
        <w:t>3. Why the other columns differ</w:t>
      </w:r>
    </w:p>
    <w:p>
      <w:pPr>
        <w:pStyle w:val="ListBullet"/>
      </w:pPr>
      <w:r>
        <w:rPr>
          <w:b/>
        </w:rPr>
        <w:t>Revenue P.</w:t>
      </w:r>
    </w:p>
    <w:p>
      <w:pPr>
        <w:pStyle w:val="ListBullet"/>
      </w:pPr>
      <w:r>
        <w:rPr>
          <w:b/>
        </w:rPr>
        <w:t>1A–2B:</w:t>
      </w:r>
      <w:r>
        <w:t xml:space="preserve"> the two models agree within 0.05 $bn.</w:t>
      </w:r>
    </w:p>
    <w:p>
      <w:pPr>
        <w:pStyle w:val="ListBullet"/>
      </w:pPr>
      <w:r>
        <w:rPr>
          <w:b/>
        </w:rPr>
        <w:t>3A:</w:t>
      </w:r>
      <w:r>
        <w:t xml:space="preserve"> the rebuild gives EG3 receipts/κ + process revenue (2.34). The prototype gives price × full-coverage industry CO₂ on the stored vintage + process revenue (1.88); the gap is the vintage mix.</w:t>
      </w:r>
    </w:p>
    <w:p>
      <w:pPr>
        <w:pStyle w:val="ListBullet"/>
      </w:pPr>
      <w:r>
        <w:rPr>
          <w:b/>
        </w:rPr>
        <w:t>3B:</w:t>
      </w:r>
      <w:r>
        <w:t xml:space="preserve"> the rebuild rebates all covered industry (2.18 $bn), so net revenue is 0.20 $bn. The prototype rebates the CBAM block only (rebate equal to block payments) and gives 0.98.</w:t>
      </w:r>
    </w:p>
    <w:p>
      <w:pPr>
        <w:pStyle w:val="ListBullet"/>
      </w:pPr>
      <w:r>
        <w:rPr>
          <w:b/>
        </w:rPr>
        <w:t>3C:</w:t>
      </w:r>
      <w:r>
        <w:t xml:space="preserve"> the rebuild sends all industrial carbon revenue to the fund (net 0). The prototype's fund is capped at the block's own post-abatement payments (0.93 $bn), so the non-block industry revenue (0.73 $bn) stays with the budget. </w:t>
      </w:r>
      <w:r>
        <w:rPr>
          <w:b/>
        </w:rPr>
        <w:t>This is a difference in convention.</w:t>
      </w:r>
      <w:r>
        <w:t xml:space="preserve"> If the 3C fund is meant to absorb all industrial carbon revenue, the prototype's P would be 0 and its fund larger.</w:t>
      </w:r>
    </w:p>
    <w:p>
      <w:pPr>
        <w:pStyle w:val="ListBullet"/>
      </w:pPr>
      <w:r>
        <w:rPr>
          <w:b/>
        </w:rPr>
        <w:t>Coverage J.</w:t>
      </w:r>
    </w:p>
    <w:p>
      <w:pPr>
        <w:pStyle w:val="ListBullet"/>
      </w:pPr>
      <w:r>
        <w:rPr>
          <w:b/>
        </w:rPr>
        <w:t>1A–2B:</w:t>
      </w:r>
      <w:r>
        <w:t xml:space="preserve"> both models give 63.2 / 57.3.</w:t>
      </w:r>
    </w:p>
    <w:p>
      <w:pPr>
        <w:pStyle w:val="ListBullet"/>
      </w:pPr>
      <w:r>
        <w:rPr>
          <w:b/>
        </w:rPr>
        <w:t>3A–3C after 1/κ:</w:t>
      </w:r>
      <w:r>
        <w:t xml:space="preserve"> coverage is all industrial energy CO₂ plus block process emissions. The rebuild uses CPAT's 89.0 Mt (20.8 %); the prototype uses the stored 75.4 Mt (18.5 %). Table 2's 20 % is close to both.</w:t>
      </w:r>
    </w:p>
    <w:p>
      <w:pPr>
        <w:pStyle w:val="ListBullet"/>
      </w:pPr>
      <w:r>
        <w:rPr>
          <w:b/>
        </w:rPr>
        <w:t>Intensity N and obligations O.</w:t>
      </w:r>
    </w:p>
    <w:p>
      <w:pPr>
        <w:pStyle w:val="ListBullet"/>
      </w:pPr>
      <w:r>
        <w:t>P\* deflation lowers the process response, so N for 1A/3A goes from −6.6 to −5.8 % (rebuild) and from −4.4 to −3.6 % (prototype).</w:t>
      </w:r>
    </w:p>
    <w:p>
      <w:pPr>
        <w:pStyle w:val="ListBullet"/>
      </w:pPr>
      <w:r>
        <w:t>The prototype is still smaller, because the block's fuel intensity is fixed: about −2.2 pp, which is all of 2A/2B.</w:t>
      </w:r>
    </w:p>
    <w:p>
      <w:pPr>
        <w:pStyle w:val="ListBullet"/>
      </w:pPr>
      <w:r>
        <w:t>O ≈ (1 + N)(1 − 20/100) − 1 under NOPHASE. FULL roughly doubles the percentage.</w:t>
      </w:r>
    </w:p>
    <w:p>
      <w:pPr>
        <w:pStyle w:val="ListBullet"/>
      </w:pPr>
      <w:r>
        <w:t>3C in the prototype: the fund buys more process abatement (−21.1 %) than the rebuild's σ = 20 (−11.2 %).</w:t>
      </w:r>
    </w:p>
    <w:p>
      <w:pPr>
        <w:pStyle w:val="ListBullet"/>
      </w:pPr>
      <w:r>
        <w:rPr>
          <w:b/>
        </w:rPr>
        <w:t>Deaths Q.</w:t>
      </w:r>
    </w:p>
    <w:p>
      <w:pPr>
        <w:pStyle w:val="ListBullet"/>
      </w:pPr>
      <w:r>
        <w:rPr>
          <w:b/>
        </w:rPr>
        <w:t>EG3:</w:t>
      </w:r>
      <w:r>
        <w:t xml:space="preserve"> deaths are scaled by 1/κ in both models.</w:t>
      </w:r>
    </w:p>
    <w:p>
      <w:pPr>
        <w:pStyle w:val="ListBullet"/>
      </w:pPr>
      <w:r>
        <w:rPr>
          <w:b/>
        </w:rPr>
        <w:t>Rebuild:</w:t>
      </w:r>
      <w:r>
        <w:t xml:space="preserve"> CPAT deaths/κ × the bundle's energy-CO₂ ratio.</w:t>
      </w:r>
    </w:p>
    <w:p>
      <w:pPr>
        <w:pStyle w:val="ListBullet"/>
      </w:pPr>
      <w:r>
        <w:rPr>
          <w:b/>
        </w:rPr>
        <w:t>Prototype:</w:t>
      </w:r>
      <w:r>
        <w:t xml:space="preserve"> CPAT deaths/κ × (kernel ΔEnergy CO₂ / CPAT ΔEnergy CO₂ at full coverage).</w:t>
      </w:r>
    </w:p>
    <w:p>
      <w:pPr>
        <w:pStyle w:val="ListBullet"/>
      </w:pPr>
      <w:r>
        <w:t>1A–2B are about 9 % lower in the prototype (the vintage mix plus the fixed block fuel intensity).</w:t>
      </w:r>
    </w:p>
    <w:p>
      <w:pPr>
        <w:pStyle w:val="ListBullet"/>
      </w:pPr>
      <w:r>
        <w:rPr>
          <w:b/>
        </w:rPr>
        <w:t>AR.</w:t>
      </w:r>
    </w:p>
    <w:p>
      <w:pPr>
        <w:pStyle w:val="ListBullet"/>
      </w:pPr>
      <w:r>
        <w:rPr>
          <w:b/>
        </w:rPr>
        <w:t>Rebuild:</w:t>
      </w:r>
      <w:r>
        <w:t xml:space="preserve"> CPAT Δnet revenue less rebates/fund, with P scaled.</w:t>
      </w:r>
    </w:p>
    <w:p>
      <w:pPr>
        <w:pStyle w:val="ListBullet"/>
      </w:pPr>
      <w:r>
        <w:rPr>
          <w:b/>
        </w:rPr>
        <w:t>Prototype:</w:t>
      </w:r>
      <w:r>
        <w:t xml:space="preserve"> CPAT ΔRev − CPAT receipts/κ + its own P.</w:t>
      </w:r>
    </w:p>
    <w:p>
      <w:pPr>
        <w:pStyle w:val="ListBullet"/>
      </w:pPr>
      <w:r>
        <w:t>The 3C difference follows the fund convention above.</w:t>
      </w:r>
    </w:p>
    <w:p>
      <w:pPr>
        <w:pStyle w:val="Heading2"/>
      </w:pPr>
      <w:r>
        <w:t>4. Internal inconsistencies in EgyptResultsInitial.docx (unchanged)</w:t>
      </w:r>
    </w:p>
    <w:p>
      <w:pPr>
        <w:pStyle w:val="ListNumber"/>
      </w:pPr>
      <w:r>
        <w:rPr>
          <w:b/>
        </w:rPr>
        <w:t>3B reduction:</w:t>
      </w:r>
      <w:r>
        <w:t xml:space="preserve"> the table gives −18.1 Mt, the text 13.6 Mt.</w:t>
      </w:r>
    </w:p>
    <w:p>
      <w:pPr>
        <w:pStyle w:val="ListNumber"/>
      </w:pPr>
      <w:r>
        <w:rPr>
          <w:b/>
        </w:rPr>
        <w:t>Mixed bases.</w:t>
      </w:r>
      <w:r>
        <w:t xml:space="preserve"> "5–17 % of Egypt's annual CO₂ of about 249 Mt" uses a CO₂-only base, while the coverage shares use total GHG (594 Mt).</w:t>
      </w:r>
    </w:p>
    <w:p>
      <w:pPr>
        <w:pStyle w:val="ListNumber"/>
      </w:pPr>
      <w:r>
        <w:rPr>
          <w:b/>
        </w:rPr>
        <w:t>Obligations and intensity:</w:t>
      </w:r>
      <w:r>
        <w:t xml:space="preserve"> the text says "about 8 to 30 %" for obligations and "nearly 8 %" for intensity, while the table gives −7.6 %.</w:t>
      </w:r>
    </w:p>
    <w:p>
      <w:pPr>
        <w:pStyle w:val="ListNumber"/>
      </w:pPr>
      <w:r>
        <w:rPr>
          <w:b/>
        </w:rPr>
        <w:t>3A revenue:</w:t>
      </w:r>
      <w:r>
        <w:t xml:space="preserve"> 1.1 $bn (gross block payments) vs 2.38 in the workbook cell.</w:t>
      </w:r>
    </w:p>
    <w:p>
      <w:pPr>
        <w:pStyle w:val="ListNumber"/>
      </w:pPr>
      <w:r>
        <w:rPr>
          <w:b/>
        </w:rPr>
        <w:t>Coverage:</w:t>
      </w:r>
      <w:r>
        <w:t xml:space="preserve"> 72/65 % is typed in; the workbook's own columns imply 59/53 % and 24.3 %.</w:t>
      </w:r>
    </w:p>
    <w:p>
      <w:r>
        <w:t>The final Table 2 and the tracked results text use the CBAM carve-out (</w:t>
      </w:r>
      <w:r>
        <w:rPr>
          <w:rFonts w:ascii="Consolas" w:hAnsi="Consolas" w:eastAsia="Consolas"/>
        </w:rPr>
        <w:t>EGYPT_CarveOut_Table2_v1.3</w:t>
      </w:r>
      <w:r>
        <w:t>): original CPAT runs, with only the CBAM block replaced.</w:t>
      </w:r>
    </w:p>
    <w:p>
      <w:pPr>
        <w:pStyle w:val="Heading2"/>
      </w:pPr>
      <w:r>
        <w:t>5. Remaining caveats that matter for this comparison</w:t>
      </w:r>
    </w:p>
    <w:p>
      <w:pPr>
        <w:pStyle w:val="ListBullet"/>
      </w:pPr>
      <w:r>
        <w:rPr>
          <w:b/>
        </w:rPr>
        <w:t>EG3 1/κ scaling is linear.</w:t>
      </w:r>
      <w:r>
        <w:t xml:space="preserve"> A true full-coverage EG3 CPAT run would differ, for example through the fuel mix of aluminium and other manufacturing, and general-equilibrium effects. 3A–3C are best estimates, not lower bounds.</w:t>
      </w:r>
    </w:p>
    <w:p>
      <w:pPr>
        <w:pStyle w:val="ListBullet"/>
      </w:pPr>
      <w:r>
        <w:rPr>
          <w:b/>
        </w:rPr>
        <w:t>Data-vintage mix in the prototype composition:</w:t>
      </w:r>
      <w:r>
        <w:t xml:space="preserve"> about 1.9 Mt (κ = 1) and about 3.5 Mt (EG3).</w:t>
      </w:r>
    </w:p>
    <w:p>
      <w:pPr>
        <w:pStyle w:val="ListBullet"/>
      </w:pPr>
      <w:r>
        <w:rPr>
          <w:b/>
        </w:rPr>
        <w:t>3C fund convention:</w:t>
      </w:r>
      <w:r>
        <w:t xml:space="preserve"> block-only (prototype) vs all industry (rebuild).</w:t>
      </w:r>
    </w:p>
    <w:p>
      <w:pPr>
        <w:pStyle w:val="ListBullet"/>
      </w:pPr>
      <w:r>
        <w:rPr>
          <w:b/>
        </w:rPr>
        <w:t>CBAM convention default:</w:t>
      </w:r>
      <w:r>
        <w:t xml:space="preserve"> FULL in both models.</w:t>
      </w:r>
    </w:p>
    <w:p>
      <w:pPr>
        <w:pStyle w:val="ListBullet"/>
      </w:pPr>
      <w:r>
        <w:rPr>
          <w:b/>
        </w:rPr>
        <w:t>3B rebate scope:</w:t>
      </w:r>
      <w:r>
        <w:t xml:space="preserve"> rebuild = all covered industry; kernel and carve-out = CBAM block only.</w:t>
      </w:r>
    </w:p>
    <w:p>
      <w:pPr>
        <w:pStyle w:val="ListBullet"/>
      </w:pPr>
      <w:r>
        <w:rPr>
          <w:b/>
        </w:rPr>
        <w:t>Block fuel intensity is fixed</w:t>
      </w:r>
      <w:r>
        <w:t xml:space="preserve"> (N, O and T understated for fuel-priced bundles). Process β is not routed to fp.</w:t>
      </w:r>
    </w:p>
    <w:p>
      <w:pPr>
        <w:pStyle w:val="ListBullet"/>
      </w:pPr>
      <w:r>
        <w:rPr>
          <w:b/>
        </w:rPr>
        <w:t>Provisional parameters.</w:t>
      </w:r>
      <w:r>
        <w:t xml:space="preserve"> The Egypt EF v0.1 VERIFY list is open, and some β values are judgement calls: AN 50 % abatement blend, aluminium combined β, ammonia/urea β = 0. See </w:t>
      </w:r>
      <w:r>
        <w:rPr>
          <w:rFonts w:ascii="Consolas" w:hAnsi="Consolas" w:eastAsia="Consolas"/>
        </w:rPr>
        <w:t>EGYPT_FinalCaveats_v1.1</w:t>
      </w:r>
      <w:r>
        <w:t>.</w:t>
      </w:r>
    </w:p>
    <w:p>
      <w:pPr>
        <w:pStyle w:val="Heading2"/>
      </w:pPr>
      <w:r>
        <w:t>6. Bottom line</w:t>
      </w:r>
    </w:p>
    <w:p>
      <w:r>
        <w:t>Table 2's national figures rest on defects in the original workbook. The coherent rebuild gives 8–29 % smaller K for the economy-wide bundles and about 1 $bn more revenue. With full-coverage scaling, the industry-only bundles are no longer small: 3A −25 Mt, 3C −31 Mt, close to the economy-wide levies, although with far smaller revenue and health gains. The prototype agrees with the rebuild within about 2.4 Mt for 1A–2B and 4 Mt for 3A, and differs by 2.3 Mt (3C) and 5.1 Mt (3B), the latter because of the rebate scope. The remaining gaps are explained by the data-vintage mix, the fixed block fuel intensity and the fund convention.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