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013C27" w14:textId="77777777" w:rsidR="00587C7F" w:rsidRDefault="00587C7F">
      <w:pPr>
        <w:spacing w:before="60" w:after="60"/>
      </w:pPr>
    </w:p>
    <w:p w14:paraId="1C6DB070" w14:textId="197BAEBD" w:rsidR="00587C7F" w:rsidRDefault="00B9227B">
      <w:pPr>
        <w:spacing w:before="720" w:after="100"/>
      </w:pPr>
      <w:r>
        <w:rPr>
          <w:b/>
          <w:bCs/>
          <w:color w:val="1F4E79"/>
          <w:sz w:val="56"/>
          <w:szCs w:val="56"/>
        </w:rPr>
        <w:t>CBAM</w:t>
      </w:r>
      <w:r w:rsidR="00615B75">
        <w:rPr>
          <w:b/>
          <w:bCs/>
          <w:color w:val="1F4E79"/>
          <w:sz w:val="56"/>
          <w:szCs w:val="56"/>
        </w:rPr>
        <w:t xml:space="preserve"> Policy Dashboard</w:t>
      </w:r>
    </w:p>
    <w:p w14:paraId="37166D5D" w14:textId="77777777" w:rsidR="00587C7F" w:rsidRDefault="00615B75">
      <w:pPr>
        <w:spacing w:after="80"/>
      </w:pPr>
      <w:r>
        <w:rPr>
          <w:color w:val="2E75B6"/>
          <w:sz w:val="32"/>
          <w:szCs w:val="32"/>
        </w:rPr>
        <w:t>Version 1.0  |  User Guide</w:t>
      </w:r>
    </w:p>
    <w:p w14:paraId="726E56DC" w14:textId="77777777" w:rsidR="00587C7F" w:rsidRDefault="00615B75">
      <w:pPr>
        <w:spacing w:after="480"/>
      </w:pPr>
      <w:r>
        <w:rPr>
          <w:i/>
          <w:iCs/>
          <w:color w:val="595959"/>
          <w:sz w:val="22"/>
          <w:szCs w:val="22"/>
        </w:rPr>
        <w:t>Carbon Border Adjustment Mechanism — fiscal policy modelling tool</w:t>
      </w:r>
    </w:p>
    <w:p w14:paraId="0E071A1B" w14:textId="77777777" w:rsidR="00587C7F" w:rsidRDefault="00615B75">
      <w:pPr>
        <w:spacing w:after="60"/>
      </w:pPr>
      <w:r>
        <w:rPr>
          <w:color w:val="595959"/>
        </w:rPr>
        <w:t>World Bank — Climate Fiscal Team</w:t>
      </w:r>
    </w:p>
    <w:p w14:paraId="41812BBD" w14:textId="77777777" w:rsidR="00587C7F" w:rsidRDefault="00615B75">
      <w:pPr>
        <w:spacing w:after="720"/>
      </w:pPr>
      <w:r>
        <w:rPr>
          <w:color w:val="595959"/>
        </w:rPr>
        <w:t>May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87C7F" w14:paraId="23500B06" w14:textId="77777777">
        <w:tc>
          <w:tcPr>
            <w:tcW w:w="9360" w:type="dxa"/>
            <w:tcBorders>
              <w:top w:val="single" w:sz="1" w:space="0" w:color="C0C0C0"/>
              <w:left w:val="single" w:sz="1" w:space="0" w:color="C0C0C0"/>
              <w:bottom w:val="single" w:sz="1" w:space="0" w:color="C0C0C0"/>
              <w:right w:val="single" w:sz="1" w:space="0" w:color="C0C0C0"/>
            </w:tcBorders>
            <w:shd w:val="clear" w:color="auto" w:fill="BDD7EE"/>
            <w:tcMar>
              <w:top w:w="120" w:type="dxa"/>
              <w:left w:w="200" w:type="dxa"/>
              <w:bottom w:w="120" w:type="dxa"/>
              <w:right w:w="200" w:type="dxa"/>
            </w:tcMar>
          </w:tcPr>
          <w:p w14:paraId="1377D8C4" w14:textId="77777777" w:rsidR="00587C7F" w:rsidRDefault="00615B75">
            <w:pPr>
              <w:spacing w:before="60" w:after="60"/>
            </w:pPr>
            <w:r>
              <w:rPr>
                <w:b/>
                <w:bCs/>
                <w:color w:val="1F4E79"/>
                <w:sz w:val="22"/>
                <w:szCs w:val="22"/>
              </w:rPr>
              <w:t>About this document</w:t>
            </w:r>
          </w:p>
          <w:p w14:paraId="77C38847" w14:textId="1AFD06A2" w:rsidR="00587C7F" w:rsidRDefault="00615B75">
            <w:pPr>
              <w:spacing w:before="60" w:after="60"/>
            </w:pPr>
            <w:r>
              <w:t xml:space="preserve">This guide explains the </w:t>
            </w:r>
            <w:r w:rsidR="000453F6">
              <w:t>CBAM</w:t>
            </w:r>
            <w:r>
              <w:t xml:space="preserve"> Policy Dashboard — a spreadsheet model that calculates the fiscal impact of the EU Carbon Border Adjustment Mechanism (CBAM) on five countries: Egypt, Albania, Uzbekistan, Azerbaijan, and India. The document covers the purpose and scope of the tool, the data sources used, how to navigate the spreadsheet, how the model works, and how to update inputs.</w:t>
            </w:r>
          </w:p>
        </w:tc>
      </w:tr>
    </w:tbl>
    <w:p w14:paraId="50C3A924" w14:textId="77777777" w:rsidR="00587C7F" w:rsidRDefault="00587C7F">
      <w:pPr>
        <w:spacing w:before="40" w:after="40"/>
      </w:pPr>
    </w:p>
    <w:p w14:paraId="7D3C9A3F" w14:textId="77777777" w:rsidR="00587C7F" w:rsidRDefault="00587C7F">
      <w:pPr>
        <w:spacing w:before="40" w:after="40"/>
      </w:pPr>
    </w:p>
    <w:p w14:paraId="414F6391" w14:textId="77777777" w:rsidR="00587C7F" w:rsidRDefault="00615B75">
      <w:pPr>
        <w:pStyle w:val="Heading1"/>
        <w:shd w:val="clear" w:color="auto" w:fill="1F4E79"/>
        <w:ind w:left="120" w:right="120"/>
      </w:pPr>
      <w:r>
        <w:t>Terms of Reference</w:t>
      </w:r>
    </w:p>
    <w:p w14:paraId="1DAB7CE8" w14:textId="77777777" w:rsidR="00587C7F" w:rsidRDefault="00587C7F">
      <w:pPr>
        <w:spacing w:before="40" w:after="40"/>
      </w:pPr>
    </w:p>
    <w:p w14:paraId="56E391D8" w14:textId="1546734B" w:rsidR="00587C7F" w:rsidRDefault="00615B75">
      <w:pPr>
        <w:spacing w:before="60" w:after="60"/>
      </w:pPr>
      <w:r>
        <w:t>This section sets out the purpose, scope, and limits of the C</w:t>
      </w:r>
      <w:r w:rsidR="00CD141B">
        <w:t>BAM</w:t>
      </w:r>
      <w:r>
        <w:t xml:space="preserve"> Policy Dashboard.</w:t>
      </w:r>
    </w:p>
    <w:p w14:paraId="735EE2D5" w14:textId="77777777" w:rsidR="00587C7F" w:rsidRDefault="00587C7F">
      <w:pPr>
        <w:spacing w:before="40" w:after="40"/>
      </w:pPr>
    </w:p>
    <w:p w14:paraId="1A30FDA4" w14:textId="77777777" w:rsidR="00587C7F" w:rsidRDefault="00615B75">
      <w:pPr>
        <w:pStyle w:val="Heading2"/>
        <w:pBdr>
          <w:bottom w:val="single" w:sz="4" w:space="2" w:color="2E75B6"/>
        </w:pBdr>
      </w:pPr>
      <w:r>
        <w:t>Purpose</w:t>
      </w:r>
    </w:p>
    <w:p w14:paraId="647F4495" w14:textId="77777777" w:rsidR="00587C7F" w:rsidRDefault="00615B75">
      <w:pPr>
        <w:spacing w:before="60" w:after="60"/>
      </w:pPr>
      <w:r>
        <w:t>The dashboard was built to support the World Bank Climate Fiscal Team's advisory work on carbon pricing and CBAM exposure in developing and emerging economies. It serves three purposes:</w:t>
      </w:r>
    </w:p>
    <w:p w14:paraId="0176F754" w14:textId="77777777" w:rsidR="00587C7F" w:rsidRDefault="00615B75">
      <w:pPr>
        <w:pStyle w:val="ListParagraph"/>
        <w:numPr>
          <w:ilvl w:val="0"/>
          <w:numId w:val="2"/>
        </w:numPr>
        <w:spacing w:before="40" w:after="40"/>
      </w:pPr>
      <w:r>
        <w:rPr>
          <w:b/>
          <w:bCs/>
        </w:rPr>
        <w:t>Policy analysis:</w:t>
      </w:r>
      <w:r>
        <w:t xml:space="preserve"> estimating the fiscal costs and revenue opportunities that CBAM creates for exporting countries, and identifying the domestic carbon price that fully captures CBAM revenue.</w:t>
      </w:r>
    </w:p>
    <w:p w14:paraId="4BFAF3E8" w14:textId="77777777" w:rsidR="00587C7F" w:rsidRDefault="00615B75">
      <w:pPr>
        <w:pStyle w:val="ListParagraph"/>
        <w:numPr>
          <w:ilvl w:val="0"/>
          <w:numId w:val="2"/>
        </w:numPr>
        <w:spacing w:before="40" w:after="40"/>
      </w:pPr>
      <w:r>
        <w:rPr>
          <w:b/>
          <w:bCs/>
        </w:rPr>
        <w:t>Country diagnostics:</w:t>
      </w:r>
      <w:r>
        <w:t xml:space="preserve"> comparing a country's actual emission intensity (computed from local energy data) with the EU's default assumptions, to assess whether submitting verified MRV data would reduce costs.</w:t>
      </w:r>
    </w:p>
    <w:p w14:paraId="756BF36E" w14:textId="77777777" w:rsidR="00587C7F" w:rsidRDefault="00615B75">
      <w:pPr>
        <w:pStyle w:val="ListParagraph"/>
        <w:numPr>
          <w:ilvl w:val="0"/>
          <w:numId w:val="2"/>
        </w:numPr>
        <w:spacing w:before="40" w:after="40"/>
      </w:pPr>
      <w:r>
        <w:rPr>
          <w:b/>
          <w:bCs/>
        </w:rPr>
        <w:t>Scenario testing:</w:t>
      </w:r>
      <w:r>
        <w:t xml:space="preserve"> changing country, year, coverage scope, and carbon price to understand how results change under different assumptions.</w:t>
      </w:r>
    </w:p>
    <w:p w14:paraId="4966BAB2" w14:textId="77777777" w:rsidR="00587C7F" w:rsidRDefault="00587C7F">
      <w:pPr>
        <w:spacing w:before="40" w:after="40"/>
      </w:pPr>
    </w:p>
    <w:p w14:paraId="051522B2" w14:textId="77777777" w:rsidR="00587C7F" w:rsidRDefault="00615B75">
      <w:pPr>
        <w:pStyle w:val="Heading2"/>
        <w:pBdr>
          <w:bottom w:val="single" w:sz="4" w:space="2" w:color="2E75B6"/>
        </w:pBdr>
      </w:pPr>
      <w:r>
        <w:t>Scope</w:t>
      </w:r>
    </w:p>
    <w:p w14:paraId="16E0CCF3" w14:textId="77777777" w:rsidR="00587C7F" w:rsidRDefault="00615B75">
      <w:pPr>
        <w:spacing w:before="60" w:after="60"/>
      </w:pPr>
      <w:r>
        <w:t>The model covers:</w:t>
      </w:r>
    </w:p>
    <w:p w14:paraId="4923484A" w14:textId="77777777" w:rsidR="00587C7F" w:rsidRDefault="00615B75">
      <w:pPr>
        <w:pStyle w:val="ListParagraph"/>
        <w:numPr>
          <w:ilvl w:val="0"/>
          <w:numId w:val="2"/>
        </w:numPr>
        <w:spacing w:before="40" w:after="40"/>
      </w:pPr>
      <w:r>
        <w:t>Five countries: Egypt, Albania, Uzbekistan, Azerbaijan, India.</w:t>
      </w:r>
    </w:p>
    <w:p w14:paraId="699919B2" w14:textId="77777777" w:rsidR="00587C7F" w:rsidRDefault="00615B75">
      <w:pPr>
        <w:pStyle w:val="ListParagraph"/>
        <w:numPr>
          <w:ilvl w:val="0"/>
          <w:numId w:val="2"/>
        </w:numPr>
        <w:spacing w:before="40" w:after="40"/>
      </w:pPr>
      <w:r>
        <w:t>Ten product categories in the CBAM-covered sectors: four steel routes, cement, three nitrogen fertilisers, ammonia, and primary aluminium.</w:t>
      </w:r>
    </w:p>
    <w:p w14:paraId="317BA133" w14:textId="77777777" w:rsidR="00587C7F" w:rsidRDefault="00615B75">
      <w:pPr>
        <w:pStyle w:val="ListParagraph"/>
        <w:numPr>
          <w:ilvl w:val="0"/>
          <w:numId w:val="2"/>
        </w:numPr>
        <w:spacing w:before="40" w:after="40"/>
      </w:pPr>
      <w:r>
        <w:t>Twelve years: 2024 to 2035.</w:t>
      </w:r>
    </w:p>
    <w:p w14:paraId="6EE3EBB4" w14:textId="77777777" w:rsidR="00587C7F" w:rsidRDefault="00615B75">
      <w:pPr>
        <w:pStyle w:val="ListParagraph"/>
        <w:numPr>
          <w:ilvl w:val="0"/>
          <w:numId w:val="2"/>
        </w:numPr>
        <w:spacing w:before="40" w:after="40"/>
      </w:pPr>
      <w:r>
        <w:t>The definitive phase of CBAM, which began on 1 January 2026 under Regulation (EU) 2023/956 as amended by Regulation (EU) 2025/2083.</w:t>
      </w:r>
    </w:p>
    <w:p w14:paraId="38D651DA" w14:textId="77777777" w:rsidR="00587C7F" w:rsidRDefault="00587C7F">
      <w:pPr>
        <w:spacing w:before="40" w:after="40"/>
      </w:pPr>
    </w:p>
    <w:p w14:paraId="110EDC9C" w14:textId="77777777" w:rsidR="00587C7F" w:rsidRDefault="00615B75">
      <w:pPr>
        <w:pStyle w:val="Heading2"/>
        <w:pBdr>
          <w:bottom w:val="single" w:sz="4" w:space="2" w:color="2E75B6"/>
        </w:pBdr>
      </w:pPr>
      <w:r>
        <w:lastRenderedPageBreak/>
        <w:t>What the tool does not do</w:t>
      </w:r>
    </w:p>
    <w:p w14:paraId="0231F9EF" w14:textId="77777777" w:rsidR="00587C7F" w:rsidRDefault="00615B75">
      <w:pPr>
        <w:spacing w:before="60" w:after="60"/>
      </w:pPr>
      <w:r>
        <w:t>The following are outside the scope of this version:</w:t>
      </w:r>
    </w:p>
    <w:p w14:paraId="524DEE36" w14:textId="77777777" w:rsidR="00587C7F" w:rsidRDefault="00615B75">
      <w:pPr>
        <w:pStyle w:val="ListParagraph"/>
        <w:numPr>
          <w:ilvl w:val="0"/>
          <w:numId w:val="2"/>
        </w:numPr>
        <w:spacing w:before="40" w:after="40"/>
      </w:pPr>
      <w:r>
        <w:t>Hydrogen and electricity, which are covered by CBAM but not modelled here.</w:t>
      </w:r>
    </w:p>
    <w:p w14:paraId="12B863CA" w14:textId="77777777" w:rsidR="00587C7F" w:rsidRDefault="00615B75">
      <w:pPr>
        <w:pStyle w:val="ListParagraph"/>
        <w:numPr>
          <w:ilvl w:val="0"/>
          <w:numId w:val="2"/>
        </w:numPr>
        <w:spacing w:before="40" w:after="40"/>
      </w:pPr>
      <w:r>
        <w:t>Downstream CBAM products (CN codes for vehicle parts, machinery, and other derivatives) proposed in COM(2025)989 — not yet adopted as of May 2026.</w:t>
      </w:r>
    </w:p>
    <w:p w14:paraId="46D90284" w14:textId="77777777" w:rsidR="00587C7F" w:rsidRDefault="00615B75">
      <w:pPr>
        <w:pStyle w:val="ListParagraph"/>
        <w:numPr>
          <w:ilvl w:val="0"/>
          <w:numId w:val="2"/>
        </w:numPr>
        <w:spacing w:before="40" w:after="40"/>
      </w:pPr>
      <w:r>
        <w:t>Facility-level MRV calculations. The model works at country-sector level. Egypt has a separate facility tab, but it is not yet integrated into the main revenue calculations.</w:t>
      </w:r>
    </w:p>
    <w:p w14:paraId="0E425C65" w14:textId="77777777" w:rsidR="00587C7F" w:rsidRDefault="00615B75">
      <w:pPr>
        <w:pStyle w:val="ListParagraph"/>
        <w:numPr>
          <w:ilvl w:val="0"/>
          <w:numId w:val="2"/>
        </w:numPr>
        <w:spacing w:before="40" w:after="40"/>
      </w:pPr>
      <w:r>
        <w:t>Dynamic trade responses. Export and import shares are fixed inputs; the model does not estimate how trade volumes change when carbon prices shift.</w:t>
      </w:r>
    </w:p>
    <w:p w14:paraId="22DF4B63" w14:textId="77777777" w:rsidR="00587C7F" w:rsidRDefault="00615B75">
      <w:pPr>
        <w:pStyle w:val="ListParagraph"/>
        <w:numPr>
          <w:ilvl w:val="0"/>
          <w:numId w:val="2"/>
        </w:numPr>
        <w:spacing w:before="40" w:after="40"/>
      </w:pPr>
      <w:r>
        <w:t>Revenue recycling or distributional effects within a country.</w:t>
      </w:r>
    </w:p>
    <w:p w14:paraId="6B5BCD62" w14:textId="77777777" w:rsidR="00587C7F" w:rsidRDefault="00587C7F">
      <w:pPr>
        <w:spacing w:before="40" w:after="40"/>
      </w:pPr>
    </w:p>
    <w:p w14:paraId="3BE32030" w14:textId="77777777" w:rsidR="00587C7F" w:rsidRDefault="00615B75">
      <w:pPr>
        <w:pStyle w:val="Heading2"/>
        <w:pBdr>
          <w:bottom w:val="single" w:sz="4" w:space="2" w:color="2E75B6"/>
        </w:pBdr>
      </w:pPr>
      <w:r>
        <w:t>Intended users</w:t>
      </w:r>
    </w:p>
    <w:p w14:paraId="1356A762" w14:textId="77777777" w:rsidR="00587C7F" w:rsidRDefault="00615B75">
      <w:pPr>
        <w:spacing w:before="60" w:after="60"/>
      </w:pPr>
      <w:r>
        <w:t>The dashboard is designed for World Bank economists and country counterparts with a basic understanding of carbon pricing. It is not a legal compliance tool and should not be used to calculate actual CBAM certificate obligations for a specific company or shipment.</w:t>
      </w:r>
    </w:p>
    <w:p w14:paraId="7E601B30" w14:textId="77777777" w:rsidR="00587C7F" w:rsidRDefault="00587C7F">
      <w:pPr>
        <w:spacing w:before="40" w:after="40"/>
      </w:pPr>
    </w:p>
    <w:p w14:paraId="47FFF04E" w14:textId="77777777" w:rsidR="00587C7F" w:rsidRDefault="00615B75">
      <w:pPr>
        <w:pStyle w:val="Heading2"/>
        <w:pBdr>
          <w:bottom w:val="single" w:sz="4" w:space="2" w:color="2E75B6"/>
        </w:pBdr>
      </w:pPr>
      <w:r>
        <w:t>Limitations and caveats</w:t>
      </w:r>
    </w:p>
    <w:p w14:paraId="40B2C185" w14:textId="77777777" w:rsidR="00587C7F" w:rsidRDefault="00615B75">
      <w:pPr>
        <w:pStyle w:val="ListParagraph"/>
        <w:numPr>
          <w:ilvl w:val="0"/>
          <w:numId w:val="2"/>
        </w:numPr>
        <w:spacing w:before="40" w:after="40"/>
      </w:pPr>
      <w:r>
        <w:rPr>
          <w:b/>
          <w:bCs/>
        </w:rPr>
        <w:t>Energy intensity data</w:t>
      </w:r>
      <w:r>
        <w:t xml:space="preserve"> is sourced from public databases and industry benchmarks. Country-specific data has varying quality, and the inputs for smaller or less-documented producers (Albania, Azerbaijan) are based on analogues and should be treated with more caution than the Egypt or India inputs.</w:t>
      </w:r>
    </w:p>
    <w:p w14:paraId="24B6D559" w14:textId="77777777" w:rsidR="00587C7F" w:rsidRDefault="00615B75">
      <w:pPr>
        <w:pStyle w:val="ListParagraph"/>
        <w:numPr>
          <w:ilvl w:val="0"/>
          <w:numId w:val="2"/>
        </w:numPr>
        <w:spacing w:before="40" w:after="40"/>
      </w:pPr>
      <w:r>
        <w:rPr>
          <w:b/>
          <w:bCs/>
        </w:rPr>
        <w:t>Production projections</w:t>
      </w:r>
      <w:r>
        <w:t xml:space="preserve"> grow GDP-linked at a fixed elasticity. They do not reflect announced capacity changes, plant closures, or policy-driven technology transitions.</w:t>
      </w:r>
    </w:p>
    <w:p w14:paraId="15237C7E" w14:textId="77777777" w:rsidR="00587C7F" w:rsidRDefault="00615B75">
      <w:pPr>
        <w:pStyle w:val="ListParagraph"/>
        <w:numPr>
          <w:ilvl w:val="0"/>
          <w:numId w:val="2"/>
        </w:numPr>
        <w:spacing w:before="40" w:after="40"/>
      </w:pPr>
      <w:r>
        <w:rPr>
          <w:b/>
          <w:bCs/>
        </w:rPr>
        <w:t>EU ETS price path</w:t>
      </w:r>
      <w:r>
        <w:t xml:space="preserve"> is a working assumption, not a forecast. The actual ETS price may diverge significantly.</w:t>
      </w:r>
    </w:p>
    <w:p w14:paraId="0D6BBA5B" w14:textId="77777777" w:rsidR="00587C7F" w:rsidRDefault="00615B75">
      <w:pPr>
        <w:pStyle w:val="ListParagraph"/>
        <w:numPr>
          <w:ilvl w:val="0"/>
          <w:numId w:val="2"/>
        </w:numPr>
        <w:spacing w:before="40" w:after="40"/>
      </w:pPr>
      <w:r>
        <w:rPr>
          <w:b/>
          <w:bCs/>
        </w:rPr>
        <w:t>CBAM default values</w:t>
      </w:r>
      <w:r>
        <w:t xml:space="preserve"> were taken from IR 2025/2621 (December 2025). They are subject to revision by December 2027 at the latest.</w:t>
      </w:r>
    </w:p>
    <w:p w14:paraId="78D8DA98" w14:textId="77777777" w:rsidR="00587C7F" w:rsidRDefault="00615B75">
      <w:pPr>
        <w:pStyle w:val="ListParagraph"/>
        <w:numPr>
          <w:ilvl w:val="0"/>
          <w:numId w:val="2"/>
        </w:numPr>
        <w:spacing w:before="40" w:after="40"/>
      </w:pPr>
      <w:r>
        <w:rPr>
          <w:b/>
          <w:bCs/>
        </w:rPr>
        <w:t>No independent audit</w:t>
      </w:r>
      <w:r>
        <w:t xml:space="preserve"> of the model formulas has been conducted. Results should be cross-checked against external estimates before being cited in official policy documents.</w:t>
      </w:r>
    </w:p>
    <w:p w14:paraId="3246F97F" w14:textId="77777777" w:rsidR="00587C7F" w:rsidRDefault="00587C7F">
      <w:pPr>
        <w:spacing w:before="40" w:after="40"/>
      </w:pPr>
    </w:p>
    <w:p w14:paraId="67DE55C6" w14:textId="77777777" w:rsidR="00587C7F" w:rsidRDefault="00615B75">
      <w:r>
        <w:br w:type="page"/>
      </w:r>
    </w:p>
    <w:p w14:paraId="578D888F" w14:textId="77777777" w:rsidR="00587C7F" w:rsidRDefault="00615B75">
      <w:pPr>
        <w:pStyle w:val="Heading1"/>
        <w:shd w:val="clear" w:color="auto" w:fill="1F4E79"/>
        <w:ind w:left="120" w:right="120"/>
      </w:pPr>
      <w:r>
        <w:lastRenderedPageBreak/>
        <w:t>Executive Summary</w:t>
      </w:r>
    </w:p>
    <w:p w14:paraId="6BBCCAE9" w14:textId="77777777" w:rsidR="00587C7F" w:rsidRDefault="00587C7F">
      <w:pPr>
        <w:spacing w:before="40" w:after="40"/>
      </w:pPr>
    </w:p>
    <w:p w14:paraId="44C13B3D" w14:textId="77777777" w:rsidR="00587C7F" w:rsidRDefault="00615B75">
      <w:pPr>
        <w:pStyle w:val="Heading2"/>
        <w:pBdr>
          <w:bottom w:val="single" w:sz="4" w:space="2" w:color="2E75B6"/>
        </w:pBdr>
      </w:pPr>
      <w:r>
        <w:t>What CBAM means for exporting countries</w:t>
      </w:r>
    </w:p>
    <w:p w14:paraId="440A70E5" w14:textId="77777777" w:rsidR="00587C7F" w:rsidRDefault="00615B75">
      <w:pPr>
        <w:spacing w:before="60" w:after="60"/>
      </w:pPr>
      <w:r>
        <w:t>The EU's Carbon Border Adjustment Mechanism requires importers of steel, cement, fertilisers, aluminium, hydrogen, and electricity to buy certificates proportional to the carbon embedded in their goods. The mechanism is fully in force from January 2026 and phases in gradually until 2034, when 100% of embedded emissions must be covered.</w:t>
      </w:r>
    </w:p>
    <w:p w14:paraId="5F99E3F2" w14:textId="77777777" w:rsidR="00587C7F" w:rsidRDefault="00615B75">
      <w:pPr>
        <w:spacing w:before="60" w:after="60"/>
      </w:pPr>
      <w:r>
        <w:t>For exporting countries, CBAM creates a choice: set a domestic carbon price and keep the revenue at home, or leave it for the EU to collect. The optimal strategy — from a national fiscal perspective — is to set a domestic price that exactly matches the CBAM certificate cost, so that importing country companies pay a carbon price but the money stays in the exporting country.</w:t>
      </w:r>
    </w:p>
    <w:p w14:paraId="2DCAA431" w14:textId="77777777" w:rsidR="00587C7F" w:rsidRDefault="00587C7F">
      <w:pPr>
        <w:spacing w:before="40" w:after="40"/>
      </w:pPr>
    </w:p>
    <w:p w14:paraId="5209A725" w14:textId="77777777" w:rsidR="00587C7F" w:rsidRDefault="00615B75">
      <w:pPr>
        <w:pStyle w:val="Heading2"/>
        <w:pBdr>
          <w:bottom w:val="single" w:sz="4" w:space="2" w:color="2E75B6"/>
        </w:pBdr>
      </w:pPr>
      <w:r>
        <w:t>Key findings for the five countries (2030)</w:t>
      </w:r>
    </w:p>
    <w:p w14:paraId="575E0AE2" w14:textId="77777777" w:rsidR="00587C7F" w:rsidRDefault="00587C7F">
      <w:pPr>
        <w:spacing w:before="40" w:after="40"/>
      </w:pPr>
    </w:p>
    <w:tbl>
      <w:tblPr>
        <w:tblW w:w="89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680"/>
        <w:gridCol w:w="1680"/>
        <w:gridCol w:w="1800"/>
        <w:gridCol w:w="1800"/>
      </w:tblGrid>
      <w:tr w:rsidR="00587C7F" w14:paraId="58CF1428" w14:textId="77777777">
        <w:trPr>
          <w:tblHeader/>
        </w:trPr>
        <w:tc>
          <w:tcPr>
            <w:tcW w:w="2000" w:type="dxa"/>
            <w:tcBorders>
              <w:top w:val="single" w:sz="1" w:space="0" w:color="C0C0C0"/>
              <w:left w:val="single" w:sz="1" w:space="0" w:color="C0C0C0"/>
              <w:bottom w:val="single" w:sz="1" w:space="0" w:color="C0C0C0"/>
              <w:right w:val="single" w:sz="1" w:space="0" w:color="C0C0C0"/>
            </w:tcBorders>
            <w:shd w:val="clear" w:color="auto" w:fill="2E75B6"/>
            <w:tcMar>
              <w:top w:w="80" w:type="dxa"/>
              <w:left w:w="120" w:type="dxa"/>
              <w:bottom w:w="80" w:type="dxa"/>
              <w:right w:w="120" w:type="dxa"/>
            </w:tcMar>
            <w:vAlign w:val="center"/>
          </w:tcPr>
          <w:p w14:paraId="4DD47524" w14:textId="77777777" w:rsidR="00587C7F" w:rsidRDefault="00615B75">
            <w:pPr>
              <w:jc w:val="center"/>
            </w:pPr>
            <w:r>
              <w:rPr>
                <w:b/>
                <w:bCs/>
                <w:color w:val="FFFFFF"/>
                <w:sz w:val="16"/>
                <w:szCs w:val="16"/>
              </w:rPr>
              <w:t>Country</w:t>
            </w:r>
          </w:p>
        </w:tc>
        <w:tc>
          <w:tcPr>
            <w:tcW w:w="1680" w:type="dxa"/>
            <w:tcBorders>
              <w:top w:val="single" w:sz="1" w:space="0" w:color="C0C0C0"/>
              <w:left w:val="single" w:sz="1" w:space="0" w:color="C0C0C0"/>
              <w:bottom w:val="single" w:sz="1" w:space="0" w:color="C0C0C0"/>
              <w:right w:val="single" w:sz="1" w:space="0" w:color="C0C0C0"/>
            </w:tcBorders>
            <w:shd w:val="clear" w:color="auto" w:fill="2E75B6"/>
            <w:tcMar>
              <w:top w:w="80" w:type="dxa"/>
              <w:left w:w="120" w:type="dxa"/>
              <w:bottom w:w="80" w:type="dxa"/>
              <w:right w:w="120" w:type="dxa"/>
            </w:tcMar>
            <w:vAlign w:val="center"/>
          </w:tcPr>
          <w:p w14:paraId="6A9EB546" w14:textId="77777777" w:rsidR="00587C7F" w:rsidRDefault="00615B75">
            <w:pPr>
              <w:jc w:val="center"/>
            </w:pPr>
            <w:r>
              <w:rPr>
                <w:b/>
                <w:bCs/>
                <w:color w:val="FFFFFF"/>
                <w:sz w:val="16"/>
                <w:szCs w:val="16"/>
              </w:rPr>
              <w:t>Optimal CP ($/tCO₂)</w:t>
            </w:r>
          </w:p>
        </w:tc>
        <w:tc>
          <w:tcPr>
            <w:tcW w:w="1680" w:type="dxa"/>
            <w:tcBorders>
              <w:top w:val="single" w:sz="1" w:space="0" w:color="C0C0C0"/>
              <w:left w:val="single" w:sz="1" w:space="0" w:color="C0C0C0"/>
              <w:bottom w:val="single" w:sz="1" w:space="0" w:color="C0C0C0"/>
              <w:right w:val="single" w:sz="1" w:space="0" w:color="C0C0C0"/>
            </w:tcBorders>
            <w:shd w:val="clear" w:color="auto" w:fill="2E75B6"/>
            <w:tcMar>
              <w:top w:w="80" w:type="dxa"/>
              <w:left w:w="120" w:type="dxa"/>
              <w:bottom w:w="80" w:type="dxa"/>
              <w:right w:w="120" w:type="dxa"/>
            </w:tcMar>
            <w:vAlign w:val="center"/>
          </w:tcPr>
          <w:p w14:paraId="659D3E68" w14:textId="77777777" w:rsidR="00587C7F" w:rsidRDefault="00615B75">
            <w:pPr>
              <w:jc w:val="center"/>
            </w:pPr>
            <w:r>
              <w:rPr>
                <w:b/>
                <w:bCs/>
                <w:color w:val="FFFFFF"/>
                <w:sz w:val="16"/>
                <w:szCs w:val="16"/>
              </w:rPr>
              <w:t>CBAM gross (USD m)</w:t>
            </w:r>
          </w:p>
        </w:tc>
        <w:tc>
          <w:tcPr>
            <w:tcW w:w="1800" w:type="dxa"/>
            <w:tcBorders>
              <w:top w:val="single" w:sz="1" w:space="0" w:color="C0C0C0"/>
              <w:left w:val="single" w:sz="1" w:space="0" w:color="C0C0C0"/>
              <w:bottom w:val="single" w:sz="1" w:space="0" w:color="C0C0C0"/>
              <w:right w:val="single" w:sz="1" w:space="0" w:color="C0C0C0"/>
            </w:tcBorders>
            <w:shd w:val="clear" w:color="auto" w:fill="2E75B6"/>
            <w:tcMar>
              <w:top w:w="80" w:type="dxa"/>
              <w:left w:w="120" w:type="dxa"/>
              <w:bottom w:w="80" w:type="dxa"/>
              <w:right w:w="120" w:type="dxa"/>
            </w:tcMar>
            <w:vAlign w:val="center"/>
          </w:tcPr>
          <w:p w14:paraId="5C6FFEE9" w14:textId="77777777" w:rsidR="00587C7F" w:rsidRDefault="00615B75">
            <w:pPr>
              <w:jc w:val="center"/>
            </w:pPr>
            <w:r>
              <w:rPr>
                <w:b/>
                <w:bCs/>
                <w:color w:val="FFFFFF"/>
                <w:sz w:val="16"/>
                <w:szCs w:val="16"/>
              </w:rPr>
              <w:t>Total revenue (USD m)</w:t>
            </w:r>
          </w:p>
        </w:tc>
        <w:tc>
          <w:tcPr>
            <w:tcW w:w="1800" w:type="dxa"/>
            <w:tcBorders>
              <w:top w:val="single" w:sz="1" w:space="0" w:color="C0C0C0"/>
              <w:left w:val="single" w:sz="1" w:space="0" w:color="C0C0C0"/>
              <w:bottom w:val="single" w:sz="1" w:space="0" w:color="C0C0C0"/>
              <w:right w:val="single" w:sz="1" w:space="0" w:color="C0C0C0"/>
            </w:tcBorders>
            <w:shd w:val="clear" w:color="auto" w:fill="2E75B6"/>
            <w:tcMar>
              <w:top w:w="80" w:type="dxa"/>
              <w:left w:w="120" w:type="dxa"/>
              <w:bottom w:w="80" w:type="dxa"/>
              <w:right w:w="120" w:type="dxa"/>
            </w:tcMar>
            <w:vAlign w:val="center"/>
          </w:tcPr>
          <w:p w14:paraId="4F931666" w14:textId="77777777" w:rsidR="00587C7F" w:rsidRDefault="00615B75">
            <w:pPr>
              <w:jc w:val="center"/>
            </w:pPr>
            <w:r>
              <w:rPr>
                <w:b/>
                <w:bCs/>
                <w:color w:val="FFFFFF"/>
                <w:sz w:val="16"/>
                <w:szCs w:val="16"/>
              </w:rPr>
              <w:t>EU retained (USD m)</w:t>
            </w:r>
          </w:p>
        </w:tc>
      </w:tr>
      <w:tr w:rsidR="00587C7F" w14:paraId="79F8B459" w14:textId="77777777">
        <w:tc>
          <w:tcPr>
            <w:tcW w:w="20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1B4518DA" w14:textId="77777777" w:rsidR="00587C7F" w:rsidRDefault="00615B75">
            <w:r>
              <w:rPr>
                <w:sz w:val="18"/>
                <w:szCs w:val="18"/>
              </w:rPr>
              <w:t>Egypt</w:t>
            </w:r>
          </w:p>
        </w:tc>
        <w:tc>
          <w:tcPr>
            <w:tcW w:w="16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44D72043" w14:textId="77777777" w:rsidR="00587C7F" w:rsidRDefault="00615B75">
            <w:pPr>
              <w:jc w:val="center"/>
            </w:pPr>
            <w:r>
              <w:rPr>
                <w:sz w:val="18"/>
                <w:szCs w:val="18"/>
              </w:rPr>
              <w:t>$94</w:t>
            </w:r>
          </w:p>
        </w:tc>
        <w:tc>
          <w:tcPr>
            <w:tcW w:w="16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0BFD859B" w14:textId="77777777" w:rsidR="00587C7F" w:rsidRDefault="00615B75">
            <w:pPr>
              <w:jc w:val="center"/>
            </w:pPr>
            <w:r>
              <w:rPr>
                <w:sz w:val="18"/>
                <w:szCs w:val="18"/>
              </w:rPr>
              <w:t>$376</w:t>
            </w:r>
          </w:p>
        </w:tc>
        <w:tc>
          <w:tcPr>
            <w:tcW w:w="18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17FB47EE" w14:textId="77777777" w:rsidR="00587C7F" w:rsidRDefault="00615B75">
            <w:pPr>
              <w:jc w:val="center"/>
            </w:pPr>
            <w:r>
              <w:rPr>
                <w:sz w:val="18"/>
                <w:szCs w:val="18"/>
              </w:rPr>
              <w:t>$8,134</w:t>
            </w:r>
          </w:p>
        </w:tc>
        <w:tc>
          <w:tcPr>
            <w:tcW w:w="18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1E0326EA" w14:textId="77777777" w:rsidR="00587C7F" w:rsidRDefault="00615B75">
            <w:pPr>
              <w:jc w:val="center"/>
            </w:pPr>
            <w:r>
              <w:rPr>
                <w:sz w:val="18"/>
                <w:szCs w:val="18"/>
              </w:rPr>
              <w:t>$0</w:t>
            </w:r>
          </w:p>
        </w:tc>
      </w:tr>
      <w:tr w:rsidR="00587C7F" w14:paraId="546F0AE8" w14:textId="77777777">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552BB643" w14:textId="77777777" w:rsidR="00587C7F" w:rsidRDefault="00615B75">
            <w:r>
              <w:rPr>
                <w:sz w:val="18"/>
                <w:szCs w:val="18"/>
              </w:rPr>
              <w:t>Albania</w:t>
            </w:r>
          </w:p>
        </w:tc>
        <w:tc>
          <w:tcPr>
            <w:tcW w:w="16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08FC12F7" w14:textId="77777777" w:rsidR="00587C7F" w:rsidRDefault="00615B75">
            <w:pPr>
              <w:jc w:val="center"/>
            </w:pPr>
            <w:r>
              <w:rPr>
                <w:sz w:val="18"/>
                <w:szCs w:val="18"/>
              </w:rPr>
              <w:t>$71</w:t>
            </w:r>
          </w:p>
        </w:tc>
        <w:tc>
          <w:tcPr>
            <w:tcW w:w="16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4970536A" w14:textId="77777777" w:rsidR="00587C7F" w:rsidRDefault="00615B75">
            <w:pPr>
              <w:jc w:val="center"/>
            </w:pPr>
            <w:r>
              <w:rPr>
                <w:sz w:val="18"/>
                <w:szCs w:val="18"/>
              </w:rPr>
              <w:t>$43</w:t>
            </w:r>
          </w:p>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753CE07F" w14:textId="77777777" w:rsidR="00587C7F" w:rsidRDefault="00615B75">
            <w:pPr>
              <w:jc w:val="center"/>
            </w:pPr>
            <w:r>
              <w:rPr>
                <w:sz w:val="18"/>
                <w:szCs w:val="18"/>
              </w:rPr>
              <w:t>$130</w:t>
            </w:r>
          </w:p>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3B7D63EB" w14:textId="77777777" w:rsidR="00587C7F" w:rsidRDefault="00615B75">
            <w:pPr>
              <w:jc w:val="center"/>
            </w:pPr>
            <w:r>
              <w:rPr>
                <w:sz w:val="18"/>
                <w:szCs w:val="18"/>
              </w:rPr>
              <w:t>$0</w:t>
            </w:r>
          </w:p>
        </w:tc>
      </w:tr>
      <w:tr w:rsidR="00587C7F" w14:paraId="3C529AF3" w14:textId="77777777">
        <w:tc>
          <w:tcPr>
            <w:tcW w:w="20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43024CA2" w14:textId="77777777" w:rsidR="00587C7F" w:rsidRDefault="00615B75">
            <w:r>
              <w:rPr>
                <w:sz w:val="18"/>
                <w:szCs w:val="18"/>
              </w:rPr>
              <w:t>Uzbekistan</w:t>
            </w:r>
          </w:p>
        </w:tc>
        <w:tc>
          <w:tcPr>
            <w:tcW w:w="16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4A42C156" w14:textId="77777777" w:rsidR="00587C7F" w:rsidRDefault="00615B75">
            <w:pPr>
              <w:jc w:val="center"/>
            </w:pPr>
            <w:r>
              <w:rPr>
                <w:sz w:val="18"/>
                <w:szCs w:val="18"/>
              </w:rPr>
              <w:t>$69</w:t>
            </w:r>
          </w:p>
        </w:tc>
        <w:tc>
          <w:tcPr>
            <w:tcW w:w="16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7DFFDBF3" w14:textId="77777777" w:rsidR="00587C7F" w:rsidRDefault="00615B75">
            <w:pPr>
              <w:jc w:val="center"/>
            </w:pPr>
            <w:r>
              <w:rPr>
                <w:sz w:val="18"/>
                <w:szCs w:val="18"/>
              </w:rPr>
              <w:t>$37</w:t>
            </w:r>
          </w:p>
        </w:tc>
        <w:tc>
          <w:tcPr>
            <w:tcW w:w="18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5BA60611" w14:textId="77777777" w:rsidR="00587C7F" w:rsidRDefault="00615B75">
            <w:pPr>
              <w:jc w:val="center"/>
            </w:pPr>
            <w:r>
              <w:rPr>
                <w:sz w:val="18"/>
                <w:szCs w:val="18"/>
              </w:rPr>
              <w:t>$1,588</w:t>
            </w:r>
          </w:p>
        </w:tc>
        <w:tc>
          <w:tcPr>
            <w:tcW w:w="18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0B439FB5" w14:textId="77777777" w:rsidR="00587C7F" w:rsidRDefault="00615B75">
            <w:pPr>
              <w:jc w:val="center"/>
            </w:pPr>
            <w:r>
              <w:rPr>
                <w:sz w:val="18"/>
                <w:szCs w:val="18"/>
              </w:rPr>
              <w:t>$0</w:t>
            </w:r>
          </w:p>
        </w:tc>
      </w:tr>
      <w:tr w:rsidR="00587C7F" w14:paraId="04BBAD7C" w14:textId="77777777">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480F3EF5" w14:textId="77777777" w:rsidR="00587C7F" w:rsidRDefault="00615B75">
            <w:r>
              <w:rPr>
                <w:sz w:val="18"/>
                <w:szCs w:val="18"/>
              </w:rPr>
              <w:t>Azerbaijan</w:t>
            </w:r>
          </w:p>
        </w:tc>
        <w:tc>
          <w:tcPr>
            <w:tcW w:w="16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0BEF1F50" w14:textId="77777777" w:rsidR="00587C7F" w:rsidRDefault="00615B75">
            <w:pPr>
              <w:jc w:val="center"/>
            </w:pPr>
            <w:r>
              <w:rPr>
                <w:sz w:val="18"/>
                <w:szCs w:val="18"/>
              </w:rPr>
              <w:t>$68</w:t>
            </w:r>
          </w:p>
        </w:tc>
        <w:tc>
          <w:tcPr>
            <w:tcW w:w="16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6F90FF86" w14:textId="77777777" w:rsidR="00587C7F" w:rsidRDefault="00615B75">
            <w:pPr>
              <w:jc w:val="center"/>
            </w:pPr>
            <w:r>
              <w:rPr>
                <w:sz w:val="18"/>
                <w:szCs w:val="18"/>
              </w:rPr>
              <w:t>$11</w:t>
            </w:r>
          </w:p>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28A7B21D" w14:textId="77777777" w:rsidR="00587C7F" w:rsidRDefault="00615B75">
            <w:pPr>
              <w:jc w:val="center"/>
            </w:pPr>
            <w:r>
              <w:rPr>
                <w:sz w:val="18"/>
                <w:szCs w:val="18"/>
              </w:rPr>
              <w:t>$323</w:t>
            </w:r>
          </w:p>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4468D4E2" w14:textId="77777777" w:rsidR="00587C7F" w:rsidRDefault="00615B75">
            <w:pPr>
              <w:jc w:val="center"/>
            </w:pPr>
            <w:r>
              <w:rPr>
                <w:sz w:val="18"/>
                <w:szCs w:val="18"/>
              </w:rPr>
              <w:t>$0</w:t>
            </w:r>
          </w:p>
        </w:tc>
      </w:tr>
      <w:tr w:rsidR="00587C7F" w14:paraId="7EB2BEDC" w14:textId="77777777">
        <w:tc>
          <w:tcPr>
            <w:tcW w:w="20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2EFB172F" w14:textId="77777777" w:rsidR="00587C7F" w:rsidRDefault="00615B75">
            <w:r>
              <w:rPr>
                <w:sz w:val="18"/>
                <w:szCs w:val="18"/>
              </w:rPr>
              <w:t>India</w:t>
            </w:r>
          </w:p>
        </w:tc>
        <w:tc>
          <w:tcPr>
            <w:tcW w:w="16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71B53532" w14:textId="77777777" w:rsidR="00587C7F" w:rsidRDefault="00615B75">
            <w:pPr>
              <w:jc w:val="center"/>
            </w:pPr>
            <w:r>
              <w:rPr>
                <w:sz w:val="18"/>
                <w:szCs w:val="18"/>
              </w:rPr>
              <w:t>$92</w:t>
            </w:r>
          </w:p>
        </w:tc>
        <w:tc>
          <w:tcPr>
            <w:tcW w:w="16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4FC6B82C" w14:textId="77777777" w:rsidR="00587C7F" w:rsidRDefault="00615B75">
            <w:pPr>
              <w:jc w:val="center"/>
            </w:pPr>
            <w:r>
              <w:rPr>
                <w:sz w:val="18"/>
                <w:szCs w:val="18"/>
              </w:rPr>
              <w:t>$3,055</w:t>
            </w:r>
          </w:p>
        </w:tc>
        <w:tc>
          <w:tcPr>
            <w:tcW w:w="18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15945750" w14:textId="77777777" w:rsidR="00587C7F" w:rsidRDefault="00615B75">
            <w:pPr>
              <w:jc w:val="center"/>
            </w:pPr>
            <w:r>
              <w:rPr>
                <w:sz w:val="18"/>
                <w:szCs w:val="18"/>
              </w:rPr>
              <w:t>$120,794</w:t>
            </w:r>
          </w:p>
        </w:tc>
        <w:tc>
          <w:tcPr>
            <w:tcW w:w="18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76E65E0B" w14:textId="77777777" w:rsidR="00587C7F" w:rsidRDefault="00615B75">
            <w:pPr>
              <w:jc w:val="center"/>
            </w:pPr>
            <w:r>
              <w:rPr>
                <w:sz w:val="18"/>
                <w:szCs w:val="18"/>
              </w:rPr>
              <w:t>$0</w:t>
            </w:r>
          </w:p>
        </w:tc>
      </w:tr>
    </w:tbl>
    <w:p w14:paraId="2A50E94C" w14:textId="77777777" w:rsidR="00587C7F" w:rsidRDefault="00615B75">
      <w:pPr>
        <w:spacing w:before="60" w:after="60"/>
      </w:pPr>
      <w:r>
        <w:rPr>
          <w:i/>
          <w:iCs/>
          <w:color w:val="595959"/>
        </w:rPr>
        <w:t>At the optimal domestic carbon price, EU retained revenue is zero for all countries — the domestic price fully offsets the CBAM obligation. Total country revenue includes EU-export revenue, non-EU export revenue, and domestic consumption.</w:t>
      </w:r>
    </w:p>
    <w:p w14:paraId="7D12C752" w14:textId="77777777" w:rsidR="00587C7F" w:rsidRDefault="00587C7F">
      <w:pPr>
        <w:spacing w:before="40" w:after="40"/>
      </w:pPr>
    </w:p>
    <w:p w14:paraId="54759644" w14:textId="77777777" w:rsidR="00587C7F" w:rsidRDefault="00615B75">
      <w:pPr>
        <w:pBdr>
          <w:left w:val="single" w:sz="14" w:space="4" w:color="2E75B6"/>
        </w:pBdr>
        <w:shd w:val="clear" w:color="auto" w:fill="E2EFDA"/>
        <w:spacing w:before="100" w:after="100"/>
        <w:ind w:left="360" w:right="360"/>
      </w:pPr>
      <w:r>
        <w:rPr>
          <w:b/>
          <w:bCs/>
          <w:color w:val="1F4E79"/>
        </w:rPr>
        <w:t xml:space="preserve">Key point  </w:t>
      </w:r>
      <w:r>
        <w:t>The CBAM gross obligation is a small fraction of the total revenue a domestic carbon price would raise. For Egypt in 2030, the CBAM gross is $376 million but the optimal domestic carbon price generates $8.1 billion — mainly from taxing domestic consumption and non-EU exports. CBAM is the trigger that makes the domestic carbon price financially optimal, not the main source of revenue.</w:t>
      </w:r>
    </w:p>
    <w:p w14:paraId="3E1283BF" w14:textId="77777777" w:rsidR="00587C7F" w:rsidRDefault="00587C7F">
      <w:pPr>
        <w:spacing w:before="40" w:after="40"/>
      </w:pPr>
    </w:p>
    <w:p w14:paraId="67551671" w14:textId="77777777" w:rsidR="00587C7F" w:rsidRDefault="00615B75">
      <w:pPr>
        <w:pStyle w:val="Heading2"/>
        <w:pBdr>
          <w:bottom w:val="single" w:sz="4" w:space="2" w:color="2E75B6"/>
        </w:pBdr>
      </w:pPr>
      <w:r>
        <w:t>Emission intensity: model vs EU default</w:t>
      </w:r>
    </w:p>
    <w:p w14:paraId="464AE802" w14:textId="77777777" w:rsidR="00587C7F" w:rsidRDefault="00615B75">
      <w:pPr>
        <w:spacing w:before="60" w:after="60"/>
      </w:pPr>
      <w:r>
        <w:t>For every product, the dashboard compares the model's computed intensity with the EU's conservative default assumption. Where the model intensity is below the EU default, verified MRV data submission reduces the importer's certificate cost.</w:t>
      </w:r>
    </w:p>
    <w:p w14:paraId="42B37157" w14:textId="77777777" w:rsidR="00587C7F" w:rsidRDefault="00587C7F">
      <w:pPr>
        <w:spacing w:before="40" w:after="4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680"/>
        <w:gridCol w:w="1800"/>
        <w:gridCol w:w="1020"/>
        <w:gridCol w:w="2460"/>
      </w:tblGrid>
      <w:tr w:rsidR="00587C7F" w14:paraId="35627491" w14:textId="77777777">
        <w:trPr>
          <w:tblHeader/>
        </w:trPr>
        <w:tc>
          <w:tcPr>
            <w:tcW w:w="2400" w:type="dxa"/>
            <w:tcBorders>
              <w:top w:val="single" w:sz="1" w:space="0" w:color="C0C0C0"/>
              <w:left w:val="single" w:sz="1" w:space="0" w:color="C0C0C0"/>
              <w:bottom w:val="single" w:sz="1" w:space="0" w:color="C0C0C0"/>
              <w:right w:val="single" w:sz="1" w:space="0" w:color="C0C0C0"/>
            </w:tcBorders>
            <w:shd w:val="clear" w:color="auto" w:fill="2E75B6"/>
            <w:tcMar>
              <w:top w:w="80" w:type="dxa"/>
              <w:left w:w="120" w:type="dxa"/>
              <w:bottom w:w="80" w:type="dxa"/>
              <w:right w:w="120" w:type="dxa"/>
            </w:tcMar>
            <w:vAlign w:val="center"/>
          </w:tcPr>
          <w:p w14:paraId="790FDD8F" w14:textId="77777777" w:rsidR="00587C7F" w:rsidRDefault="00615B75">
            <w:pPr>
              <w:jc w:val="center"/>
            </w:pPr>
            <w:r>
              <w:rPr>
                <w:b/>
                <w:bCs/>
                <w:color w:val="FFFFFF"/>
                <w:sz w:val="16"/>
                <w:szCs w:val="16"/>
              </w:rPr>
              <w:t>Product</w:t>
            </w:r>
          </w:p>
        </w:tc>
        <w:tc>
          <w:tcPr>
            <w:tcW w:w="1680" w:type="dxa"/>
            <w:tcBorders>
              <w:top w:val="single" w:sz="1" w:space="0" w:color="C0C0C0"/>
              <w:left w:val="single" w:sz="1" w:space="0" w:color="C0C0C0"/>
              <w:bottom w:val="single" w:sz="1" w:space="0" w:color="C0C0C0"/>
              <w:right w:val="single" w:sz="1" w:space="0" w:color="C0C0C0"/>
            </w:tcBorders>
            <w:shd w:val="clear" w:color="auto" w:fill="2E75B6"/>
            <w:tcMar>
              <w:top w:w="80" w:type="dxa"/>
              <w:left w:w="120" w:type="dxa"/>
              <w:bottom w:w="80" w:type="dxa"/>
              <w:right w:w="120" w:type="dxa"/>
            </w:tcMar>
            <w:vAlign w:val="center"/>
          </w:tcPr>
          <w:p w14:paraId="70B3B7AC" w14:textId="77777777" w:rsidR="00587C7F" w:rsidRDefault="00615B75">
            <w:pPr>
              <w:jc w:val="center"/>
            </w:pPr>
            <w:r>
              <w:rPr>
                <w:b/>
                <w:bCs/>
                <w:color w:val="FFFFFF"/>
                <w:sz w:val="16"/>
                <w:szCs w:val="16"/>
              </w:rPr>
              <w:t>Model CBAM-eligible (tCO₂/t)</w:t>
            </w:r>
          </w:p>
        </w:tc>
        <w:tc>
          <w:tcPr>
            <w:tcW w:w="1800" w:type="dxa"/>
            <w:tcBorders>
              <w:top w:val="single" w:sz="1" w:space="0" w:color="C0C0C0"/>
              <w:left w:val="single" w:sz="1" w:space="0" w:color="C0C0C0"/>
              <w:bottom w:val="single" w:sz="1" w:space="0" w:color="C0C0C0"/>
              <w:right w:val="single" w:sz="1" w:space="0" w:color="C0C0C0"/>
            </w:tcBorders>
            <w:shd w:val="clear" w:color="auto" w:fill="2E75B6"/>
            <w:tcMar>
              <w:top w:w="80" w:type="dxa"/>
              <w:left w:w="120" w:type="dxa"/>
              <w:bottom w:w="80" w:type="dxa"/>
              <w:right w:w="120" w:type="dxa"/>
            </w:tcMar>
            <w:vAlign w:val="center"/>
          </w:tcPr>
          <w:p w14:paraId="399A4416" w14:textId="77777777" w:rsidR="00587C7F" w:rsidRDefault="00615B75">
            <w:pPr>
              <w:jc w:val="center"/>
            </w:pPr>
            <w:r>
              <w:rPr>
                <w:b/>
                <w:bCs/>
                <w:color w:val="FFFFFF"/>
                <w:sz w:val="16"/>
                <w:szCs w:val="16"/>
              </w:rPr>
              <w:t>EU default pre-markup (tCO₂/t)</w:t>
            </w:r>
          </w:p>
        </w:tc>
        <w:tc>
          <w:tcPr>
            <w:tcW w:w="1020" w:type="dxa"/>
            <w:tcBorders>
              <w:top w:val="single" w:sz="1" w:space="0" w:color="C0C0C0"/>
              <w:left w:val="single" w:sz="1" w:space="0" w:color="C0C0C0"/>
              <w:bottom w:val="single" w:sz="1" w:space="0" w:color="C0C0C0"/>
              <w:right w:val="single" w:sz="1" w:space="0" w:color="C0C0C0"/>
            </w:tcBorders>
            <w:shd w:val="clear" w:color="auto" w:fill="2E75B6"/>
            <w:tcMar>
              <w:top w:w="80" w:type="dxa"/>
              <w:left w:w="120" w:type="dxa"/>
              <w:bottom w:w="80" w:type="dxa"/>
              <w:right w:w="120" w:type="dxa"/>
            </w:tcMar>
            <w:vAlign w:val="center"/>
          </w:tcPr>
          <w:p w14:paraId="6E32CA8B" w14:textId="77777777" w:rsidR="00587C7F" w:rsidRDefault="00615B75">
            <w:pPr>
              <w:jc w:val="center"/>
            </w:pPr>
            <w:r>
              <w:rPr>
                <w:b/>
                <w:bCs/>
                <w:color w:val="FFFFFF"/>
                <w:sz w:val="16"/>
                <w:szCs w:val="16"/>
              </w:rPr>
              <w:t>Gap</w:t>
            </w:r>
          </w:p>
        </w:tc>
        <w:tc>
          <w:tcPr>
            <w:tcW w:w="2460" w:type="dxa"/>
            <w:tcBorders>
              <w:top w:val="single" w:sz="1" w:space="0" w:color="C0C0C0"/>
              <w:left w:val="single" w:sz="1" w:space="0" w:color="C0C0C0"/>
              <w:bottom w:val="single" w:sz="1" w:space="0" w:color="C0C0C0"/>
              <w:right w:val="single" w:sz="1" w:space="0" w:color="C0C0C0"/>
            </w:tcBorders>
            <w:shd w:val="clear" w:color="auto" w:fill="2E75B6"/>
            <w:tcMar>
              <w:top w:w="80" w:type="dxa"/>
              <w:left w:w="120" w:type="dxa"/>
              <w:bottom w:w="80" w:type="dxa"/>
              <w:right w:w="120" w:type="dxa"/>
            </w:tcMar>
            <w:vAlign w:val="center"/>
          </w:tcPr>
          <w:p w14:paraId="2D912C6F" w14:textId="77777777" w:rsidR="00587C7F" w:rsidRDefault="00615B75">
            <w:pPr>
              <w:jc w:val="center"/>
            </w:pPr>
            <w:r>
              <w:rPr>
                <w:b/>
                <w:bCs/>
                <w:color w:val="FFFFFF"/>
                <w:sz w:val="16"/>
                <w:szCs w:val="16"/>
              </w:rPr>
              <w:t>MRV helps?</w:t>
            </w:r>
          </w:p>
        </w:tc>
      </w:tr>
      <w:tr w:rsidR="00587C7F" w14:paraId="3600DCEF" w14:textId="77777777">
        <w:tc>
          <w:tcPr>
            <w:tcW w:w="24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1D1EBB24" w14:textId="77777777" w:rsidR="00587C7F" w:rsidRDefault="00615B75">
            <w:r>
              <w:rPr>
                <w:sz w:val="18"/>
                <w:szCs w:val="18"/>
              </w:rPr>
              <w:t>DRI-EAF steel</w:t>
            </w:r>
          </w:p>
        </w:tc>
        <w:tc>
          <w:tcPr>
            <w:tcW w:w="16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3EFE0D19" w14:textId="77777777" w:rsidR="00587C7F" w:rsidRDefault="00615B75">
            <w:pPr>
              <w:jc w:val="center"/>
            </w:pPr>
            <w:r>
              <w:rPr>
                <w:sz w:val="18"/>
                <w:szCs w:val="18"/>
              </w:rPr>
              <w:t>1.66</w:t>
            </w:r>
          </w:p>
        </w:tc>
        <w:tc>
          <w:tcPr>
            <w:tcW w:w="18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33495AB0" w14:textId="77777777" w:rsidR="00587C7F" w:rsidRDefault="00615B75">
            <w:pPr>
              <w:jc w:val="center"/>
            </w:pPr>
            <w:r>
              <w:rPr>
                <w:sz w:val="18"/>
                <w:szCs w:val="18"/>
              </w:rPr>
              <w:t>1.82</w:t>
            </w:r>
          </w:p>
        </w:tc>
        <w:tc>
          <w:tcPr>
            <w:tcW w:w="102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2028ED47" w14:textId="77777777" w:rsidR="00587C7F" w:rsidRDefault="00615B75">
            <w:pPr>
              <w:jc w:val="center"/>
            </w:pPr>
            <w:r>
              <w:rPr>
                <w:sz w:val="18"/>
                <w:szCs w:val="18"/>
              </w:rPr>
              <w:t>-0.16</w:t>
            </w:r>
          </w:p>
        </w:tc>
        <w:tc>
          <w:tcPr>
            <w:tcW w:w="24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5D238060" w14:textId="77777777" w:rsidR="00587C7F" w:rsidRDefault="00615B75">
            <w:pPr>
              <w:jc w:val="center"/>
            </w:pPr>
            <w:r>
              <w:rPr>
                <w:sz w:val="18"/>
                <w:szCs w:val="18"/>
              </w:rPr>
              <w:t>Yes — below default</w:t>
            </w:r>
          </w:p>
        </w:tc>
      </w:tr>
      <w:tr w:rsidR="00587C7F" w14:paraId="2727E889" w14:textId="77777777">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5A28928A" w14:textId="77777777" w:rsidR="00587C7F" w:rsidRDefault="00615B75">
            <w:r>
              <w:rPr>
                <w:sz w:val="18"/>
                <w:szCs w:val="18"/>
              </w:rPr>
              <w:t>Scrap-EAF steel</w:t>
            </w:r>
          </w:p>
        </w:tc>
        <w:tc>
          <w:tcPr>
            <w:tcW w:w="16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618AB08A" w14:textId="77777777" w:rsidR="00587C7F" w:rsidRDefault="00615B75">
            <w:pPr>
              <w:jc w:val="center"/>
            </w:pPr>
            <w:r>
              <w:rPr>
                <w:sz w:val="18"/>
                <w:szCs w:val="18"/>
              </w:rPr>
              <w:t>0.16</w:t>
            </w:r>
          </w:p>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20A39A5E" w14:textId="77777777" w:rsidR="00587C7F" w:rsidRDefault="00615B75">
            <w:pPr>
              <w:jc w:val="center"/>
            </w:pPr>
            <w:r>
              <w:rPr>
                <w:sz w:val="18"/>
                <w:szCs w:val="18"/>
              </w:rPr>
              <w:t>0.72</w:t>
            </w:r>
          </w:p>
        </w:tc>
        <w:tc>
          <w:tcPr>
            <w:tcW w:w="102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3F65C1C5" w14:textId="77777777" w:rsidR="00587C7F" w:rsidRDefault="00615B75">
            <w:pPr>
              <w:jc w:val="center"/>
            </w:pPr>
            <w:r>
              <w:rPr>
                <w:sz w:val="18"/>
                <w:szCs w:val="18"/>
              </w:rPr>
              <w:t>-0.57</w:t>
            </w:r>
          </w:p>
        </w:tc>
        <w:tc>
          <w:tcPr>
            <w:tcW w:w="24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3DC77031" w14:textId="77777777" w:rsidR="00587C7F" w:rsidRDefault="00615B75">
            <w:pPr>
              <w:jc w:val="center"/>
            </w:pPr>
            <w:r>
              <w:rPr>
                <w:sz w:val="18"/>
                <w:szCs w:val="18"/>
              </w:rPr>
              <w:t>Yes — well below default</w:t>
            </w:r>
          </w:p>
        </w:tc>
      </w:tr>
      <w:tr w:rsidR="00587C7F" w14:paraId="0BB65FA0" w14:textId="77777777">
        <w:tc>
          <w:tcPr>
            <w:tcW w:w="24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4110965A" w14:textId="77777777" w:rsidR="00587C7F" w:rsidRDefault="00615B75">
            <w:r>
              <w:rPr>
                <w:sz w:val="18"/>
                <w:szCs w:val="18"/>
              </w:rPr>
              <w:t>BF-BOF steel</w:t>
            </w:r>
          </w:p>
        </w:tc>
        <w:tc>
          <w:tcPr>
            <w:tcW w:w="16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3464D895" w14:textId="77777777" w:rsidR="00587C7F" w:rsidRDefault="00615B75">
            <w:pPr>
              <w:jc w:val="center"/>
            </w:pPr>
            <w:r>
              <w:rPr>
                <w:sz w:val="18"/>
                <w:szCs w:val="18"/>
              </w:rPr>
              <w:t>2.17</w:t>
            </w:r>
          </w:p>
        </w:tc>
        <w:tc>
          <w:tcPr>
            <w:tcW w:w="18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1BD59676" w14:textId="77777777" w:rsidR="00587C7F" w:rsidRDefault="00615B75">
            <w:pPr>
              <w:jc w:val="center"/>
            </w:pPr>
            <w:r>
              <w:rPr>
                <w:sz w:val="18"/>
                <w:szCs w:val="18"/>
              </w:rPr>
              <w:t>2.80</w:t>
            </w:r>
          </w:p>
        </w:tc>
        <w:tc>
          <w:tcPr>
            <w:tcW w:w="102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6BF9E789" w14:textId="77777777" w:rsidR="00587C7F" w:rsidRDefault="00615B75">
            <w:pPr>
              <w:jc w:val="center"/>
            </w:pPr>
            <w:r>
              <w:rPr>
                <w:sz w:val="18"/>
                <w:szCs w:val="18"/>
              </w:rPr>
              <w:t>-0.64</w:t>
            </w:r>
          </w:p>
        </w:tc>
        <w:tc>
          <w:tcPr>
            <w:tcW w:w="24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6D345539" w14:textId="77777777" w:rsidR="00587C7F" w:rsidRDefault="00615B75">
            <w:pPr>
              <w:jc w:val="center"/>
            </w:pPr>
            <w:r>
              <w:rPr>
                <w:sz w:val="18"/>
                <w:szCs w:val="18"/>
              </w:rPr>
              <w:t>Yes — below default</w:t>
            </w:r>
          </w:p>
        </w:tc>
      </w:tr>
      <w:tr w:rsidR="00587C7F" w14:paraId="3A11ABFB" w14:textId="77777777">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6E7F3099" w14:textId="77777777" w:rsidR="00587C7F" w:rsidRDefault="00615B75">
            <w:r>
              <w:rPr>
                <w:sz w:val="18"/>
                <w:szCs w:val="18"/>
              </w:rPr>
              <w:t>Cement</w:t>
            </w:r>
          </w:p>
        </w:tc>
        <w:tc>
          <w:tcPr>
            <w:tcW w:w="16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2078559F" w14:textId="77777777" w:rsidR="00587C7F" w:rsidRDefault="00615B75">
            <w:pPr>
              <w:jc w:val="center"/>
            </w:pPr>
            <w:r>
              <w:rPr>
                <w:sz w:val="18"/>
                <w:szCs w:val="18"/>
              </w:rPr>
              <w:t>0.85</w:t>
            </w:r>
          </w:p>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437967F0" w14:textId="77777777" w:rsidR="00587C7F" w:rsidRDefault="00615B75">
            <w:pPr>
              <w:jc w:val="center"/>
            </w:pPr>
            <w:r>
              <w:rPr>
                <w:sz w:val="18"/>
                <w:szCs w:val="18"/>
              </w:rPr>
              <w:t>1.58</w:t>
            </w:r>
          </w:p>
        </w:tc>
        <w:tc>
          <w:tcPr>
            <w:tcW w:w="102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23953E5A" w14:textId="77777777" w:rsidR="00587C7F" w:rsidRDefault="00615B75">
            <w:pPr>
              <w:jc w:val="center"/>
            </w:pPr>
            <w:r>
              <w:rPr>
                <w:sz w:val="18"/>
                <w:szCs w:val="18"/>
              </w:rPr>
              <w:t>-0.73</w:t>
            </w:r>
          </w:p>
        </w:tc>
        <w:tc>
          <w:tcPr>
            <w:tcW w:w="24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2F85C635" w14:textId="77777777" w:rsidR="00587C7F" w:rsidRDefault="00615B75">
            <w:pPr>
              <w:jc w:val="center"/>
            </w:pPr>
            <w:r>
              <w:rPr>
                <w:sz w:val="18"/>
                <w:szCs w:val="18"/>
              </w:rPr>
              <w:t>Yes — well below default</w:t>
            </w:r>
          </w:p>
        </w:tc>
      </w:tr>
      <w:tr w:rsidR="00587C7F" w14:paraId="643A408F" w14:textId="77777777">
        <w:tc>
          <w:tcPr>
            <w:tcW w:w="24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52FF9606" w14:textId="77777777" w:rsidR="00587C7F" w:rsidRDefault="00615B75">
            <w:r>
              <w:rPr>
                <w:sz w:val="18"/>
                <w:szCs w:val="18"/>
              </w:rPr>
              <w:t>Ammonia</w:t>
            </w:r>
          </w:p>
        </w:tc>
        <w:tc>
          <w:tcPr>
            <w:tcW w:w="16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322B35DA" w14:textId="77777777" w:rsidR="00587C7F" w:rsidRDefault="00615B75">
            <w:pPr>
              <w:jc w:val="center"/>
            </w:pPr>
            <w:r>
              <w:rPr>
                <w:sz w:val="18"/>
                <w:szCs w:val="18"/>
              </w:rPr>
              <w:t>2.06</w:t>
            </w:r>
          </w:p>
        </w:tc>
        <w:tc>
          <w:tcPr>
            <w:tcW w:w="18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3EBDC596" w14:textId="77777777" w:rsidR="00587C7F" w:rsidRDefault="00615B75">
            <w:pPr>
              <w:jc w:val="center"/>
            </w:pPr>
            <w:r>
              <w:rPr>
                <w:sz w:val="18"/>
                <w:szCs w:val="18"/>
              </w:rPr>
              <w:t>1.83</w:t>
            </w:r>
          </w:p>
        </w:tc>
        <w:tc>
          <w:tcPr>
            <w:tcW w:w="102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1151D9B8" w14:textId="77777777" w:rsidR="00587C7F" w:rsidRDefault="00615B75">
            <w:pPr>
              <w:jc w:val="center"/>
            </w:pPr>
            <w:r>
              <w:rPr>
                <w:sz w:val="18"/>
                <w:szCs w:val="18"/>
              </w:rPr>
              <w:t>+0.23</w:t>
            </w:r>
          </w:p>
        </w:tc>
        <w:tc>
          <w:tcPr>
            <w:tcW w:w="24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0C1A339A" w14:textId="77777777" w:rsidR="00587C7F" w:rsidRDefault="00615B75">
            <w:pPr>
              <w:jc w:val="center"/>
            </w:pPr>
            <w:r>
              <w:rPr>
                <w:sz w:val="18"/>
                <w:szCs w:val="18"/>
              </w:rPr>
              <w:t>No — above default</w:t>
            </w:r>
          </w:p>
        </w:tc>
      </w:tr>
      <w:tr w:rsidR="00587C7F" w14:paraId="3312D068" w14:textId="77777777">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29CB8ED5" w14:textId="77777777" w:rsidR="00587C7F" w:rsidRDefault="00615B75">
            <w:r>
              <w:rPr>
                <w:sz w:val="18"/>
                <w:szCs w:val="18"/>
              </w:rPr>
              <w:lastRenderedPageBreak/>
              <w:t>Urea</w:t>
            </w:r>
          </w:p>
        </w:tc>
        <w:tc>
          <w:tcPr>
            <w:tcW w:w="16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013355E7" w14:textId="77777777" w:rsidR="00587C7F" w:rsidRDefault="00615B75">
            <w:pPr>
              <w:jc w:val="center"/>
            </w:pPr>
            <w:r>
              <w:rPr>
                <w:sz w:val="18"/>
                <w:szCs w:val="18"/>
              </w:rPr>
              <w:t>0.62</w:t>
            </w:r>
          </w:p>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29732E33" w14:textId="77777777" w:rsidR="00587C7F" w:rsidRDefault="00615B75">
            <w:pPr>
              <w:jc w:val="center"/>
            </w:pPr>
            <w:r>
              <w:rPr>
                <w:sz w:val="18"/>
                <w:szCs w:val="18"/>
              </w:rPr>
              <w:t>1.88</w:t>
            </w:r>
          </w:p>
        </w:tc>
        <w:tc>
          <w:tcPr>
            <w:tcW w:w="102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42C0259B" w14:textId="77777777" w:rsidR="00587C7F" w:rsidRDefault="00615B75">
            <w:pPr>
              <w:jc w:val="center"/>
            </w:pPr>
            <w:r>
              <w:rPr>
                <w:sz w:val="18"/>
                <w:szCs w:val="18"/>
              </w:rPr>
              <w:t>-1.26</w:t>
            </w:r>
          </w:p>
        </w:tc>
        <w:tc>
          <w:tcPr>
            <w:tcW w:w="24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606F90CC" w14:textId="77777777" w:rsidR="00587C7F" w:rsidRDefault="00615B75">
            <w:pPr>
              <w:jc w:val="center"/>
            </w:pPr>
            <w:r>
              <w:rPr>
                <w:sz w:val="18"/>
                <w:szCs w:val="18"/>
              </w:rPr>
              <w:t>Yes — well below default</w:t>
            </w:r>
          </w:p>
        </w:tc>
      </w:tr>
      <w:tr w:rsidR="00587C7F" w14:paraId="72555D8C" w14:textId="77777777">
        <w:tc>
          <w:tcPr>
            <w:tcW w:w="24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73D1E7A4" w14:textId="77777777" w:rsidR="00587C7F" w:rsidRDefault="00615B75">
            <w:r>
              <w:rPr>
                <w:sz w:val="18"/>
                <w:szCs w:val="18"/>
              </w:rPr>
              <w:t>Ammonium nitrate</w:t>
            </w:r>
          </w:p>
        </w:tc>
        <w:tc>
          <w:tcPr>
            <w:tcW w:w="16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56B071D1" w14:textId="77777777" w:rsidR="00587C7F" w:rsidRDefault="00615B75">
            <w:pPr>
              <w:jc w:val="center"/>
            </w:pPr>
            <w:r>
              <w:rPr>
                <w:sz w:val="18"/>
                <w:szCs w:val="18"/>
              </w:rPr>
              <w:t>3.05</w:t>
            </w:r>
          </w:p>
        </w:tc>
        <w:tc>
          <w:tcPr>
            <w:tcW w:w="18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4A0B46DA" w14:textId="77777777" w:rsidR="00587C7F" w:rsidRDefault="00615B75">
            <w:pPr>
              <w:jc w:val="center"/>
            </w:pPr>
            <w:r>
              <w:rPr>
                <w:sz w:val="18"/>
                <w:szCs w:val="18"/>
              </w:rPr>
              <w:t>0.97</w:t>
            </w:r>
          </w:p>
        </w:tc>
        <w:tc>
          <w:tcPr>
            <w:tcW w:w="102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2DA9F090" w14:textId="77777777" w:rsidR="00587C7F" w:rsidRDefault="00615B75">
            <w:pPr>
              <w:jc w:val="center"/>
            </w:pPr>
            <w:r>
              <w:rPr>
                <w:sz w:val="18"/>
                <w:szCs w:val="18"/>
              </w:rPr>
              <w:t>+2.08</w:t>
            </w:r>
          </w:p>
        </w:tc>
        <w:tc>
          <w:tcPr>
            <w:tcW w:w="24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6B7E9635" w14:textId="77777777" w:rsidR="00587C7F" w:rsidRDefault="00615B75">
            <w:pPr>
              <w:jc w:val="center"/>
            </w:pPr>
            <w:r>
              <w:rPr>
                <w:sz w:val="18"/>
                <w:szCs w:val="18"/>
              </w:rPr>
              <w:t>Verify N₂O abatement data</w:t>
            </w:r>
          </w:p>
        </w:tc>
      </w:tr>
      <w:tr w:rsidR="00587C7F" w14:paraId="02C46D21" w14:textId="77777777">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4FF2AC16" w14:textId="77777777" w:rsidR="00587C7F" w:rsidRDefault="00615B75">
            <w:r>
              <w:rPr>
                <w:sz w:val="18"/>
                <w:szCs w:val="18"/>
              </w:rPr>
              <w:t>Primary aluminium</w:t>
            </w:r>
          </w:p>
        </w:tc>
        <w:tc>
          <w:tcPr>
            <w:tcW w:w="16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2BC094F2" w14:textId="77777777" w:rsidR="00587C7F" w:rsidRDefault="00615B75">
            <w:pPr>
              <w:jc w:val="center"/>
            </w:pPr>
            <w:r>
              <w:rPr>
                <w:sz w:val="18"/>
                <w:szCs w:val="18"/>
              </w:rPr>
              <w:t>2.31</w:t>
            </w:r>
          </w:p>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161ED04C" w14:textId="77777777" w:rsidR="00587C7F" w:rsidRDefault="00615B75">
            <w:pPr>
              <w:jc w:val="center"/>
            </w:pPr>
            <w:r>
              <w:rPr>
                <w:sz w:val="18"/>
                <w:szCs w:val="18"/>
              </w:rPr>
              <w:t>2.06</w:t>
            </w:r>
          </w:p>
        </w:tc>
        <w:tc>
          <w:tcPr>
            <w:tcW w:w="102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3729B8EB" w14:textId="77777777" w:rsidR="00587C7F" w:rsidRDefault="00615B75">
            <w:pPr>
              <w:jc w:val="center"/>
            </w:pPr>
            <w:r>
              <w:rPr>
                <w:sz w:val="18"/>
                <w:szCs w:val="18"/>
              </w:rPr>
              <w:t>+0.25</w:t>
            </w:r>
          </w:p>
        </w:tc>
        <w:tc>
          <w:tcPr>
            <w:tcW w:w="24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56A7E9E2" w14:textId="77777777" w:rsidR="00587C7F" w:rsidRDefault="00615B75">
            <w:pPr>
              <w:jc w:val="center"/>
            </w:pPr>
            <w:r>
              <w:rPr>
                <w:sz w:val="18"/>
                <w:szCs w:val="18"/>
              </w:rPr>
              <w:t>Check direct emissions</w:t>
            </w:r>
          </w:p>
        </w:tc>
      </w:tr>
    </w:tbl>
    <w:p w14:paraId="449B3F4A" w14:textId="77777777" w:rsidR="00587C7F" w:rsidRDefault="00615B75">
      <w:pPr>
        <w:spacing w:before="60" w:after="60"/>
      </w:pPr>
      <w:r>
        <w:rPr>
          <w:i/>
          <w:iCs/>
          <w:color w:val="595959"/>
        </w:rPr>
        <w:t>Model intensities shown for Egypt, 2030. EU default values are the 'other countries' global fallback from IR 2025/2621, pre-10% markup.</w:t>
      </w:r>
    </w:p>
    <w:p w14:paraId="12D7CB7C" w14:textId="77777777" w:rsidR="00587C7F" w:rsidRDefault="00587C7F">
      <w:pPr>
        <w:spacing w:before="40" w:after="40"/>
      </w:pPr>
    </w:p>
    <w:p w14:paraId="7BA6171B" w14:textId="77777777" w:rsidR="00587C7F" w:rsidRDefault="00615B75">
      <w:pPr>
        <w:pStyle w:val="Heading2"/>
        <w:pBdr>
          <w:bottom w:val="single" w:sz="4" w:space="2" w:color="2E75B6"/>
        </w:pBdr>
      </w:pPr>
      <w:r>
        <w:t>Data sources — summary</w:t>
      </w:r>
    </w:p>
    <w:p w14:paraId="2DD15674" w14:textId="77777777" w:rsidR="00587C7F" w:rsidRDefault="00615B75">
      <w:pPr>
        <w:spacing w:before="60" w:after="60"/>
      </w:pPr>
      <w:r>
        <w:t>The model draws on four categories of data. A full description of each source appears in Section 9.</w:t>
      </w:r>
    </w:p>
    <w:p w14:paraId="52EE6C7E" w14:textId="77777777" w:rsidR="00587C7F" w:rsidRDefault="00587C7F">
      <w:pPr>
        <w:spacing w:before="40" w:after="4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6840"/>
      </w:tblGrid>
      <w:tr w:rsidR="00587C7F" w14:paraId="405A5101" w14:textId="77777777">
        <w:tc>
          <w:tcPr>
            <w:tcW w:w="252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1FC4FB23" w14:textId="77777777" w:rsidR="00587C7F" w:rsidRDefault="00615B75">
            <w:pPr>
              <w:spacing w:before="60" w:after="60"/>
            </w:pPr>
            <w:r>
              <w:rPr>
                <w:b/>
                <w:bCs/>
                <w:color w:val="1F4E79"/>
                <w:sz w:val="18"/>
                <w:szCs w:val="18"/>
              </w:rPr>
              <w:t>Production &amp; trade</w:t>
            </w:r>
          </w:p>
        </w:tc>
        <w:tc>
          <w:tcPr>
            <w:tcW w:w="684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62E32DA0" w14:textId="77777777" w:rsidR="00587C7F" w:rsidRDefault="00615B75">
            <w:pPr>
              <w:spacing w:before="60" w:after="60"/>
            </w:pPr>
            <w:r>
              <w:rPr>
                <w:sz w:val="18"/>
                <w:szCs w:val="18"/>
              </w:rPr>
              <w:t>IEA World Energy Balances; World Steel Association; UN Comtrade; national statistics for each country. Production projections use GDP growth rates from IMF World Economic Outlook (April 2026).</w:t>
            </w:r>
          </w:p>
        </w:tc>
      </w:tr>
      <w:tr w:rsidR="00587C7F" w14:paraId="6108C5F4" w14:textId="77777777">
        <w:tc>
          <w:tcPr>
            <w:tcW w:w="252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63E27332" w14:textId="77777777" w:rsidR="00587C7F" w:rsidRDefault="00615B75">
            <w:pPr>
              <w:spacing w:before="60" w:after="60"/>
            </w:pPr>
            <w:r>
              <w:rPr>
                <w:b/>
                <w:bCs/>
                <w:color w:val="1F4E79"/>
                <w:sz w:val="18"/>
                <w:szCs w:val="18"/>
              </w:rPr>
              <w:t>Energy intensities</w:t>
            </w:r>
          </w:p>
        </w:tc>
        <w:tc>
          <w:tcPr>
            <w:tcW w:w="684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016A2B38" w14:textId="77777777" w:rsidR="00587C7F" w:rsidRDefault="00615B75">
            <w:pPr>
              <w:spacing w:before="60" w:after="60"/>
            </w:pPr>
            <w:r>
              <w:rPr>
                <w:sz w:val="18"/>
                <w:szCs w:val="18"/>
              </w:rPr>
              <w:t>IEA World Energy Balances; Worldsteel; Cement Sustainability Initiative / Global Cement and Concrete Research Network; International Aluminium Institute; IFA / EFMA for fertilisers. Country-specific values are cross-checked against the global_data companion spreadsheet.</w:t>
            </w:r>
          </w:p>
        </w:tc>
      </w:tr>
      <w:tr w:rsidR="00587C7F" w14:paraId="2D31F2E0" w14:textId="77777777">
        <w:tc>
          <w:tcPr>
            <w:tcW w:w="252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289F0DD7" w14:textId="77777777" w:rsidR="00587C7F" w:rsidRDefault="00615B75">
            <w:pPr>
              <w:spacing w:before="60" w:after="60"/>
            </w:pPr>
            <w:r>
              <w:rPr>
                <w:b/>
                <w:bCs/>
                <w:color w:val="1F4E79"/>
                <w:sz w:val="18"/>
                <w:szCs w:val="18"/>
              </w:rPr>
              <w:t>Emission factors</w:t>
            </w:r>
          </w:p>
        </w:tc>
        <w:tc>
          <w:tcPr>
            <w:tcW w:w="684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78E2BB22" w14:textId="77777777" w:rsidR="00587C7F" w:rsidRDefault="00615B75">
            <w:pPr>
              <w:spacing w:before="60" w:after="60"/>
            </w:pPr>
            <w:r>
              <w:rPr>
                <w:sz w:val="18"/>
                <w:szCs w:val="18"/>
              </w:rPr>
              <w:t>IPCC 2006 Guidelines for National Greenhouse Gas Inventories, Volume 2 (combustion emission factors). IPCC AR6 GWP100 values for N₂O and PFCs. Process emission factors (calcination, anode consumption) from IPCC 2006 Vol. 2 Chapters 2A, 2C, 3C, 3G.</w:t>
            </w:r>
          </w:p>
        </w:tc>
      </w:tr>
      <w:tr w:rsidR="00587C7F" w14:paraId="10184374" w14:textId="77777777">
        <w:tc>
          <w:tcPr>
            <w:tcW w:w="252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703F4806" w14:textId="77777777" w:rsidR="00587C7F" w:rsidRDefault="00615B75">
            <w:pPr>
              <w:spacing w:before="60" w:after="60"/>
            </w:pPr>
            <w:r>
              <w:rPr>
                <w:b/>
                <w:bCs/>
                <w:color w:val="1F4E79"/>
                <w:sz w:val="18"/>
                <w:szCs w:val="18"/>
              </w:rPr>
              <w:t>EU regulatory inputs</w:t>
            </w:r>
          </w:p>
        </w:tc>
        <w:tc>
          <w:tcPr>
            <w:tcW w:w="684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46BB076A" w14:textId="77777777" w:rsidR="00587C7F" w:rsidRDefault="00615B75">
            <w:pPr>
              <w:spacing w:before="60" w:after="60"/>
            </w:pPr>
            <w:r>
              <w:rPr>
                <w:sz w:val="18"/>
                <w:szCs w:val="18"/>
              </w:rPr>
              <w:t>Benchmarks: Commission Implementing Regulation (EU) 2025/2620 (16 December 2025). Default values: Commission Implementing Regulation (EU) 2025/2621 (16 December 2025). CBAM factor schedule: same. EU ETS price path: working assumption based on ICE EUA futures (May 2026).</w:t>
            </w:r>
          </w:p>
        </w:tc>
      </w:tr>
      <w:tr w:rsidR="00587C7F" w14:paraId="6D3EDDCB" w14:textId="77777777">
        <w:tc>
          <w:tcPr>
            <w:tcW w:w="252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0DE079BB" w14:textId="77777777" w:rsidR="00587C7F" w:rsidRDefault="00615B75">
            <w:pPr>
              <w:spacing w:before="60" w:after="60"/>
            </w:pPr>
            <w:r>
              <w:rPr>
                <w:b/>
                <w:bCs/>
                <w:color w:val="1F4E79"/>
                <w:sz w:val="18"/>
                <w:szCs w:val="18"/>
              </w:rPr>
              <w:t>Grid emission factors</w:t>
            </w:r>
          </w:p>
        </w:tc>
        <w:tc>
          <w:tcPr>
            <w:tcW w:w="684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77AAC46F" w14:textId="77777777" w:rsidR="00587C7F" w:rsidRDefault="00615B75">
            <w:pPr>
              <w:spacing w:before="60" w:after="60"/>
            </w:pPr>
            <w:r>
              <w:rPr>
                <w:sz w:val="18"/>
                <w:szCs w:val="18"/>
              </w:rPr>
              <w:t>IEA Electricity Information; country-specific grid decarbonisation trajectories from national energy plans and IEA Net Zero Roadmap country profiles.</w:t>
            </w:r>
          </w:p>
        </w:tc>
      </w:tr>
    </w:tbl>
    <w:p w14:paraId="1FCF9E2C" w14:textId="77777777" w:rsidR="00587C7F" w:rsidRDefault="00587C7F">
      <w:pPr>
        <w:spacing w:before="40" w:after="40"/>
      </w:pPr>
    </w:p>
    <w:p w14:paraId="7AF3C756" w14:textId="77777777" w:rsidR="00587C7F" w:rsidRDefault="00615B75">
      <w:r>
        <w:br w:type="page"/>
      </w:r>
    </w:p>
    <w:p w14:paraId="753327C6" w14:textId="77777777" w:rsidR="00587C7F" w:rsidRDefault="00615B75">
      <w:pPr>
        <w:pStyle w:val="Heading1"/>
        <w:shd w:val="clear" w:color="auto" w:fill="1F4E79"/>
        <w:ind w:left="120" w:right="120"/>
      </w:pPr>
      <w:r>
        <w:lastRenderedPageBreak/>
        <w:t>1.  What the tool covers</w:t>
      </w:r>
    </w:p>
    <w:p w14:paraId="4689C8BF" w14:textId="77777777" w:rsidR="00587C7F" w:rsidRDefault="00587C7F">
      <w:pPr>
        <w:spacing w:before="40" w:after="40"/>
      </w:pPr>
    </w:p>
    <w:p w14:paraId="2EE71DEE" w14:textId="77777777" w:rsidR="00587C7F" w:rsidRDefault="00615B75">
      <w:pPr>
        <w:pStyle w:val="Heading2"/>
        <w:pBdr>
          <w:bottom w:val="single" w:sz="4" w:space="2" w:color="2E75B6"/>
        </w:pBdr>
      </w:pPr>
      <w:r>
        <w:t>Countries and products</w:t>
      </w:r>
    </w:p>
    <w:p w14:paraId="7374056E" w14:textId="77777777" w:rsidR="00587C7F" w:rsidRDefault="00615B75">
      <w:pPr>
        <w:spacing w:before="60" w:after="60"/>
      </w:pPr>
      <w:r>
        <w:t>The dashboard models five countries and ten product categories.</w:t>
      </w:r>
    </w:p>
    <w:p w14:paraId="45014239" w14:textId="77777777" w:rsidR="00587C7F" w:rsidRDefault="00587C7F">
      <w:pPr>
        <w:spacing w:before="40" w:after="4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6840"/>
      </w:tblGrid>
      <w:tr w:rsidR="00587C7F" w14:paraId="51DB39B5" w14:textId="77777777">
        <w:tc>
          <w:tcPr>
            <w:tcW w:w="252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5C5668E2" w14:textId="77777777" w:rsidR="00587C7F" w:rsidRDefault="00615B75">
            <w:pPr>
              <w:spacing w:before="60" w:after="60"/>
            </w:pPr>
            <w:r>
              <w:rPr>
                <w:b/>
                <w:bCs/>
                <w:color w:val="1F4E79"/>
                <w:sz w:val="18"/>
                <w:szCs w:val="18"/>
              </w:rPr>
              <w:t>Countries</w:t>
            </w:r>
          </w:p>
        </w:tc>
        <w:tc>
          <w:tcPr>
            <w:tcW w:w="684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7A02A0AE" w14:textId="77777777" w:rsidR="00587C7F" w:rsidRDefault="00615B75">
            <w:pPr>
              <w:spacing w:before="60" w:after="60"/>
            </w:pPr>
            <w:r>
              <w:rPr>
                <w:sz w:val="18"/>
                <w:szCs w:val="18"/>
              </w:rPr>
              <w:t>Egypt (egy), Albania (alb), Uzbekistan (uzb), Azerbaijan (aze), India (ind)</w:t>
            </w:r>
          </w:p>
        </w:tc>
      </w:tr>
      <w:tr w:rsidR="00587C7F" w14:paraId="0B4EC799" w14:textId="77777777">
        <w:tc>
          <w:tcPr>
            <w:tcW w:w="252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6241B064" w14:textId="77777777" w:rsidR="00587C7F" w:rsidRDefault="00615B75">
            <w:pPr>
              <w:spacing w:before="60" w:after="60"/>
            </w:pPr>
            <w:r>
              <w:rPr>
                <w:b/>
                <w:bCs/>
                <w:color w:val="1F4E79"/>
                <w:sz w:val="18"/>
                <w:szCs w:val="18"/>
              </w:rPr>
              <w:t>Steel routes</w:t>
            </w:r>
          </w:p>
        </w:tc>
        <w:tc>
          <w:tcPr>
            <w:tcW w:w="684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0D18CBCA" w14:textId="77777777" w:rsidR="00587C7F" w:rsidRDefault="00615B75">
            <w:pPr>
              <w:spacing w:before="60" w:after="60"/>
            </w:pPr>
            <w:r>
              <w:rPr>
                <w:sz w:val="18"/>
                <w:szCs w:val="18"/>
              </w:rPr>
              <w:t>DRI-EAF (stl.drg), Scrap-EAF (stl.scr), BF-BOF (stl.bof), Other (stl.oth)</w:t>
            </w:r>
          </w:p>
        </w:tc>
      </w:tr>
      <w:tr w:rsidR="00587C7F" w14:paraId="1D487D7B" w14:textId="77777777">
        <w:tc>
          <w:tcPr>
            <w:tcW w:w="252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684BE96F" w14:textId="77777777" w:rsidR="00587C7F" w:rsidRDefault="00615B75">
            <w:pPr>
              <w:spacing w:before="60" w:after="60"/>
            </w:pPr>
            <w:r>
              <w:rPr>
                <w:b/>
                <w:bCs/>
                <w:color w:val="1F4E79"/>
                <w:sz w:val="18"/>
                <w:szCs w:val="18"/>
              </w:rPr>
              <w:t>Cement</w:t>
            </w:r>
          </w:p>
        </w:tc>
        <w:tc>
          <w:tcPr>
            <w:tcW w:w="684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434731A6" w14:textId="77777777" w:rsidR="00587C7F" w:rsidRDefault="00615B75">
            <w:pPr>
              <w:spacing w:before="60" w:after="60"/>
            </w:pPr>
            <w:r>
              <w:rPr>
                <w:sz w:val="18"/>
                <w:szCs w:val="18"/>
              </w:rPr>
              <w:t>Dry-process grey clinker (cmt.dry)</w:t>
            </w:r>
          </w:p>
        </w:tc>
      </w:tr>
      <w:tr w:rsidR="00587C7F" w14:paraId="08375D2C" w14:textId="77777777">
        <w:tc>
          <w:tcPr>
            <w:tcW w:w="252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010298CD" w14:textId="77777777" w:rsidR="00587C7F" w:rsidRDefault="00615B75">
            <w:pPr>
              <w:spacing w:before="60" w:after="60"/>
            </w:pPr>
            <w:r>
              <w:rPr>
                <w:b/>
                <w:bCs/>
                <w:color w:val="1F4E79"/>
                <w:sz w:val="18"/>
                <w:szCs w:val="18"/>
              </w:rPr>
              <w:t>Fertilisers</w:t>
            </w:r>
          </w:p>
        </w:tc>
        <w:tc>
          <w:tcPr>
            <w:tcW w:w="684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5BAC9E07" w14:textId="77777777" w:rsidR="00587C7F" w:rsidRDefault="00615B75">
            <w:pPr>
              <w:spacing w:before="60" w:after="60"/>
            </w:pPr>
            <w:r>
              <w:rPr>
                <w:sz w:val="18"/>
                <w:szCs w:val="18"/>
              </w:rPr>
              <w:t>Ammonia (frt.amc), Urea (frt.ure), Ammonium nitrate (frt.nit), Other N (frt.otn)</w:t>
            </w:r>
          </w:p>
        </w:tc>
      </w:tr>
      <w:tr w:rsidR="00587C7F" w14:paraId="0A8FC035" w14:textId="77777777">
        <w:tc>
          <w:tcPr>
            <w:tcW w:w="252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4EFE0BC5" w14:textId="77777777" w:rsidR="00587C7F" w:rsidRDefault="00615B75">
            <w:pPr>
              <w:spacing w:before="60" w:after="60"/>
            </w:pPr>
            <w:r>
              <w:rPr>
                <w:b/>
                <w:bCs/>
                <w:color w:val="1F4E79"/>
                <w:sz w:val="18"/>
                <w:szCs w:val="18"/>
              </w:rPr>
              <w:t>Aluminium</w:t>
            </w:r>
          </w:p>
        </w:tc>
        <w:tc>
          <w:tcPr>
            <w:tcW w:w="684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0316538B" w14:textId="77777777" w:rsidR="00587C7F" w:rsidRDefault="00615B75">
            <w:pPr>
              <w:spacing w:before="60" w:after="60"/>
            </w:pPr>
            <w:r>
              <w:rPr>
                <w:sz w:val="18"/>
                <w:szCs w:val="18"/>
              </w:rPr>
              <w:t>Primary smelted (alu.prp)</w:t>
            </w:r>
          </w:p>
        </w:tc>
      </w:tr>
      <w:tr w:rsidR="00587C7F" w14:paraId="28EB5963" w14:textId="77777777">
        <w:tc>
          <w:tcPr>
            <w:tcW w:w="252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47CD7A63" w14:textId="77777777" w:rsidR="00587C7F" w:rsidRDefault="00615B75">
            <w:pPr>
              <w:spacing w:before="60" w:after="60"/>
            </w:pPr>
            <w:r>
              <w:rPr>
                <w:b/>
                <w:bCs/>
                <w:color w:val="1F4E79"/>
                <w:sz w:val="18"/>
                <w:szCs w:val="18"/>
              </w:rPr>
              <w:t>Time horizon</w:t>
            </w:r>
          </w:p>
        </w:tc>
        <w:tc>
          <w:tcPr>
            <w:tcW w:w="684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30DCFD3A" w14:textId="77777777" w:rsidR="00587C7F" w:rsidRDefault="00615B75">
            <w:pPr>
              <w:spacing w:before="60" w:after="60"/>
            </w:pPr>
            <w:r>
              <w:rPr>
                <w:sz w:val="18"/>
                <w:szCs w:val="18"/>
              </w:rPr>
              <w:t>2024 – 2035  (12 years)</w:t>
            </w:r>
          </w:p>
        </w:tc>
      </w:tr>
    </w:tbl>
    <w:p w14:paraId="67D0F118" w14:textId="77777777" w:rsidR="00587C7F" w:rsidRDefault="00587C7F">
      <w:pPr>
        <w:spacing w:before="40" w:after="40"/>
      </w:pPr>
    </w:p>
    <w:p w14:paraId="55BE2685" w14:textId="77777777" w:rsidR="00587C7F" w:rsidRDefault="00615B75">
      <w:pPr>
        <w:spacing w:before="60" w:after="60"/>
      </w:pPr>
      <w:r>
        <w:t>Each country-product pair has its own set of energy intensity inputs, emission factors, production projections, and trade shares. Where a country does not produce a given product, the emission intensity is still calculated from the energy data — so the EU default comparison is always meaningful.</w:t>
      </w:r>
    </w:p>
    <w:p w14:paraId="7AD89F5E" w14:textId="77777777" w:rsidR="00587C7F" w:rsidRDefault="00587C7F">
      <w:pPr>
        <w:spacing w:before="40" w:after="40"/>
      </w:pPr>
    </w:p>
    <w:p w14:paraId="6366DE4B" w14:textId="77777777" w:rsidR="00587C7F" w:rsidRDefault="00615B75">
      <w:pPr>
        <w:pStyle w:val="Heading2"/>
        <w:pBdr>
          <w:bottom w:val="single" w:sz="4" w:space="2" w:color="2E75B6"/>
        </w:pBdr>
      </w:pPr>
      <w:r>
        <w:t>What the tool calculates</w:t>
      </w:r>
    </w:p>
    <w:p w14:paraId="7C6ADAE7" w14:textId="77777777" w:rsidR="00587C7F" w:rsidRDefault="00615B75">
      <w:pPr>
        <w:spacing w:before="60" w:after="60"/>
      </w:pPr>
      <w:r>
        <w:t>For each country and year, the tool produces:</w:t>
      </w:r>
    </w:p>
    <w:p w14:paraId="2A5CD332" w14:textId="77777777" w:rsidR="00587C7F" w:rsidRDefault="00615B75">
      <w:pPr>
        <w:pStyle w:val="ListParagraph"/>
        <w:numPr>
          <w:ilvl w:val="0"/>
          <w:numId w:val="2"/>
        </w:numPr>
        <w:spacing w:before="40" w:after="40"/>
      </w:pPr>
      <w:r>
        <w:rPr>
          <w:b/>
          <w:bCs/>
        </w:rPr>
        <w:t xml:space="preserve">Emission intensities — </w:t>
      </w:r>
      <w:r>
        <w:t>six scope components per product: fuel combustion (S1.fc), process fuels (S1.fp), non-fuel process CO₂ (S1.np), non-CO₂ GHGs such as N₂O and PFCs (S1.no), electricity (S2), and upstream ammonia chain (NH₃). These sum to the holistic intensity.</w:t>
      </w:r>
    </w:p>
    <w:p w14:paraId="461EE1A2" w14:textId="77777777" w:rsidR="00587C7F" w:rsidRDefault="00615B75">
      <w:pPr>
        <w:pStyle w:val="ListParagraph"/>
        <w:numPr>
          <w:ilvl w:val="0"/>
          <w:numId w:val="2"/>
        </w:numPr>
        <w:spacing w:before="40" w:after="40"/>
      </w:pPr>
      <w:r>
        <w:rPr>
          <w:b/>
          <w:bCs/>
        </w:rPr>
        <w:t xml:space="preserve">CBAM-eligible intensity — </w:t>
      </w:r>
      <w:r>
        <w:t>the same total minus S2 for products where electricity is out of scope (steel and aluminium). For cement and fertilisers, S2 is included.</w:t>
      </w:r>
    </w:p>
    <w:p w14:paraId="29C2CDBC" w14:textId="77777777" w:rsidR="00587C7F" w:rsidRDefault="00615B75">
      <w:pPr>
        <w:pStyle w:val="ListParagraph"/>
        <w:numPr>
          <w:ilvl w:val="0"/>
          <w:numId w:val="2"/>
        </w:numPr>
        <w:spacing w:before="40" w:after="40"/>
      </w:pPr>
      <w:r>
        <w:rPr>
          <w:b/>
          <w:bCs/>
        </w:rPr>
        <w:t xml:space="preserve">Optimal domestic carbon price — </w:t>
      </w:r>
      <w:r>
        <w:t>the price at which a country captures the full CBAM revenue that would otherwise flow to the EU.</w:t>
      </w:r>
    </w:p>
    <w:p w14:paraId="315B5C85" w14:textId="77777777" w:rsidR="00587C7F" w:rsidRDefault="00615B75">
      <w:pPr>
        <w:pStyle w:val="ListParagraph"/>
        <w:numPr>
          <w:ilvl w:val="0"/>
          <w:numId w:val="2"/>
        </w:numPr>
        <w:spacing w:before="40" w:after="40"/>
      </w:pPr>
      <w:r>
        <w:rPr>
          <w:b/>
          <w:bCs/>
        </w:rPr>
        <w:t xml:space="preserve">Revenue breakdown — </w:t>
      </w:r>
      <w:r>
        <w:t>country revenue from EU exports (creditable against CBAM), non-EU exports, and domestic consumption; and EU CBAM retained.</w:t>
      </w:r>
    </w:p>
    <w:p w14:paraId="18F92F23" w14:textId="77777777" w:rsidR="00587C7F" w:rsidRDefault="00615B75">
      <w:pPr>
        <w:pStyle w:val="ListParagraph"/>
        <w:numPr>
          <w:ilvl w:val="0"/>
          <w:numId w:val="2"/>
        </w:numPr>
        <w:spacing w:before="40" w:after="40"/>
      </w:pPr>
      <w:r>
        <w:rPr>
          <w:b/>
          <w:bCs/>
        </w:rPr>
        <w:t xml:space="preserve">Price impact by product — </w:t>
      </w:r>
      <w:r>
        <w:t>the domestic price wedge and EU CBAM wedge per tonne for the selected detail year.</w:t>
      </w:r>
    </w:p>
    <w:p w14:paraId="2A921CDF" w14:textId="77777777" w:rsidR="00587C7F" w:rsidRDefault="00587C7F">
      <w:pPr>
        <w:spacing w:before="40" w:after="40"/>
      </w:pPr>
    </w:p>
    <w:p w14:paraId="426A519B" w14:textId="77777777" w:rsidR="00587C7F" w:rsidRDefault="00615B75">
      <w:r>
        <w:br w:type="page"/>
      </w:r>
    </w:p>
    <w:p w14:paraId="03C982CD" w14:textId="77777777" w:rsidR="00587C7F" w:rsidRDefault="00615B75">
      <w:pPr>
        <w:pStyle w:val="Heading1"/>
        <w:shd w:val="clear" w:color="auto" w:fill="1F4E79"/>
        <w:ind w:left="120" w:right="120"/>
      </w:pPr>
      <w:r>
        <w:lastRenderedPageBreak/>
        <w:t>2.  The sheets</w:t>
      </w:r>
    </w:p>
    <w:p w14:paraId="64AB9DA1" w14:textId="77777777" w:rsidR="00587C7F" w:rsidRDefault="00587C7F">
      <w:pPr>
        <w:spacing w:before="40" w:after="4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960"/>
        <w:gridCol w:w="2400"/>
      </w:tblGrid>
      <w:tr w:rsidR="00587C7F" w14:paraId="005E2D21" w14:textId="77777777">
        <w:trPr>
          <w:tblHeader/>
        </w:trPr>
        <w:tc>
          <w:tcPr>
            <w:tcW w:w="2000" w:type="dxa"/>
            <w:tcBorders>
              <w:top w:val="single" w:sz="1" w:space="0" w:color="C0C0C0"/>
              <w:left w:val="single" w:sz="1" w:space="0" w:color="C0C0C0"/>
              <w:bottom w:val="single" w:sz="1" w:space="0" w:color="C0C0C0"/>
              <w:right w:val="single" w:sz="1" w:space="0" w:color="C0C0C0"/>
            </w:tcBorders>
            <w:shd w:val="clear" w:color="auto" w:fill="2E75B6"/>
            <w:tcMar>
              <w:top w:w="80" w:type="dxa"/>
              <w:left w:w="120" w:type="dxa"/>
              <w:bottom w:w="80" w:type="dxa"/>
              <w:right w:w="120" w:type="dxa"/>
            </w:tcMar>
            <w:vAlign w:val="center"/>
          </w:tcPr>
          <w:p w14:paraId="26CB1B4E" w14:textId="77777777" w:rsidR="00587C7F" w:rsidRDefault="00615B75">
            <w:pPr>
              <w:jc w:val="center"/>
            </w:pPr>
            <w:r>
              <w:rPr>
                <w:b/>
                <w:bCs/>
                <w:color w:val="FFFFFF"/>
                <w:sz w:val="16"/>
                <w:szCs w:val="16"/>
              </w:rPr>
              <w:t>Sheet</w:t>
            </w:r>
          </w:p>
        </w:tc>
        <w:tc>
          <w:tcPr>
            <w:tcW w:w="4960" w:type="dxa"/>
            <w:tcBorders>
              <w:top w:val="single" w:sz="1" w:space="0" w:color="C0C0C0"/>
              <w:left w:val="single" w:sz="1" w:space="0" w:color="C0C0C0"/>
              <w:bottom w:val="single" w:sz="1" w:space="0" w:color="C0C0C0"/>
              <w:right w:val="single" w:sz="1" w:space="0" w:color="C0C0C0"/>
            </w:tcBorders>
            <w:shd w:val="clear" w:color="auto" w:fill="2E75B6"/>
            <w:tcMar>
              <w:top w:w="80" w:type="dxa"/>
              <w:left w:w="120" w:type="dxa"/>
              <w:bottom w:w="80" w:type="dxa"/>
              <w:right w:w="120" w:type="dxa"/>
            </w:tcMar>
            <w:vAlign w:val="center"/>
          </w:tcPr>
          <w:p w14:paraId="58E355CD" w14:textId="77777777" w:rsidR="00587C7F" w:rsidRDefault="00615B75">
            <w:pPr>
              <w:jc w:val="center"/>
            </w:pPr>
            <w:r>
              <w:rPr>
                <w:b/>
                <w:bCs/>
                <w:color w:val="FFFFFF"/>
                <w:sz w:val="16"/>
                <w:szCs w:val="16"/>
              </w:rPr>
              <w:t>What it does</w:t>
            </w:r>
          </w:p>
        </w:tc>
        <w:tc>
          <w:tcPr>
            <w:tcW w:w="2400" w:type="dxa"/>
            <w:tcBorders>
              <w:top w:val="single" w:sz="1" w:space="0" w:color="C0C0C0"/>
              <w:left w:val="single" w:sz="1" w:space="0" w:color="C0C0C0"/>
              <w:bottom w:val="single" w:sz="1" w:space="0" w:color="C0C0C0"/>
              <w:right w:val="single" w:sz="1" w:space="0" w:color="C0C0C0"/>
            </w:tcBorders>
            <w:shd w:val="clear" w:color="auto" w:fill="2E75B6"/>
            <w:tcMar>
              <w:top w:w="80" w:type="dxa"/>
              <w:left w:w="120" w:type="dxa"/>
              <w:bottom w:w="80" w:type="dxa"/>
              <w:right w:w="120" w:type="dxa"/>
            </w:tcMar>
            <w:vAlign w:val="center"/>
          </w:tcPr>
          <w:p w14:paraId="245F8AD7" w14:textId="77777777" w:rsidR="00587C7F" w:rsidRDefault="00615B75">
            <w:pPr>
              <w:jc w:val="center"/>
            </w:pPr>
            <w:r>
              <w:rPr>
                <w:b/>
                <w:bCs/>
                <w:color w:val="FFFFFF"/>
                <w:sz w:val="16"/>
                <w:szCs w:val="16"/>
              </w:rPr>
              <w:t>Edit it?</w:t>
            </w:r>
          </w:p>
        </w:tc>
      </w:tr>
      <w:tr w:rsidR="00587C7F" w14:paraId="225E6DF0" w14:textId="77777777">
        <w:tc>
          <w:tcPr>
            <w:tcW w:w="20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37F6085B" w14:textId="77777777" w:rsidR="00587C7F" w:rsidRDefault="00615B75">
            <w:r>
              <w:rPr>
                <w:sz w:val="18"/>
                <w:szCs w:val="18"/>
              </w:rPr>
              <w:t>dashboard</w:t>
            </w:r>
          </w:p>
        </w:tc>
        <w:tc>
          <w:tcPr>
            <w:tcW w:w="49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74AB5BD4" w14:textId="77777777" w:rsidR="00587C7F" w:rsidRDefault="00615B75">
            <w:pPr>
              <w:jc w:val="center"/>
            </w:pPr>
            <w:r>
              <w:rPr>
                <w:sz w:val="18"/>
                <w:szCs w:val="18"/>
              </w:rPr>
              <w:t>Main control panel: country selector, policy switches, and all results tables.</w:t>
            </w:r>
          </w:p>
        </w:tc>
        <w:tc>
          <w:tcPr>
            <w:tcW w:w="24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6CEEDB42" w14:textId="77777777" w:rsidR="00587C7F" w:rsidRDefault="00615B75">
            <w:pPr>
              <w:jc w:val="center"/>
            </w:pPr>
            <w:r>
              <w:rPr>
                <w:sz w:val="18"/>
                <w:szCs w:val="18"/>
              </w:rPr>
              <w:t>Yes — blue input cells</w:t>
            </w:r>
          </w:p>
        </w:tc>
      </w:tr>
      <w:tr w:rsidR="00587C7F" w14:paraId="2FD945A0" w14:textId="77777777">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1BAC4683" w14:textId="77777777" w:rsidR="00587C7F" w:rsidRDefault="00615B75">
            <w:r>
              <w:rPr>
                <w:sz w:val="18"/>
                <w:szCs w:val="18"/>
              </w:rPr>
              <w:t>ef_benchmarks</w:t>
            </w:r>
          </w:p>
        </w:tc>
        <w:tc>
          <w:tcPr>
            <w:tcW w:w="49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3B19DD84" w14:textId="77777777" w:rsidR="00587C7F" w:rsidRDefault="00615B75">
            <w:pPr>
              <w:jc w:val="center"/>
            </w:pPr>
            <w:r>
              <w:rPr>
                <w:sz w:val="18"/>
                <w:szCs w:val="18"/>
              </w:rPr>
              <w:t>Executive comparison of intensities vs EU benchmarks and defaults. Pulls live from dashboard.</w:t>
            </w:r>
          </w:p>
        </w:tc>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6A53E731" w14:textId="77777777" w:rsidR="00587C7F" w:rsidRDefault="00615B75">
            <w:pPr>
              <w:jc w:val="center"/>
            </w:pPr>
            <w:r>
              <w:rPr>
                <w:sz w:val="18"/>
                <w:szCs w:val="18"/>
              </w:rPr>
              <w:t>Read only</w:t>
            </w:r>
          </w:p>
        </w:tc>
      </w:tr>
      <w:tr w:rsidR="00587C7F" w14:paraId="7B46DB6D" w14:textId="77777777">
        <w:tc>
          <w:tcPr>
            <w:tcW w:w="20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3D50EA82" w14:textId="77777777" w:rsidR="00587C7F" w:rsidRDefault="00615B75">
            <w:r>
              <w:rPr>
                <w:sz w:val="18"/>
                <w:szCs w:val="18"/>
              </w:rPr>
              <w:t>input_data</w:t>
            </w:r>
          </w:p>
        </w:tc>
        <w:tc>
          <w:tcPr>
            <w:tcW w:w="49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64415FD5" w14:textId="77777777" w:rsidR="00587C7F" w:rsidRDefault="00615B75">
            <w:pPr>
              <w:jc w:val="center"/>
            </w:pPr>
            <w:r>
              <w:rPr>
                <w:sz w:val="18"/>
                <w:szCs w:val="18"/>
              </w:rPr>
              <w:t>All raw inputs: production, trade shares, energy intensities, prices, emission factors.</w:t>
            </w:r>
          </w:p>
        </w:tc>
        <w:tc>
          <w:tcPr>
            <w:tcW w:w="24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3B0649B8" w14:textId="77777777" w:rsidR="00587C7F" w:rsidRDefault="00615B75">
            <w:pPr>
              <w:jc w:val="center"/>
            </w:pPr>
            <w:r>
              <w:rPr>
                <w:sz w:val="18"/>
                <w:szCs w:val="18"/>
              </w:rPr>
              <w:t>Yes — to update data</w:t>
            </w:r>
          </w:p>
        </w:tc>
      </w:tr>
      <w:tr w:rsidR="00587C7F" w14:paraId="038994DF" w14:textId="77777777">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685CDEA7" w14:textId="77777777" w:rsidR="00587C7F" w:rsidRDefault="00615B75">
            <w:r>
              <w:rPr>
                <w:sz w:val="18"/>
                <w:szCs w:val="18"/>
              </w:rPr>
              <w:t>calculations</w:t>
            </w:r>
          </w:p>
        </w:tc>
        <w:tc>
          <w:tcPr>
            <w:tcW w:w="49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4DD6A8D3" w14:textId="77777777" w:rsidR="00587C7F" w:rsidRDefault="00615B75">
            <w:pPr>
              <w:jc w:val="center"/>
            </w:pPr>
            <w:r>
              <w:rPr>
                <w:sz w:val="18"/>
                <w:szCs w:val="18"/>
              </w:rPr>
              <w:t>Full model engine: production, emissions, CBAM obligations for all entities and years.</w:t>
            </w:r>
          </w:p>
        </w:tc>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3F177FAB" w14:textId="77777777" w:rsidR="00587C7F" w:rsidRDefault="00615B75">
            <w:pPr>
              <w:jc w:val="center"/>
            </w:pPr>
            <w:r>
              <w:rPr>
                <w:sz w:val="18"/>
                <w:szCs w:val="18"/>
              </w:rPr>
              <w:t>No — formulas only</w:t>
            </w:r>
          </w:p>
        </w:tc>
      </w:tr>
      <w:tr w:rsidR="00587C7F" w14:paraId="3FB991AF" w14:textId="77777777">
        <w:tc>
          <w:tcPr>
            <w:tcW w:w="20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5020E901" w14:textId="77777777" w:rsidR="00587C7F" w:rsidRDefault="00615B75">
            <w:r>
              <w:rPr>
                <w:sz w:val="18"/>
                <w:szCs w:val="18"/>
              </w:rPr>
              <w:t>ref_data</w:t>
            </w:r>
          </w:p>
        </w:tc>
        <w:tc>
          <w:tcPr>
            <w:tcW w:w="49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1997BBD5" w14:textId="77777777" w:rsidR="00587C7F" w:rsidRDefault="00615B75">
            <w:pPr>
              <w:jc w:val="center"/>
            </w:pPr>
            <w:r>
              <w:rPr>
                <w:sz w:val="18"/>
                <w:szCs w:val="18"/>
              </w:rPr>
              <w:t>Reference energy intensities and EU default values from IR 2025/2621.</w:t>
            </w:r>
          </w:p>
        </w:tc>
        <w:tc>
          <w:tcPr>
            <w:tcW w:w="24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6D0DA681" w14:textId="77777777" w:rsidR="00587C7F" w:rsidRDefault="00615B75">
            <w:pPr>
              <w:jc w:val="center"/>
            </w:pPr>
            <w:r>
              <w:rPr>
                <w:sz w:val="18"/>
                <w:szCs w:val="18"/>
              </w:rPr>
              <w:t>Read only</w:t>
            </w:r>
          </w:p>
        </w:tc>
      </w:tr>
      <w:tr w:rsidR="00587C7F" w14:paraId="5BA7693F" w14:textId="77777777">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4D16B2ED" w14:textId="77777777" w:rsidR="00587C7F" w:rsidRDefault="00615B75">
            <w:r>
              <w:rPr>
                <w:sz w:val="18"/>
                <w:szCs w:val="18"/>
              </w:rPr>
              <w:t>explainer</w:t>
            </w:r>
          </w:p>
        </w:tc>
        <w:tc>
          <w:tcPr>
            <w:tcW w:w="49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7ADB0B74" w14:textId="77777777" w:rsidR="00587C7F" w:rsidRDefault="00615B75">
            <w:pPr>
              <w:jc w:val="center"/>
            </w:pPr>
            <w:r>
              <w:rPr>
                <w:sz w:val="18"/>
                <w:szCs w:val="18"/>
              </w:rPr>
              <w:t>Background on the CBAM regulation and how the model works.</w:t>
            </w:r>
          </w:p>
        </w:tc>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40536DC8" w14:textId="77777777" w:rsidR="00587C7F" w:rsidRDefault="00615B75">
            <w:pPr>
              <w:jc w:val="center"/>
            </w:pPr>
            <w:r>
              <w:rPr>
                <w:sz w:val="18"/>
                <w:szCs w:val="18"/>
              </w:rPr>
              <w:t>Read only</w:t>
            </w:r>
          </w:p>
        </w:tc>
      </w:tr>
      <w:tr w:rsidR="00587C7F" w14:paraId="20C9ED50" w14:textId="77777777">
        <w:tc>
          <w:tcPr>
            <w:tcW w:w="20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407D7CB0" w14:textId="77777777" w:rsidR="00587C7F" w:rsidRDefault="00615B75">
            <w:r>
              <w:rPr>
                <w:sz w:val="18"/>
                <w:szCs w:val="18"/>
              </w:rPr>
              <w:t>egypt_facilities</w:t>
            </w:r>
          </w:p>
        </w:tc>
        <w:tc>
          <w:tcPr>
            <w:tcW w:w="49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29254DDF" w14:textId="77777777" w:rsidR="00587C7F" w:rsidRDefault="00615B75">
            <w:pPr>
              <w:jc w:val="center"/>
            </w:pPr>
            <w:r>
              <w:rPr>
                <w:sz w:val="18"/>
                <w:szCs w:val="18"/>
              </w:rPr>
              <w:t>Facility-level data for Egypt.</w:t>
            </w:r>
          </w:p>
        </w:tc>
        <w:tc>
          <w:tcPr>
            <w:tcW w:w="24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17292700" w14:textId="77777777" w:rsidR="00587C7F" w:rsidRDefault="00615B75">
            <w:pPr>
              <w:jc w:val="center"/>
            </w:pPr>
            <w:r>
              <w:rPr>
                <w:sz w:val="18"/>
                <w:szCs w:val="18"/>
              </w:rPr>
              <w:t>Read only</w:t>
            </w:r>
          </w:p>
        </w:tc>
      </w:tr>
      <w:tr w:rsidR="00587C7F" w14:paraId="3A4F793B" w14:textId="77777777">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7DA1E662" w14:textId="77777777" w:rsidR="00587C7F" w:rsidRDefault="00615B75">
            <w:r>
              <w:rPr>
                <w:sz w:val="18"/>
                <w:szCs w:val="18"/>
              </w:rPr>
              <w:t>version</w:t>
            </w:r>
          </w:p>
        </w:tc>
        <w:tc>
          <w:tcPr>
            <w:tcW w:w="49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47103304" w14:textId="77777777" w:rsidR="00587C7F" w:rsidRDefault="00615B75">
            <w:pPr>
              <w:jc w:val="center"/>
            </w:pPr>
            <w:r>
              <w:rPr>
                <w:sz w:val="18"/>
                <w:szCs w:val="18"/>
              </w:rPr>
              <w:t>Version history and changelog.</w:t>
            </w:r>
          </w:p>
        </w:tc>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5381EC34" w14:textId="77777777" w:rsidR="00587C7F" w:rsidRDefault="00615B75">
            <w:pPr>
              <w:jc w:val="center"/>
            </w:pPr>
            <w:r>
              <w:rPr>
                <w:sz w:val="18"/>
                <w:szCs w:val="18"/>
              </w:rPr>
              <w:t>Update each release</w:t>
            </w:r>
          </w:p>
        </w:tc>
      </w:tr>
    </w:tbl>
    <w:p w14:paraId="15EAAD52" w14:textId="77777777" w:rsidR="00587C7F" w:rsidRDefault="00587C7F">
      <w:pPr>
        <w:spacing w:before="40" w:after="40"/>
      </w:pPr>
    </w:p>
    <w:p w14:paraId="6707D0F1" w14:textId="77777777" w:rsidR="00587C7F" w:rsidRDefault="00615B75">
      <w:r>
        <w:br w:type="page"/>
      </w:r>
    </w:p>
    <w:p w14:paraId="31E7A98F" w14:textId="77777777" w:rsidR="00587C7F" w:rsidRDefault="00615B75">
      <w:pPr>
        <w:pStyle w:val="Heading1"/>
        <w:shd w:val="clear" w:color="auto" w:fill="1F4E79"/>
        <w:ind w:left="120" w:right="120"/>
      </w:pPr>
      <w:r>
        <w:lastRenderedPageBreak/>
        <w:t>3.  How to use the dashboard</w:t>
      </w:r>
    </w:p>
    <w:p w14:paraId="1F609E08" w14:textId="77777777" w:rsidR="00587C7F" w:rsidRDefault="00587C7F">
      <w:pPr>
        <w:spacing w:before="40" w:after="40"/>
      </w:pPr>
    </w:p>
    <w:p w14:paraId="589B4C88" w14:textId="77777777" w:rsidR="00587C7F" w:rsidRDefault="00615B75">
      <w:pPr>
        <w:pStyle w:val="Heading2"/>
        <w:pBdr>
          <w:bottom w:val="single" w:sz="4" w:space="2" w:color="2E75B6"/>
        </w:pBdr>
      </w:pPr>
      <w:r>
        <w:t>Step 1 — Choose a country</w:t>
      </w:r>
    </w:p>
    <w:p w14:paraId="58D3DD03" w14:textId="77777777" w:rsidR="00587C7F" w:rsidRDefault="00615B75">
      <w:pPr>
        <w:spacing w:before="60" w:after="60"/>
      </w:pPr>
      <w:r>
        <w:t xml:space="preserve">Go to cell </w:t>
      </w:r>
      <w:r>
        <w:rPr>
          <w:rFonts w:ascii="Courier New" w:eastAsia="Courier New" w:hAnsi="Courier New" w:cs="Courier New"/>
          <w:color w:val="1F3864"/>
          <w:sz w:val="18"/>
          <w:szCs w:val="18"/>
        </w:rPr>
        <w:t>B5</w:t>
      </w:r>
      <w:r>
        <w:t xml:space="preserve"> (named </w:t>
      </w:r>
      <w:r>
        <w:rPr>
          <w:rFonts w:ascii="Courier New" w:eastAsia="Courier New" w:hAnsi="Courier New" w:cs="Courier New"/>
          <w:color w:val="1F3864"/>
          <w:sz w:val="18"/>
          <w:szCs w:val="18"/>
        </w:rPr>
        <w:t>CountrySelector</w:t>
      </w:r>
      <w:r>
        <w:t xml:space="preserve">) and type one of: </w:t>
      </w:r>
      <w:r>
        <w:rPr>
          <w:b/>
          <w:bCs/>
        </w:rPr>
        <w:t>egy, alb, uzb, aze, ind</w:t>
      </w:r>
      <w:r>
        <w:t>. Every formula in the workbook updates immediately.</w:t>
      </w:r>
    </w:p>
    <w:p w14:paraId="52D2B39A" w14:textId="77777777" w:rsidR="00587C7F" w:rsidRDefault="00615B75">
      <w:pPr>
        <w:pBdr>
          <w:left w:val="single" w:sz="14" w:space="4" w:color="1F4E79"/>
        </w:pBdr>
        <w:shd w:val="clear" w:color="auto" w:fill="BDD7EE"/>
        <w:spacing w:before="100" w:after="100"/>
        <w:ind w:left="360" w:right="360"/>
      </w:pPr>
      <w:r>
        <w:rPr>
          <w:b/>
          <w:bCs/>
          <w:color w:val="1F4E79"/>
        </w:rPr>
        <w:t xml:space="preserve">Tip  </w:t>
      </w:r>
      <w:r>
        <w:t>The workbook uses named ranges throughout. CountrySelector (B5), DetailYear (B6), YearIdx (P6), and Theta (B7) are all named — you can reference them by name in any formula you add.</w:t>
      </w:r>
    </w:p>
    <w:p w14:paraId="7840E9EB" w14:textId="77777777" w:rsidR="00587C7F" w:rsidRDefault="00587C7F">
      <w:pPr>
        <w:spacing w:before="40" w:after="40"/>
      </w:pPr>
    </w:p>
    <w:p w14:paraId="6D5AC771" w14:textId="77777777" w:rsidR="00587C7F" w:rsidRDefault="00615B75">
      <w:pPr>
        <w:pStyle w:val="Heading2"/>
        <w:pBdr>
          <w:bottom w:val="single" w:sz="4" w:space="2" w:color="2E75B6"/>
        </w:pBdr>
      </w:pPr>
      <w:r>
        <w:t>Step 2 — Set the detail year</w:t>
      </w:r>
    </w:p>
    <w:p w14:paraId="4EA2299E" w14:textId="77777777" w:rsidR="00587C7F" w:rsidRDefault="00615B75">
      <w:pPr>
        <w:spacing w:before="60" w:after="60"/>
      </w:pPr>
      <w:r>
        <w:t xml:space="preserve">Cell </w:t>
      </w:r>
      <w:r>
        <w:rPr>
          <w:rFonts w:ascii="Courier New" w:eastAsia="Courier New" w:hAnsi="Courier New" w:cs="Courier New"/>
          <w:color w:val="1F3864"/>
          <w:sz w:val="18"/>
          <w:szCs w:val="18"/>
        </w:rPr>
        <w:t>B6</w:t>
      </w:r>
      <w:r>
        <w:t xml:space="preserve"> (</w:t>
      </w:r>
      <w:r>
        <w:rPr>
          <w:rFonts w:ascii="Courier New" w:eastAsia="Courier New" w:hAnsi="Courier New" w:cs="Courier New"/>
          <w:color w:val="1F3864"/>
          <w:sz w:val="18"/>
          <w:szCs w:val="18"/>
        </w:rPr>
        <w:t>DetailYear</w:t>
      </w:r>
      <w:r>
        <w:t>) controls which year is shown in the emission intensity matrix (Section 6) and price impact table (Section 5). The 12-year revenue tables always show all years regardless.</w:t>
      </w:r>
    </w:p>
    <w:p w14:paraId="3E237E12" w14:textId="77777777" w:rsidR="00587C7F" w:rsidRDefault="00587C7F">
      <w:pPr>
        <w:spacing w:before="40" w:after="40"/>
      </w:pPr>
    </w:p>
    <w:p w14:paraId="72A8530D" w14:textId="77777777" w:rsidR="00587C7F" w:rsidRDefault="00615B75">
      <w:pPr>
        <w:pStyle w:val="Heading2"/>
        <w:pBdr>
          <w:bottom w:val="single" w:sz="4" w:space="2" w:color="2E75B6"/>
        </w:pBdr>
      </w:pPr>
      <w:r>
        <w:t>Step 3 — Set policy choices (Section 2)</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6840"/>
      </w:tblGrid>
      <w:tr w:rsidR="00587C7F" w14:paraId="23775131" w14:textId="77777777">
        <w:tc>
          <w:tcPr>
            <w:tcW w:w="252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3E8703BF" w14:textId="77777777" w:rsidR="00587C7F" w:rsidRDefault="00615B75">
            <w:pPr>
              <w:spacing w:before="60" w:after="60"/>
            </w:pPr>
            <w:r>
              <w:rPr>
                <w:b/>
                <w:bCs/>
                <w:color w:val="1F4E79"/>
                <w:sz w:val="18"/>
                <w:szCs w:val="18"/>
              </w:rPr>
              <w:t>Coverage flags (B11–B15)</w:t>
            </w:r>
          </w:p>
        </w:tc>
        <w:tc>
          <w:tcPr>
            <w:tcW w:w="684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5CA79120" w14:textId="77777777" w:rsidR="00587C7F" w:rsidRDefault="00615B75">
            <w:pPr>
              <w:spacing w:before="60" w:after="60"/>
            </w:pPr>
            <w:r>
              <w:rPr>
                <w:sz w:val="18"/>
                <w:szCs w:val="18"/>
              </w:rPr>
              <w:t>Set to 1 to include a scope in the calculation, 0 to exclude. Default is all on.</w:t>
            </w:r>
          </w:p>
        </w:tc>
      </w:tr>
      <w:tr w:rsidR="00587C7F" w14:paraId="13F27C7B" w14:textId="77777777">
        <w:tc>
          <w:tcPr>
            <w:tcW w:w="252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3372931A" w14:textId="77777777" w:rsidR="00587C7F" w:rsidRDefault="00615B75">
            <w:pPr>
              <w:spacing w:before="60" w:after="60"/>
            </w:pPr>
            <w:r>
              <w:rPr>
                <w:b/>
                <w:bCs/>
                <w:color w:val="1F4E79"/>
                <w:sz w:val="18"/>
                <w:szCs w:val="18"/>
              </w:rPr>
              <w:t>MRV flag (B19)</w:t>
            </w:r>
          </w:p>
        </w:tc>
        <w:tc>
          <w:tcPr>
            <w:tcW w:w="684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4D821F2A" w14:textId="77777777" w:rsidR="00587C7F" w:rsidRDefault="00615B75">
            <w:pPr>
              <w:spacing w:before="60" w:after="60"/>
            </w:pPr>
            <w:r>
              <w:rPr>
                <w:sz w:val="18"/>
                <w:szCs w:val="18"/>
              </w:rPr>
              <w:t>1 = exporter submits verified data (Pathway A). 0 = EU default values apply (Pathway B). Default is 1.</w:t>
            </w:r>
          </w:p>
        </w:tc>
      </w:tr>
      <w:tr w:rsidR="00587C7F" w14:paraId="14ED033E" w14:textId="77777777">
        <w:tc>
          <w:tcPr>
            <w:tcW w:w="252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589E3593" w14:textId="77777777" w:rsidR="00587C7F" w:rsidRDefault="00615B75">
            <w:pPr>
              <w:spacing w:before="60" w:after="60"/>
            </w:pPr>
            <w:r>
              <w:rPr>
                <w:b/>
                <w:bCs/>
                <w:color w:val="1F4E79"/>
                <w:sz w:val="18"/>
                <w:szCs w:val="18"/>
              </w:rPr>
              <w:t>S2 CBAM scope (B20)</w:t>
            </w:r>
          </w:p>
        </w:tc>
        <w:tc>
          <w:tcPr>
            <w:tcW w:w="684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487A3FC3" w14:textId="77777777" w:rsidR="00587C7F" w:rsidRDefault="00615B75">
            <w:pPr>
              <w:spacing w:before="60" w:after="60"/>
            </w:pPr>
            <w:r>
              <w:rPr>
                <w:sz w:val="18"/>
                <w:szCs w:val="18"/>
              </w:rPr>
              <w:t>Read-only. YES for cement and fertilisers; NO for steel and aluminium. Set by regulation.</w:t>
            </w:r>
          </w:p>
        </w:tc>
      </w:tr>
      <w:tr w:rsidR="00587C7F" w14:paraId="5A1CACB3" w14:textId="77777777">
        <w:tc>
          <w:tcPr>
            <w:tcW w:w="252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63A22E79" w14:textId="77777777" w:rsidR="00587C7F" w:rsidRDefault="00615B75">
            <w:pPr>
              <w:spacing w:before="60" w:after="60"/>
            </w:pPr>
            <w:r>
              <w:rPr>
                <w:b/>
                <w:bCs/>
                <w:color w:val="1F4E79"/>
                <w:sz w:val="18"/>
                <w:szCs w:val="18"/>
              </w:rPr>
              <w:t>Exports only (B22)</w:t>
            </w:r>
          </w:p>
        </w:tc>
        <w:tc>
          <w:tcPr>
            <w:tcW w:w="684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5FDDC6B3" w14:textId="77777777" w:rsidR="00587C7F" w:rsidRDefault="00615B75">
            <w:pPr>
              <w:spacing w:before="60" w:after="60"/>
            </w:pPr>
            <w:r>
              <w:rPr>
                <w:sz w:val="18"/>
                <w:szCs w:val="18"/>
              </w:rPr>
              <w:t>Set to 1 to apply the carbon price only to exports. Default is 0 (all production covered).</w:t>
            </w:r>
          </w:p>
        </w:tc>
      </w:tr>
    </w:tbl>
    <w:p w14:paraId="191A298B" w14:textId="77777777" w:rsidR="00587C7F" w:rsidRDefault="00587C7F">
      <w:pPr>
        <w:spacing w:before="40" w:after="40"/>
      </w:pPr>
    </w:p>
    <w:p w14:paraId="1BB87D29" w14:textId="77777777" w:rsidR="00587C7F" w:rsidRDefault="00615B75">
      <w:pPr>
        <w:pStyle w:val="Heading2"/>
        <w:pBdr>
          <w:bottom w:val="single" w:sz="4" w:space="2" w:color="2E75B6"/>
        </w:pBdr>
      </w:pPr>
      <w:r>
        <w:t>Step 4 — Read the results</w:t>
      </w:r>
    </w:p>
    <w:p w14:paraId="0FA64233" w14:textId="77777777" w:rsidR="00587C7F" w:rsidRDefault="00615B75">
      <w:pPr>
        <w:pStyle w:val="Heading3"/>
      </w:pPr>
      <w:r>
        <w:t>Section 3 — Carbon price time series</w:t>
      </w:r>
    </w:p>
    <w:p w14:paraId="784649C2" w14:textId="77777777" w:rsidR="00587C7F" w:rsidRDefault="00615B75">
      <w:pPr>
        <w:spacing w:before="60" w:after="60"/>
      </w:pPr>
      <w:r>
        <w:t>Row 26: EU ETS price (USD/tCO₂) per year. Row 27: CBAM phase-in factor (2.5% in 2026, rising to 100% from 2034). Row 28: optimal domestic carbon price — the level that fully offsets CBAM. Row 29: domestic carbon price applied — defaults to optimal but can be overridden.</w:t>
      </w:r>
    </w:p>
    <w:p w14:paraId="3B889043" w14:textId="77777777" w:rsidR="00587C7F" w:rsidRDefault="00587C7F">
      <w:pPr>
        <w:spacing w:before="40" w:after="40"/>
      </w:pPr>
    </w:p>
    <w:p w14:paraId="01132CB1" w14:textId="77777777" w:rsidR="00587C7F" w:rsidRDefault="00615B75">
      <w:pPr>
        <w:pStyle w:val="Heading3"/>
      </w:pPr>
      <w:r>
        <w:t>Section 4 — Headline revenues</w:t>
      </w:r>
    </w:p>
    <w:p w14:paraId="57A62750" w14:textId="77777777" w:rsidR="00587C7F" w:rsidRDefault="00615B75">
      <w:pPr>
        <w:spacing w:before="60" w:after="60"/>
      </w:pPr>
      <w:r>
        <w:t>Shows for each year: CBAM gross obligation; country revenue on EU exports (and the creditable share); EU retained (zero at optimal CP); country revenue on non-EU exports; country revenue on domestic consumption; total country revenue.</w:t>
      </w:r>
    </w:p>
    <w:p w14:paraId="1C3F1DEE" w14:textId="77777777" w:rsidR="00587C7F" w:rsidRDefault="00615B75">
      <w:pPr>
        <w:pBdr>
          <w:left w:val="single" w:sz="14" w:space="4" w:color="1F4E79"/>
        </w:pBdr>
        <w:shd w:val="clear" w:color="auto" w:fill="E2EFDA"/>
        <w:spacing w:before="100" w:after="100"/>
        <w:ind w:left="360" w:right="360"/>
      </w:pPr>
      <w:r>
        <w:rPr>
          <w:b/>
          <w:bCs/>
          <w:color w:val="1F4E79"/>
        </w:rPr>
        <w:t xml:space="preserve">Example (Egypt, 2030)  </w:t>
      </w:r>
      <w:r>
        <w:t>At the optimal carbon price of $94/tCO₂, Egypt collects $8,134 million in total revenue. EU retained is $0. CBAM gross exposure is $376 million.</w:t>
      </w:r>
    </w:p>
    <w:p w14:paraId="3C6BE7B0" w14:textId="77777777" w:rsidR="00587C7F" w:rsidRDefault="00587C7F">
      <w:pPr>
        <w:spacing w:before="40" w:after="40"/>
      </w:pPr>
    </w:p>
    <w:p w14:paraId="12A41592" w14:textId="77777777" w:rsidR="00587C7F" w:rsidRDefault="00615B75">
      <w:pPr>
        <w:pStyle w:val="Heading3"/>
      </w:pPr>
      <w:r>
        <w:t>Section 5 — Price impact by product</w:t>
      </w:r>
    </w:p>
    <w:p w14:paraId="3BDC3238" w14:textId="77777777" w:rsidR="00587C7F" w:rsidRDefault="00615B75">
      <w:pPr>
        <w:spacing w:before="60" w:after="60"/>
      </w:pPr>
      <w:r>
        <w:t>For the selected detail year, shows the domestic price wedge and EU CBAM wedge per tonne for each product.</w:t>
      </w:r>
    </w:p>
    <w:p w14:paraId="097F6052" w14:textId="77777777" w:rsidR="00587C7F" w:rsidRDefault="00587C7F">
      <w:pPr>
        <w:spacing w:before="40" w:after="40"/>
      </w:pPr>
    </w:p>
    <w:p w14:paraId="769ED253" w14:textId="77777777" w:rsidR="00587C7F" w:rsidRDefault="00615B75">
      <w:pPr>
        <w:pStyle w:val="Heading3"/>
      </w:pPr>
      <w:r>
        <w:t>Section 6 — Emission intensity matrix</w:t>
      </w:r>
    </w:p>
    <w:p w14:paraId="45F79E42" w14:textId="77777777" w:rsidR="00587C7F" w:rsidRDefault="00615B75">
      <w:pPr>
        <w:spacing w:before="60" w:after="60"/>
      </w:pPr>
      <w:r>
        <w:t>The core diagnostic table. Shows every scope component for every product, side by side with the EU default and free allocation equivalent.</w:t>
      </w:r>
    </w:p>
    <w:p w14:paraId="477F173A" w14:textId="77777777" w:rsidR="00587C7F" w:rsidRDefault="00587C7F">
      <w:pPr>
        <w:spacing w:before="40" w:after="4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7200"/>
      </w:tblGrid>
      <w:tr w:rsidR="00587C7F" w14:paraId="36D294B1" w14:textId="77777777">
        <w:trPr>
          <w:tblHeader/>
        </w:trPr>
        <w:tc>
          <w:tcPr>
            <w:tcW w:w="2160" w:type="dxa"/>
            <w:tcBorders>
              <w:top w:val="single" w:sz="1" w:space="0" w:color="C0C0C0"/>
              <w:left w:val="single" w:sz="1" w:space="0" w:color="C0C0C0"/>
              <w:bottom w:val="single" w:sz="1" w:space="0" w:color="C0C0C0"/>
              <w:right w:val="single" w:sz="1" w:space="0" w:color="C0C0C0"/>
            </w:tcBorders>
            <w:shd w:val="clear" w:color="auto" w:fill="2E75B6"/>
            <w:tcMar>
              <w:top w:w="80" w:type="dxa"/>
              <w:left w:w="120" w:type="dxa"/>
              <w:bottom w:w="80" w:type="dxa"/>
              <w:right w:w="120" w:type="dxa"/>
            </w:tcMar>
            <w:vAlign w:val="center"/>
          </w:tcPr>
          <w:p w14:paraId="71AAF052" w14:textId="77777777" w:rsidR="00587C7F" w:rsidRDefault="00615B75">
            <w:pPr>
              <w:jc w:val="center"/>
            </w:pPr>
            <w:r>
              <w:rPr>
                <w:b/>
                <w:bCs/>
                <w:color w:val="FFFFFF"/>
                <w:sz w:val="16"/>
                <w:szCs w:val="16"/>
              </w:rPr>
              <w:t>Column</w:t>
            </w:r>
          </w:p>
        </w:tc>
        <w:tc>
          <w:tcPr>
            <w:tcW w:w="7200" w:type="dxa"/>
            <w:tcBorders>
              <w:top w:val="single" w:sz="1" w:space="0" w:color="C0C0C0"/>
              <w:left w:val="single" w:sz="1" w:space="0" w:color="C0C0C0"/>
              <w:bottom w:val="single" w:sz="1" w:space="0" w:color="C0C0C0"/>
              <w:right w:val="single" w:sz="1" w:space="0" w:color="C0C0C0"/>
            </w:tcBorders>
            <w:shd w:val="clear" w:color="auto" w:fill="2E75B6"/>
            <w:tcMar>
              <w:top w:w="80" w:type="dxa"/>
              <w:left w:w="120" w:type="dxa"/>
              <w:bottom w:w="80" w:type="dxa"/>
              <w:right w:w="120" w:type="dxa"/>
            </w:tcMar>
            <w:vAlign w:val="center"/>
          </w:tcPr>
          <w:p w14:paraId="45D27B57" w14:textId="77777777" w:rsidR="00587C7F" w:rsidRDefault="00615B75">
            <w:pPr>
              <w:jc w:val="center"/>
            </w:pPr>
            <w:r>
              <w:rPr>
                <w:b/>
                <w:bCs/>
                <w:color w:val="FFFFFF"/>
                <w:sz w:val="16"/>
                <w:szCs w:val="16"/>
              </w:rPr>
              <w:t>What it shows</w:t>
            </w:r>
          </w:p>
        </w:tc>
      </w:tr>
      <w:tr w:rsidR="00587C7F" w14:paraId="599A8DE9" w14:textId="77777777">
        <w:tc>
          <w:tcPr>
            <w:tcW w:w="21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479F2D35" w14:textId="77777777" w:rsidR="00587C7F" w:rsidRDefault="00615B75">
            <w:r>
              <w:rPr>
                <w:sz w:val="18"/>
                <w:szCs w:val="18"/>
              </w:rPr>
              <w:t>S1.fc</w:t>
            </w:r>
          </w:p>
        </w:tc>
        <w:tc>
          <w:tcPr>
            <w:tcW w:w="72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40961B1A" w14:textId="77777777" w:rsidR="00587C7F" w:rsidRDefault="00615B75">
            <w:pPr>
              <w:jc w:val="center"/>
            </w:pPr>
            <w:r>
              <w:rPr>
                <w:sz w:val="18"/>
                <w:szCs w:val="18"/>
              </w:rPr>
              <w:t>Scope 1 combustion CO₂ (tCO₂/t): burning fuel for heat or power</w:t>
            </w:r>
          </w:p>
        </w:tc>
      </w:tr>
      <w:tr w:rsidR="00587C7F" w14:paraId="77087A02" w14:textId="77777777">
        <w:tc>
          <w:tcPr>
            <w:tcW w:w="21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1942F8D7" w14:textId="77777777" w:rsidR="00587C7F" w:rsidRDefault="00615B75">
            <w:r>
              <w:rPr>
                <w:sz w:val="18"/>
                <w:szCs w:val="18"/>
              </w:rPr>
              <w:t>S1.fp</w:t>
            </w:r>
          </w:p>
        </w:tc>
        <w:tc>
          <w:tcPr>
            <w:tcW w:w="7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395117BD" w14:textId="77777777" w:rsidR="00587C7F" w:rsidRDefault="00615B75">
            <w:pPr>
              <w:jc w:val="center"/>
            </w:pPr>
            <w:r>
              <w:rPr>
                <w:sz w:val="18"/>
                <w:szCs w:val="18"/>
              </w:rPr>
              <w:t>Scope 1 process fuels (tCO₂/t): fuel used as a chemical reactant (e.g. coke in iron reduction)</w:t>
            </w:r>
          </w:p>
        </w:tc>
      </w:tr>
      <w:tr w:rsidR="00587C7F" w14:paraId="30113C58" w14:textId="77777777">
        <w:tc>
          <w:tcPr>
            <w:tcW w:w="21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1B3DA274" w14:textId="77777777" w:rsidR="00587C7F" w:rsidRDefault="00615B75">
            <w:r>
              <w:rPr>
                <w:sz w:val="18"/>
                <w:szCs w:val="18"/>
              </w:rPr>
              <w:t>S1.np</w:t>
            </w:r>
          </w:p>
        </w:tc>
        <w:tc>
          <w:tcPr>
            <w:tcW w:w="72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268DFC35" w14:textId="77777777" w:rsidR="00587C7F" w:rsidRDefault="00615B75">
            <w:pPr>
              <w:jc w:val="center"/>
            </w:pPr>
            <w:r>
              <w:rPr>
                <w:sz w:val="18"/>
                <w:szCs w:val="18"/>
              </w:rPr>
              <w:t>Non-fuel process CO₂ (tCO₂/t): calcination in cement, carbon anode in aluminium</w:t>
            </w:r>
          </w:p>
        </w:tc>
      </w:tr>
      <w:tr w:rsidR="00587C7F" w14:paraId="21EAD6AF" w14:textId="77777777">
        <w:tc>
          <w:tcPr>
            <w:tcW w:w="21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2044D390" w14:textId="77777777" w:rsidR="00587C7F" w:rsidRDefault="00615B75">
            <w:r>
              <w:rPr>
                <w:sz w:val="18"/>
                <w:szCs w:val="18"/>
              </w:rPr>
              <w:t>S1.no</w:t>
            </w:r>
          </w:p>
        </w:tc>
        <w:tc>
          <w:tcPr>
            <w:tcW w:w="7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0B74FBC1" w14:textId="77777777" w:rsidR="00587C7F" w:rsidRDefault="00615B75">
            <w:pPr>
              <w:jc w:val="center"/>
            </w:pPr>
            <w:r>
              <w:rPr>
                <w:sz w:val="18"/>
                <w:szCs w:val="18"/>
              </w:rPr>
              <w:t>Non-CO₂ GHGs (tCO₂e/t): N₂O from nitric acid; PFCs from aluminium smelting</w:t>
            </w:r>
          </w:p>
        </w:tc>
      </w:tr>
      <w:tr w:rsidR="00587C7F" w14:paraId="2FD01273" w14:textId="77777777">
        <w:tc>
          <w:tcPr>
            <w:tcW w:w="21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493ABA8F" w14:textId="77777777" w:rsidR="00587C7F" w:rsidRDefault="00615B75">
            <w:r>
              <w:rPr>
                <w:sz w:val="18"/>
                <w:szCs w:val="18"/>
              </w:rPr>
              <w:t>S2</w:t>
            </w:r>
          </w:p>
        </w:tc>
        <w:tc>
          <w:tcPr>
            <w:tcW w:w="72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6D13E89F" w14:textId="77777777" w:rsidR="00587C7F" w:rsidRDefault="00615B75">
            <w:pPr>
              <w:jc w:val="center"/>
            </w:pPr>
            <w:r>
              <w:rPr>
                <w:sz w:val="18"/>
                <w:szCs w:val="18"/>
              </w:rPr>
              <w:t>Electricity emissions (tCO₂/t): grid emission factor × electricity intensity</w:t>
            </w:r>
          </w:p>
        </w:tc>
      </w:tr>
      <w:tr w:rsidR="00587C7F" w14:paraId="58CFF5AC" w14:textId="77777777">
        <w:tc>
          <w:tcPr>
            <w:tcW w:w="21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5C6094D3" w14:textId="77777777" w:rsidR="00587C7F" w:rsidRDefault="00615B75">
            <w:r>
              <w:rPr>
                <w:sz w:val="18"/>
                <w:szCs w:val="18"/>
              </w:rPr>
              <w:t>NH₃ chain</w:t>
            </w:r>
          </w:p>
        </w:tc>
        <w:tc>
          <w:tcPr>
            <w:tcW w:w="7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003A54B3" w14:textId="77777777" w:rsidR="00587C7F" w:rsidRDefault="00615B75">
            <w:pPr>
              <w:jc w:val="center"/>
            </w:pPr>
            <w:r>
              <w:rPr>
                <w:sz w:val="18"/>
                <w:szCs w:val="18"/>
              </w:rPr>
              <w:t>Upstream ammonia embedded in urea and ammonium nitrate</w:t>
            </w:r>
          </w:p>
        </w:tc>
      </w:tr>
      <w:tr w:rsidR="00587C7F" w14:paraId="3C0E06EC" w14:textId="77777777">
        <w:tc>
          <w:tcPr>
            <w:tcW w:w="21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3D10AC7D" w14:textId="77777777" w:rsidR="00587C7F" w:rsidRDefault="00615B75">
            <w:r>
              <w:rPr>
                <w:sz w:val="18"/>
                <w:szCs w:val="18"/>
              </w:rPr>
              <w:t>Holistic</w:t>
            </w:r>
          </w:p>
        </w:tc>
        <w:tc>
          <w:tcPr>
            <w:tcW w:w="72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43B619F1" w14:textId="77777777" w:rsidR="00587C7F" w:rsidRDefault="00615B75">
            <w:pPr>
              <w:jc w:val="center"/>
            </w:pPr>
            <w:r>
              <w:rPr>
                <w:sz w:val="18"/>
                <w:szCs w:val="18"/>
              </w:rPr>
              <w:t>Sum of all components: the full lifecycle intensity</w:t>
            </w:r>
          </w:p>
        </w:tc>
      </w:tr>
      <w:tr w:rsidR="00587C7F" w14:paraId="71CABAC0" w14:textId="77777777">
        <w:tc>
          <w:tcPr>
            <w:tcW w:w="21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012C5372" w14:textId="77777777" w:rsidR="00587C7F" w:rsidRDefault="00615B75">
            <w:r>
              <w:rPr>
                <w:sz w:val="18"/>
                <w:szCs w:val="18"/>
              </w:rPr>
              <w:t>CBAM-eligible</w:t>
            </w:r>
          </w:p>
        </w:tc>
        <w:tc>
          <w:tcPr>
            <w:tcW w:w="7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1C89E960" w14:textId="77777777" w:rsidR="00587C7F" w:rsidRDefault="00615B75">
            <w:pPr>
              <w:jc w:val="center"/>
            </w:pPr>
            <w:r>
              <w:rPr>
                <w:sz w:val="18"/>
                <w:szCs w:val="18"/>
              </w:rPr>
              <w:t>Holistic minus S2 for steel/aluminium; full holistic for cement/fertilisers</w:t>
            </w:r>
          </w:p>
        </w:tc>
      </w:tr>
      <w:tr w:rsidR="00587C7F" w14:paraId="1986A0E4" w14:textId="77777777">
        <w:tc>
          <w:tcPr>
            <w:tcW w:w="21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096B49E8" w14:textId="77777777" w:rsidR="00587C7F" w:rsidRDefault="00615B75">
            <w:r>
              <w:rPr>
                <w:sz w:val="18"/>
                <w:szCs w:val="18"/>
              </w:rPr>
              <w:t>EU default</w:t>
            </w:r>
          </w:p>
        </w:tc>
        <w:tc>
          <w:tcPr>
            <w:tcW w:w="72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73FF0598" w14:textId="77777777" w:rsidR="00587C7F" w:rsidRDefault="00615B75">
            <w:pPr>
              <w:jc w:val="center"/>
            </w:pPr>
            <w:r>
              <w:rPr>
                <w:sz w:val="18"/>
                <w:szCs w:val="18"/>
              </w:rPr>
              <w:t>IR 2025/2621: what the EU assumes if no verified data is submitted (+10% in 2026)</w:t>
            </w:r>
          </w:p>
        </w:tc>
      </w:tr>
      <w:tr w:rsidR="00587C7F" w14:paraId="2295FCA0" w14:textId="77777777">
        <w:tc>
          <w:tcPr>
            <w:tcW w:w="21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5CD70A4A" w14:textId="77777777" w:rsidR="00587C7F" w:rsidRDefault="00615B75">
            <w:r>
              <w:rPr>
                <w:sz w:val="18"/>
                <w:szCs w:val="18"/>
              </w:rPr>
              <w:t>Free alloc. equiv.</w:t>
            </w:r>
          </w:p>
        </w:tc>
        <w:tc>
          <w:tcPr>
            <w:tcW w:w="7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40B2B351" w14:textId="77777777" w:rsidR="00587C7F" w:rsidRDefault="00615B75">
            <w:pPr>
              <w:jc w:val="center"/>
            </w:pPr>
            <w:r>
              <w:rPr>
                <w:sz w:val="18"/>
                <w:szCs w:val="18"/>
              </w:rPr>
              <w:t>IR 2025/2620: the deduction in the CBAM certificate formula</w:t>
            </w:r>
          </w:p>
        </w:tc>
      </w:tr>
      <w:tr w:rsidR="00587C7F" w14:paraId="1A147C53" w14:textId="77777777">
        <w:tc>
          <w:tcPr>
            <w:tcW w:w="21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6F094390" w14:textId="77777777" w:rsidR="00587C7F" w:rsidRDefault="00615B75">
            <w:r>
              <w:rPr>
                <w:sz w:val="18"/>
                <w:szCs w:val="18"/>
              </w:rPr>
              <w:t>Excess</w:t>
            </w:r>
          </w:p>
        </w:tc>
        <w:tc>
          <w:tcPr>
            <w:tcW w:w="72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5171E96B" w14:textId="77777777" w:rsidR="00587C7F" w:rsidRDefault="00615B75">
            <w:pPr>
              <w:jc w:val="center"/>
            </w:pPr>
            <w:r>
              <w:rPr>
                <w:sz w:val="18"/>
                <w:szCs w:val="18"/>
              </w:rPr>
              <w:t>CBAM-eligible minus free allocation equivalent: gross exposure per tonne</w:t>
            </w:r>
          </w:p>
        </w:tc>
      </w:tr>
    </w:tbl>
    <w:p w14:paraId="1EF23673" w14:textId="77777777" w:rsidR="00587C7F" w:rsidRDefault="00615B75">
      <w:pPr>
        <w:spacing w:before="60" w:after="60"/>
      </w:pPr>
      <w:r>
        <w:rPr>
          <w:i/>
          <w:iCs/>
          <w:color w:val="595959"/>
        </w:rPr>
        <w:t>Where production is zero, intensity is calculated directly from energy intensity inputs so the EU default comparison still works.</w:t>
      </w:r>
    </w:p>
    <w:p w14:paraId="4D1F9964" w14:textId="77777777" w:rsidR="00587C7F" w:rsidRDefault="00587C7F">
      <w:pPr>
        <w:spacing w:before="40" w:after="40"/>
      </w:pPr>
    </w:p>
    <w:p w14:paraId="504C7355" w14:textId="77777777" w:rsidR="00587C7F" w:rsidRDefault="00615B75">
      <w:r>
        <w:br w:type="page"/>
      </w:r>
    </w:p>
    <w:p w14:paraId="1FF17433" w14:textId="77777777" w:rsidR="00587C7F" w:rsidRDefault="00615B75">
      <w:pPr>
        <w:pStyle w:val="Heading1"/>
        <w:shd w:val="clear" w:color="auto" w:fill="1F4E79"/>
        <w:ind w:left="120" w:right="120"/>
      </w:pPr>
      <w:r>
        <w:lastRenderedPageBreak/>
        <w:t>4.  The ef_benchmarks sheet</w:t>
      </w:r>
    </w:p>
    <w:p w14:paraId="0D0386B9" w14:textId="77777777" w:rsidR="00587C7F" w:rsidRDefault="00587C7F">
      <w:pPr>
        <w:spacing w:before="40" w:after="40"/>
      </w:pPr>
    </w:p>
    <w:p w14:paraId="5B54118A" w14:textId="77777777" w:rsidR="00587C7F" w:rsidRDefault="00615B75">
      <w:pPr>
        <w:spacing w:before="60" w:after="60"/>
      </w:pPr>
      <w:r>
        <w:t>This sheet is for decision-makers who do not need to see the full model. It shows a single comparison table and regulatory reference material.</w:t>
      </w:r>
    </w:p>
    <w:p w14:paraId="4331CD06" w14:textId="77777777" w:rsidR="00587C7F" w:rsidRDefault="00587C7F">
      <w:pPr>
        <w:spacing w:before="40" w:after="40"/>
      </w:pPr>
    </w:p>
    <w:p w14:paraId="68933C9D" w14:textId="77777777" w:rsidR="00587C7F" w:rsidRDefault="00615B75">
      <w:pPr>
        <w:pStyle w:val="Heading2"/>
        <w:pBdr>
          <w:bottom w:val="single" w:sz="4" w:space="2" w:color="2E75B6"/>
        </w:pBdr>
      </w:pPr>
      <w:r>
        <w:t>Executive comparison table</w:t>
      </w:r>
    </w:p>
    <w:p w14:paraId="73894047" w14:textId="77777777" w:rsidR="00587C7F" w:rsidRDefault="00615B75">
      <w:pPr>
        <w:pStyle w:val="ListParagraph"/>
        <w:numPr>
          <w:ilvl w:val="0"/>
          <w:numId w:val="2"/>
        </w:numPr>
        <w:spacing w:before="40" w:after="40"/>
      </w:pPr>
      <w:r>
        <w:rPr>
          <w:b/>
          <w:bCs/>
        </w:rPr>
        <w:t xml:space="preserve">Model CBAM-eligible intensity — </w:t>
      </w:r>
      <w:r>
        <w:t>what the model computes for the selected country and year</w:t>
      </w:r>
    </w:p>
    <w:p w14:paraId="7373DD8C" w14:textId="77777777" w:rsidR="00587C7F" w:rsidRDefault="00615B75">
      <w:pPr>
        <w:pStyle w:val="ListParagraph"/>
        <w:numPr>
          <w:ilvl w:val="0"/>
          <w:numId w:val="2"/>
        </w:numPr>
        <w:spacing w:before="40" w:after="40"/>
      </w:pPr>
      <w:r>
        <w:rPr>
          <w:b/>
          <w:bCs/>
        </w:rPr>
        <w:t xml:space="preserve">EU default value (pre-markup) — </w:t>
      </w:r>
      <w:r>
        <w:t>what the EU assumes if no verified data is submitted</w:t>
      </w:r>
    </w:p>
    <w:p w14:paraId="3F074A82" w14:textId="77777777" w:rsidR="00587C7F" w:rsidRDefault="00615B75">
      <w:pPr>
        <w:pStyle w:val="ListParagraph"/>
        <w:numPr>
          <w:ilvl w:val="0"/>
          <w:numId w:val="2"/>
        </w:numPr>
        <w:spacing w:before="40" w:after="40"/>
      </w:pPr>
      <w:r>
        <w:rPr>
          <w:b/>
          <w:bCs/>
        </w:rPr>
        <w:t xml:space="preserve">Free allocation equivalent — </w:t>
      </w:r>
      <w:r>
        <w:t>the deduction in the CBAM certificate formula</w:t>
      </w:r>
    </w:p>
    <w:p w14:paraId="15C22071" w14:textId="77777777" w:rsidR="00587C7F" w:rsidRDefault="00615B75">
      <w:pPr>
        <w:pStyle w:val="ListParagraph"/>
        <w:numPr>
          <w:ilvl w:val="0"/>
          <w:numId w:val="2"/>
        </w:numPr>
        <w:spacing w:before="40" w:after="40"/>
      </w:pPr>
      <w:r>
        <w:rPr>
          <w:b/>
          <w:bCs/>
        </w:rPr>
        <w:t xml:space="preserve">Gap vs default — </w:t>
      </w:r>
      <w:r>
        <w:t>negative means model is below the EU assumption: submitting actual MRV data reduces the importer’s cost</w:t>
      </w:r>
    </w:p>
    <w:p w14:paraId="53633FE7" w14:textId="77777777" w:rsidR="00587C7F" w:rsidRDefault="00587C7F">
      <w:pPr>
        <w:spacing w:before="40" w:after="40"/>
      </w:pPr>
    </w:p>
    <w:p w14:paraId="21976B3E" w14:textId="77777777" w:rsidR="00587C7F" w:rsidRDefault="00615B75">
      <w:pPr>
        <w:pBdr>
          <w:left w:val="single" w:sz="14" w:space="4" w:color="2E75B6"/>
        </w:pBdr>
        <w:shd w:val="clear" w:color="auto" w:fill="E2EFDA"/>
        <w:spacing w:before="100" w:after="100"/>
        <w:ind w:left="360" w:right="360"/>
      </w:pPr>
      <w:r>
        <w:rPr>
          <w:b/>
          <w:bCs/>
          <w:color w:val="1F4E79"/>
        </w:rPr>
        <w:t xml:space="preserve">Reading the gap column  </w:t>
      </w:r>
      <w:r>
        <w:t>Negative gap (green): actual emissions are lower than the EU's conservative assumption — submitting real data helps. Positive gap (amber/red): the product is more intensive than the EU assumes — CBAM costs will be material and data accuracy is critical.</w:t>
      </w:r>
    </w:p>
    <w:p w14:paraId="48F9F9B2" w14:textId="77777777" w:rsidR="00587C7F" w:rsidRDefault="00587C7F">
      <w:pPr>
        <w:spacing w:before="40" w:after="40"/>
      </w:pPr>
    </w:p>
    <w:p w14:paraId="38ED0924" w14:textId="77777777" w:rsidR="00587C7F" w:rsidRDefault="00615B75">
      <w:pPr>
        <w:pStyle w:val="Heading2"/>
        <w:pBdr>
          <w:bottom w:val="single" w:sz="4" w:space="2" w:color="2E75B6"/>
        </w:pBdr>
      </w:pPr>
      <w:r>
        <w:t>What else is on the sheet</w:t>
      </w:r>
    </w:p>
    <w:p w14:paraId="78847DFF" w14:textId="77777777" w:rsidR="00587C7F" w:rsidRDefault="00615B75">
      <w:pPr>
        <w:pStyle w:val="ListParagraph"/>
        <w:numPr>
          <w:ilvl w:val="0"/>
          <w:numId w:val="2"/>
        </w:numPr>
        <w:spacing w:before="40" w:after="40"/>
      </w:pPr>
      <w:r>
        <w:t>How the +10% mark-up on default values works in 2026 (rising to +30% from 2028)</w:t>
      </w:r>
    </w:p>
    <w:p w14:paraId="0DE28A43" w14:textId="77777777" w:rsidR="00587C7F" w:rsidRDefault="00615B75">
      <w:pPr>
        <w:pStyle w:val="ListParagraph"/>
        <w:numPr>
          <w:ilvl w:val="0"/>
          <w:numId w:val="2"/>
        </w:numPr>
        <w:spacing w:before="40" w:after="40"/>
      </w:pPr>
      <w:r>
        <w:t>Column A vs Column B benchmarks: Column A applies with actual data; Column B with defaults. The difference is largest for urea (Column A = 0.053, Column B = 0.902 tCO₂/t)</w:t>
      </w:r>
    </w:p>
    <w:p w14:paraId="46DEF219" w14:textId="77777777" w:rsidR="00587C7F" w:rsidRDefault="00615B75">
      <w:pPr>
        <w:pStyle w:val="ListParagraph"/>
        <w:numPr>
          <w:ilvl w:val="0"/>
          <w:numId w:val="2"/>
        </w:numPr>
        <w:spacing w:before="40" w:after="40"/>
      </w:pPr>
      <w:r>
        <w:t>Full benchmark table by CN code and production route from IR 2025/2620</w:t>
      </w:r>
    </w:p>
    <w:p w14:paraId="71FA870A" w14:textId="77777777" w:rsidR="00587C7F" w:rsidRDefault="00615B75">
      <w:pPr>
        <w:pStyle w:val="ListParagraph"/>
        <w:numPr>
          <w:ilvl w:val="0"/>
          <w:numId w:val="2"/>
        </w:numPr>
        <w:spacing w:before="40" w:after="40"/>
      </w:pPr>
      <w:r>
        <w:t>CBAM factor schedule 2026–2034</w:t>
      </w:r>
    </w:p>
    <w:p w14:paraId="331B824B" w14:textId="77777777" w:rsidR="00587C7F" w:rsidRDefault="00615B75">
      <w:pPr>
        <w:pStyle w:val="ListParagraph"/>
        <w:numPr>
          <w:ilvl w:val="0"/>
          <w:numId w:val="2"/>
        </w:numPr>
        <w:spacing w:before="40" w:after="40"/>
      </w:pPr>
      <w:r>
        <w:t>The CBAM formula and how Article 9 crediting works</w:t>
      </w:r>
    </w:p>
    <w:p w14:paraId="4162543B" w14:textId="77777777" w:rsidR="00587C7F" w:rsidRDefault="00587C7F">
      <w:pPr>
        <w:spacing w:before="40" w:after="40"/>
      </w:pPr>
    </w:p>
    <w:p w14:paraId="7446453B" w14:textId="77777777" w:rsidR="00587C7F" w:rsidRDefault="00615B75">
      <w:r>
        <w:br w:type="page"/>
      </w:r>
    </w:p>
    <w:p w14:paraId="46DAD48E" w14:textId="77777777" w:rsidR="00587C7F" w:rsidRDefault="00615B75">
      <w:pPr>
        <w:pStyle w:val="Heading1"/>
        <w:shd w:val="clear" w:color="auto" w:fill="1F4E79"/>
        <w:ind w:left="120" w:right="120"/>
      </w:pPr>
      <w:r>
        <w:lastRenderedPageBreak/>
        <w:t>5.  How CBAM works — the formula</w:t>
      </w:r>
    </w:p>
    <w:p w14:paraId="5419299F" w14:textId="77777777" w:rsidR="00587C7F" w:rsidRDefault="00587C7F">
      <w:pPr>
        <w:spacing w:before="40" w:after="40"/>
      </w:pPr>
    </w:p>
    <w:p w14:paraId="645E9106" w14:textId="77777777" w:rsidR="00587C7F" w:rsidRDefault="00615B75">
      <w:pPr>
        <w:spacing w:before="60" w:after="60"/>
      </w:pPr>
      <w:r>
        <w:t>CBAM requires importers to purchase certificates equal to the net carbon embedded in their goods.</w:t>
      </w:r>
    </w:p>
    <w:p w14:paraId="1AEE9256" w14:textId="77777777" w:rsidR="00587C7F" w:rsidRDefault="00587C7F">
      <w:pPr>
        <w:spacing w:before="40" w:after="40"/>
      </w:pPr>
    </w:p>
    <w:p w14:paraId="4D70AA15" w14:textId="77777777" w:rsidR="00587C7F" w:rsidRDefault="00615B75">
      <w:pPr>
        <w:pBdr>
          <w:left w:val="single" w:sz="16" w:space="6" w:color="2E75B6"/>
        </w:pBdr>
        <w:shd w:val="clear" w:color="auto" w:fill="F2F2F2"/>
        <w:spacing w:before="120" w:after="120"/>
        <w:ind w:left="720" w:right="720"/>
      </w:pPr>
      <w:r>
        <w:t>Certificates to surrender  =  max( SEE  −  SEFA,  0 )  ×  CBAM factor</w:t>
      </w:r>
    </w:p>
    <w:p w14:paraId="7639D459" w14:textId="77777777" w:rsidR="00587C7F" w:rsidRDefault="00587C7F">
      <w:pPr>
        <w:spacing w:before="40" w:after="4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6840"/>
      </w:tblGrid>
      <w:tr w:rsidR="00587C7F" w14:paraId="198075C9" w14:textId="77777777">
        <w:tc>
          <w:tcPr>
            <w:tcW w:w="252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239449AD" w14:textId="77777777" w:rsidR="00587C7F" w:rsidRDefault="00615B75">
            <w:pPr>
              <w:spacing w:before="60" w:after="60"/>
            </w:pPr>
            <w:r>
              <w:rPr>
                <w:b/>
                <w:bCs/>
                <w:color w:val="1F4E79"/>
                <w:sz w:val="18"/>
                <w:szCs w:val="18"/>
              </w:rPr>
              <w:t>SEE</w:t>
            </w:r>
          </w:p>
        </w:tc>
        <w:tc>
          <w:tcPr>
            <w:tcW w:w="684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0ADB48B1" w14:textId="77777777" w:rsidR="00587C7F" w:rsidRDefault="00615B75">
            <w:pPr>
              <w:spacing w:before="60" w:after="60"/>
            </w:pPr>
            <w:r>
              <w:rPr>
                <w:sz w:val="18"/>
                <w:szCs w:val="18"/>
              </w:rPr>
              <w:t>Specific Embedded Emissions (tCO₂e/t): either verified actual data (Pathway A) or EU country-specific default (Pathway B).</w:t>
            </w:r>
          </w:p>
        </w:tc>
      </w:tr>
      <w:tr w:rsidR="00587C7F" w14:paraId="7DAF429F" w14:textId="77777777">
        <w:tc>
          <w:tcPr>
            <w:tcW w:w="252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70335E6F" w14:textId="77777777" w:rsidR="00587C7F" w:rsidRDefault="00615B75">
            <w:pPr>
              <w:spacing w:before="60" w:after="60"/>
            </w:pPr>
            <w:r>
              <w:rPr>
                <w:b/>
                <w:bCs/>
                <w:color w:val="1F4E79"/>
                <w:sz w:val="18"/>
                <w:szCs w:val="18"/>
              </w:rPr>
              <w:t>SEFA</w:t>
            </w:r>
          </w:p>
        </w:tc>
        <w:tc>
          <w:tcPr>
            <w:tcW w:w="684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7DBAADEC" w14:textId="77777777" w:rsidR="00587C7F" w:rsidRDefault="00615B75">
            <w:pPr>
              <w:spacing w:before="60" w:after="60"/>
            </w:pPr>
            <w:r>
              <w:rPr>
                <w:sz w:val="18"/>
                <w:szCs w:val="18"/>
              </w:rPr>
              <w:t>Specific Embedded Free Allocation: CBAM factor × benchmark × CSCF. Mirrors the free allocation an equivalent EU producer receives.</w:t>
            </w:r>
          </w:p>
        </w:tc>
      </w:tr>
      <w:tr w:rsidR="00587C7F" w14:paraId="261EF7AF" w14:textId="77777777">
        <w:tc>
          <w:tcPr>
            <w:tcW w:w="252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479BD2C2" w14:textId="77777777" w:rsidR="00587C7F" w:rsidRDefault="00615B75">
            <w:pPr>
              <w:spacing w:before="60" w:after="60"/>
            </w:pPr>
            <w:r>
              <w:rPr>
                <w:b/>
                <w:bCs/>
                <w:color w:val="1F4E79"/>
                <w:sz w:val="18"/>
                <w:szCs w:val="18"/>
              </w:rPr>
              <w:t>CBAM factor</w:t>
            </w:r>
          </w:p>
        </w:tc>
        <w:tc>
          <w:tcPr>
            <w:tcW w:w="684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3FF14633" w14:textId="77777777" w:rsidR="00587C7F" w:rsidRDefault="00615B75">
            <w:pPr>
              <w:spacing w:before="60" w:after="60"/>
            </w:pPr>
            <w:r>
              <w:rPr>
                <w:sz w:val="18"/>
                <w:szCs w:val="18"/>
              </w:rPr>
              <w:t>Phase-in fraction: 2.5% in 2026, rising to 100% from 2034.</w:t>
            </w:r>
          </w:p>
        </w:tc>
      </w:tr>
      <w:tr w:rsidR="00587C7F" w14:paraId="68EE980D" w14:textId="77777777">
        <w:tc>
          <w:tcPr>
            <w:tcW w:w="252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0D10B04C" w14:textId="77777777" w:rsidR="00587C7F" w:rsidRDefault="00615B75">
            <w:pPr>
              <w:spacing w:before="60" w:after="60"/>
            </w:pPr>
            <w:r>
              <w:rPr>
                <w:b/>
                <w:bCs/>
                <w:color w:val="1F4E79"/>
                <w:sz w:val="18"/>
                <w:szCs w:val="18"/>
              </w:rPr>
              <w:t>CSCF</w:t>
            </w:r>
          </w:p>
        </w:tc>
        <w:tc>
          <w:tcPr>
            <w:tcW w:w="684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5447FE2B" w14:textId="77777777" w:rsidR="00587C7F" w:rsidRDefault="00615B75">
            <w:pPr>
              <w:spacing w:before="60" w:after="60"/>
            </w:pPr>
            <w:r>
              <w:rPr>
                <w:sz w:val="18"/>
                <w:szCs w:val="18"/>
              </w:rPr>
              <w:t>Cross-Sectoral Correction Factor: 1.0 for all CBAM sectors in 2026–2030.</w:t>
            </w:r>
          </w:p>
        </w:tc>
      </w:tr>
      <w:tr w:rsidR="00587C7F" w14:paraId="52F7D4BF" w14:textId="77777777">
        <w:tc>
          <w:tcPr>
            <w:tcW w:w="252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244C2229" w14:textId="77777777" w:rsidR="00587C7F" w:rsidRDefault="00615B75">
            <w:pPr>
              <w:spacing w:before="60" w:after="60"/>
            </w:pPr>
            <w:r>
              <w:rPr>
                <w:b/>
                <w:bCs/>
                <w:color w:val="1F4E79"/>
                <w:sz w:val="18"/>
                <w:szCs w:val="18"/>
              </w:rPr>
              <w:t>Crediting</w:t>
            </w:r>
          </w:p>
        </w:tc>
        <w:tc>
          <w:tcPr>
            <w:tcW w:w="684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17C746E7" w14:textId="77777777" w:rsidR="00587C7F" w:rsidRDefault="00615B75">
            <w:pPr>
              <w:spacing w:before="60" w:after="60"/>
            </w:pPr>
            <w:r>
              <w:rPr>
                <w:sz w:val="18"/>
                <w:szCs w:val="18"/>
              </w:rPr>
              <w:t>Under Article 9, certificates are reduced by any carbon price effectively paid in the country of origin.</w:t>
            </w:r>
          </w:p>
        </w:tc>
      </w:tr>
    </w:tbl>
    <w:p w14:paraId="08A99282" w14:textId="77777777" w:rsidR="00587C7F" w:rsidRDefault="00587C7F">
      <w:pPr>
        <w:spacing w:before="40" w:after="40"/>
      </w:pPr>
    </w:p>
    <w:p w14:paraId="6C664703" w14:textId="77777777" w:rsidR="00587C7F" w:rsidRDefault="00615B75">
      <w:pPr>
        <w:pStyle w:val="Heading2"/>
        <w:pBdr>
          <w:bottom w:val="single" w:sz="4" w:space="2" w:color="2E75B6"/>
        </w:pBdr>
      </w:pPr>
      <w:r>
        <w:t>Why the optimal carbon price matters</w:t>
      </w:r>
    </w:p>
    <w:p w14:paraId="2ABF2A5D" w14:textId="77777777" w:rsidR="00587C7F" w:rsidRDefault="00615B75">
      <w:pPr>
        <w:spacing w:before="60" w:after="60"/>
      </w:pPr>
      <w:r>
        <w:t>When the domestic carbon price equals the optimal level, the country collects the full CBAM revenue domestically and the EU keeps zero. For Egypt in 2030, the optimal price is $94/tCO₂ and total revenue is around $8.1 billion. At a lower domestic price, that revenue flows to Brussels instead.</w:t>
      </w:r>
    </w:p>
    <w:p w14:paraId="02C8F766" w14:textId="77777777" w:rsidR="00587C7F" w:rsidRDefault="00587C7F">
      <w:pPr>
        <w:spacing w:before="40" w:after="40"/>
      </w:pPr>
    </w:p>
    <w:p w14:paraId="72C7ADB6" w14:textId="77777777" w:rsidR="00587C7F" w:rsidRDefault="00615B75">
      <w:r>
        <w:br w:type="page"/>
      </w:r>
    </w:p>
    <w:p w14:paraId="71601F05" w14:textId="77777777" w:rsidR="00587C7F" w:rsidRDefault="00615B75">
      <w:pPr>
        <w:pStyle w:val="Heading1"/>
        <w:shd w:val="clear" w:color="auto" w:fill="1F4E79"/>
        <w:ind w:left="120" w:right="120"/>
      </w:pPr>
      <w:r>
        <w:lastRenderedPageBreak/>
        <w:t>6.  Inputs and how to update them</w:t>
      </w:r>
    </w:p>
    <w:p w14:paraId="0F92F5FC" w14:textId="77777777" w:rsidR="00587C7F" w:rsidRDefault="00587C7F">
      <w:pPr>
        <w:spacing w:before="40" w:after="40"/>
      </w:pPr>
    </w:p>
    <w:p w14:paraId="13F37F12" w14:textId="77777777" w:rsidR="00587C7F" w:rsidRDefault="00615B75">
      <w:pPr>
        <w:spacing w:before="60" w:after="60"/>
      </w:pPr>
      <w:r>
        <w:t xml:space="preserve">All raw data lives in the </w:t>
      </w:r>
      <w:r>
        <w:rPr>
          <w:rFonts w:ascii="Courier New" w:eastAsia="Courier New" w:hAnsi="Courier New" w:cs="Courier New"/>
          <w:color w:val="1F3864"/>
          <w:sz w:val="18"/>
          <w:szCs w:val="18"/>
        </w:rPr>
        <w:t>input_data</w:t>
      </w:r>
      <w:r>
        <w:t xml:space="preserve"> sheet. Each entry has a structured code in column A (e.g. </w:t>
      </w:r>
      <w:r>
        <w:rPr>
          <w:rFonts w:ascii="Courier New" w:eastAsia="Courier New" w:hAnsi="Courier New" w:cs="Courier New"/>
          <w:color w:val="1F3864"/>
          <w:sz w:val="18"/>
          <w:szCs w:val="18"/>
        </w:rPr>
        <w:t>egy.in.enc.stl.drg.nga</w:t>
      </w:r>
      <w:r>
        <w:t xml:space="preserve"> = Egypt, energy intensity, combustion, DRI-EAF steel, natural gas). Changing a value in input_data flows immediately through to all results.</w:t>
      </w:r>
    </w:p>
    <w:p w14:paraId="7F5E83B1" w14:textId="77777777" w:rsidR="00587C7F" w:rsidRDefault="00587C7F">
      <w:pPr>
        <w:spacing w:before="40" w:after="40"/>
      </w:pPr>
    </w:p>
    <w:p w14:paraId="67EF194E" w14:textId="77777777" w:rsidR="00587C7F" w:rsidRDefault="00615B75">
      <w:pPr>
        <w:pStyle w:val="Heading2"/>
        <w:pBdr>
          <w:bottom w:val="single" w:sz="4" w:space="2" w:color="2E75B6"/>
        </w:pBdr>
      </w:pPr>
      <w:r>
        <w:t>Key inputs</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2880"/>
        <w:gridCol w:w="3960"/>
      </w:tblGrid>
      <w:tr w:rsidR="00587C7F" w14:paraId="48277F8E" w14:textId="77777777">
        <w:trPr>
          <w:tblHeader/>
        </w:trPr>
        <w:tc>
          <w:tcPr>
            <w:tcW w:w="2520" w:type="dxa"/>
            <w:tcBorders>
              <w:top w:val="single" w:sz="1" w:space="0" w:color="C0C0C0"/>
              <w:left w:val="single" w:sz="1" w:space="0" w:color="C0C0C0"/>
              <w:bottom w:val="single" w:sz="1" w:space="0" w:color="C0C0C0"/>
              <w:right w:val="single" w:sz="1" w:space="0" w:color="C0C0C0"/>
            </w:tcBorders>
            <w:shd w:val="clear" w:color="auto" w:fill="2E75B6"/>
            <w:tcMar>
              <w:top w:w="80" w:type="dxa"/>
              <w:left w:w="120" w:type="dxa"/>
              <w:bottom w:w="80" w:type="dxa"/>
              <w:right w:w="120" w:type="dxa"/>
            </w:tcMar>
            <w:vAlign w:val="center"/>
          </w:tcPr>
          <w:p w14:paraId="5AAAB6DA" w14:textId="77777777" w:rsidR="00587C7F" w:rsidRDefault="00615B75">
            <w:pPr>
              <w:jc w:val="center"/>
            </w:pPr>
            <w:r>
              <w:rPr>
                <w:b/>
                <w:bCs/>
                <w:color w:val="FFFFFF"/>
                <w:sz w:val="16"/>
                <w:szCs w:val="16"/>
              </w:rPr>
              <w:t>Input type</w:t>
            </w:r>
          </w:p>
        </w:tc>
        <w:tc>
          <w:tcPr>
            <w:tcW w:w="2880" w:type="dxa"/>
            <w:tcBorders>
              <w:top w:val="single" w:sz="1" w:space="0" w:color="C0C0C0"/>
              <w:left w:val="single" w:sz="1" w:space="0" w:color="C0C0C0"/>
              <w:bottom w:val="single" w:sz="1" w:space="0" w:color="C0C0C0"/>
              <w:right w:val="single" w:sz="1" w:space="0" w:color="C0C0C0"/>
            </w:tcBorders>
            <w:shd w:val="clear" w:color="auto" w:fill="2E75B6"/>
            <w:tcMar>
              <w:top w:w="80" w:type="dxa"/>
              <w:left w:w="120" w:type="dxa"/>
              <w:bottom w:w="80" w:type="dxa"/>
              <w:right w:w="120" w:type="dxa"/>
            </w:tcMar>
            <w:vAlign w:val="center"/>
          </w:tcPr>
          <w:p w14:paraId="6235AA27" w14:textId="77777777" w:rsidR="00587C7F" w:rsidRDefault="00615B75">
            <w:pPr>
              <w:jc w:val="center"/>
            </w:pPr>
            <w:r>
              <w:rPr>
                <w:b/>
                <w:bCs/>
                <w:color w:val="FFFFFF"/>
                <w:sz w:val="16"/>
                <w:szCs w:val="16"/>
              </w:rPr>
              <w:t>Code pattern</w:t>
            </w:r>
          </w:p>
        </w:tc>
        <w:tc>
          <w:tcPr>
            <w:tcW w:w="3960" w:type="dxa"/>
            <w:tcBorders>
              <w:top w:val="single" w:sz="1" w:space="0" w:color="C0C0C0"/>
              <w:left w:val="single" w:sz="1" w:space="0" w:color="C0C0C0"/>
              <w:bottom w:val="single" w:sz="1" w:space="0" w:color="C0C0C0"/>
              <w:right w:val="single" w:sz="1" w:space="0" w:color="C0C0C0"/>
            </w:tcBorders>
            <w:shd w:val="clear" w:color="auto" w:fill="2E75B6"/>
            <w:tcMar>
              <w:top w:w="80" w:type="dxa"/>
              <w:left w:w="120" w:type="dxa"/>
              <w:bottom w:w="80" w:type="dxa"/>
              <w:right w:w="120" w:type="dxa"/>
            </w:tcMar>
            <w:vAlign w:val="center"/>
          </w:tcPr>
          <w:p w14:paraId="3FCD75A8" w14:textId="77777777" w:rsidR="00587C7F" w:rsidRDefault="00615B75">
            <w:pPr>
              <w:jc w:val="center"/>
            </w:pPr>
            <w:r>
              <w:rPr>
                <w:b/>
                <w:bCs/>
                <w:color w:val="FFFFFF"/>
                <w:sz w:val="16"/>
                <w:szCs w:val="16"/>
              </w:rPr>
              <w:t>Example</w:t>
            </w:r>
          </w:p>
        </w:tc>
      </w:tr>
      <w:tr w:rsidR="00587C7F" w14:paraId="63E792CC" w14:textId="77777777">
        <w:tc>
          <w:tcPr>
            <w:tcW w:w="252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2E55360A" w14:textId="77777777" w:rsidR="00587C7F" w:rsidRDefault="00615B75">
            <w:r>
              <w:rPr>
                <w:sz w:val="18"/>
                <w:szCs w:val="18"/>
              </w:rPr>
              <w:t>Production base (Mt)</w:t>
            </w:r>
          </w:p>
        </w:tc>
        <w:tc>
          <w:tcPr>
            <w:tcW w:w="28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1606F41A" w14:textId="77777777" w:rsidR="00587C7F" w:rsidRDefault="00615B75">
            <w:pPr>
              <w:jc w:val="center"/>
            </w:pPr>
            <w:r>
              <w:rPr>
                <w:sz w:val="18"/>
                <w:szCs w:val="18"/>
              </w:rPr>
              <w:t>cty.in.prb.sec.prc.---</w:t>
            </w:r>
          </w:p>
        </w:tc>
        <w:tc>
          <w:tcPr>
            <w:tcW w:w="39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23CF5473" w14:textId="77777777" w:rsidR="00587C7F" w:rsidRDefault="00615B75">
            <w:pPr>
              <w:jc w:val="center"/>
            </w:pPr>
            <w:r>
              <w:rPr>
                <w:sz w:val="18"/>
                <w:szCs w:val="18"/>
              </w:rPr>
              <w:t>egy.in.prb.stl.drg.--- = 5.1 Mt</w:t>
            </w:r>
          </w:p>
        </w:tc>
      </w:tr>
      <w:tr w:rsidR="00587C7F" w14:paraId="56CABC1C" w14:textId="77777777">
        <w:tc>
          <w:tcPr>
            <w:tcW w:w="252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45F77FD7" w14:textId="77777777" w:rsidR="00587C7F" w:rsidRDefault="00615B75">
            <w:r>
              <w:rPr>
                <w:sz w:val="18"/>
                <w:szCs w:val="18"/>
              </w:rPr>
              <w:t>EU export share</w:t>
            </w:r>
          </w:p>
        </w:tc>
        <w:tc>
          <w:tcPr>
            <w:tcW w:w="28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42F02BE1" w14:textId="77777777" w:rsidR="00587C7F" w:rsidRDefault="00615B75">
            <w:pPr>
              <w:jc w:val="center"/>
            </w:pPr>
            <w:r>
              <w:rPr>
                <w:sz w:val="18"/>
                <w:szCs w:val="18"/>
              </w:rPr>
              <w:t>cty.in.exe.sec.prc.---</w:t>
            </w:r>
          </w:p>
        </w:tc>
        <w:tc>
          <w:tcPr>
            <w:tcW w:w="39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12D0293D" w14:textId="77777777" w:rsidR="00587C7F" w:rsidRDefault="00615B75">
            <w:pPr>
              <w:jc w:val="center"/>
            </w:pPr>
            <w:r>
              <w:rPr>
                <w:sz w:val="18"/>
                <w:szCs w:val="18"/>
              </w:rPr>
              <w:t>egy.in.exe.stl.drg.--- = 0.18</w:t>
            </w:r>
          </w:p>
        </w:tc>
      </w:tr>
      <w:tr w:rsidR="00587C7F" w14:paraId="0D380131" w14:textId="77777777">
        <w:tc>
          <w:tcPr>
            <w:tcW w:w="252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3A9F6BCB" w14:textId="77777777" w:rsidR="00587C7F" w:rsidRDefault="00615B75">
            <w:r>
              <w:rPr>
                <w:sz w:val="18"/>
                <w:szCs w:val="18"/>
              </w:rPr>
              <w:t>Energy intensity — combustion</w:t>
            </w:r>
          </w:p>
        </w:tc>
        <w:tc>
          <w:tcPr>
            <w:tcW w:w="28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10F71A9F" w14:textId="77777777" w:rsidR="00587C7F" w:rsidRDefault="00615B75">
            <w:pPr>
              <w:jc w:val="center"/>
            </w:pPr>
            <w:r>
              <w:rPr>
                <w:sz w:val="18"/>
                <w:szCs w:val="18"/>
              </w:rPr>
              <w:t>cty.in.enc.sec.prc.fuel</w:t>
            </w:r>
          </w:p>
        </w:tc>
        <w:tc>
          <w:tcPr>
            <w:tcW w:w="39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72C5115D" w14:textId="77777777" w:rsidR="00587C7F" w:rsidRDefault="00615B75">
            <w:pPr>
              <w:jc w:val="center"/>
            </w:pPr>
            <w:r>
              <w:rPr>
                <w:sz w:val="18"/>
                <w:szCs w:val="18"/>
              </w:rPr>
              <w:t>egy.in.enc.stl.drg.nga = 5 GJ/t</w:t>
            </w:r>
          </w:p>
        </w:tc>
      </w:tr>
      <w:tr w:rsidR="00587C7F" w14:paraId="39D5A65A" w14:textId="77777777">
        <w:tc>
          <w:tcPr>
            <w:tcW w:w="252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38927790" w14:textId="77777777" w:rsidR="00587C7F" w:rsidRDefault="00615B75">
            <w:r>
              <w:rPr>
                <w:sz w:val="18"/>
                <w:szCs w:val="18"/>
              </w:rPr>
              <w:t>Energy intensity — process</w:t>
            </w:r>
          </w:p>
        </w:tc>
        <w:tc>
          <w:tcPr>
            <w:tcW w:w="28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6601A315" w14:textId="77777777" w:rsidR="00587C7F" w:rsidRDefault="00615B75">
            <w:pPr>
              <w:jc w:val="center"/>
            </w:pPr>
            <w:r>
              <w:rPr>
                <w:sz w:val="18"/>
                <w:szCs w:val="18"/>
              </w:rPr>
              <w:t>cty.in.enp.sec.prc.fuel</w:t>
            </w:r>
          </w:p>
        </w:tc>
        <w:tc>
          <w:tcPr>
            <w:tcW w:w="39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67DA3950" w14:textId="77777777" w:rsidR="00587C7F" w:rsidRDefault="00615B75">
            <w:pPr>
              <w:jc w:val="center"/>
            </w:pPr>
            <w:r>
              <w:rPr>
                <w:sz w:val="18"/>
                <w:szCs w:val="18"/>
              </w:rPr>
              <w:t>egy.in.enp.stl.drg.nga = 24 GJ/t</w:t>
            </w:r>
          </w:p>
        </w:tc>
      </w:tr>
      <w:tr w:rsidR="00587C7F" w14:paraId="7F1E708A" w14:textId="77777777">
        <w:tc>
          <w:tcPr>
            <w:tcW w:w="252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545BA0F0" w14:textId="77777777" w:rsidR="00587C7F" w:rsidRDefault="00615B75">
            <w:r>
              <w:rPr>
                <w:sz w:val="18"/>
                <w:szCs w:val="18"/>
              </w:rPr>
              <w:t>Electricity intensity</w:t>
            </w:r>
          </w:p>
        </w:tc>
        <w:tc>
          <w:tcPr>
            <w:tcW w:w="28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5A39F3A6" w14:textId="77777777" w:rsidR="00587C7F" w:rsidRDefault="00615B75">
            <w:pPr>
              <w:jc w:val="center"/>
            </w:pPr>
            <w:r>
              <w:rPr>
                <w:sz w:val="18"/>
                <w:szCs w:val="18"/>
              </w:rPr>
              <w:t>cty.in.ele.sec.prc.elc</w:t>
            </w:r>
          </w:p>
        </w:tc>
        <w:tc>
          <w:tcPr>
            <w:tcW w:w="39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7C4506AF" w14:textId="77777777" w:rsidR="00587C7F" w:rsidRDefault="00615B75">
            <w:pPr>
              <w:jc w:val="center"/>
            </w:pPr>
            <w:r>
              <w:rPr>
                <w:sz w:val="18"/>
                <w:szCs w:val="18"/>
              </w:rPr>
              <w:t>egy.in.ele.stl.drg.elc = 2.5 GJ/t</w:t>
            </w:r>
          </w:p>
        </w:tc>
      </w:tr>
      <w:tr w:rsidR="00587C7F" w14:paraId="1E10F13A" w14:textId="77777777">
        <w:tc>
          <w:tcPr>
            <w:tcW w:w="252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4DD05FD5" w14:textId="77777777" w:rsidR="00587C7F" w:rsidRDefault="00615B75">
            <w:r>
              <w:rPr>
                <w:sz w:val="18"/>
                <w:szCs w:val="18"/>
              </w:rPr>
              <w:t>Non-fuel process CO₂</w:t>
            </w:r>
          </w:p>
        </w:tc>
        <w:tc>
          <w:tcPr>
            <w:tcW w:w="28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4DF95867" w14:textId="77777777" w:rsidR="00587C7F" w:rsidRDefault="00615B75">
            <w:pPr>
              <w:jc w:val="center"/>
            </w:pPr>
            <w:r>
              <w:rPr>
                <w:sz w:val="18"/>
                <w:szCs w:val="18"/>
              </w:rPr>
              <w:t>cty.in.efn.sec.prc.---</w:t>
            </w:r>
          </w:p>
        </w:tc>
        <w:tc>
          <w:tcPr>
            <w:tcW w:w="39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71C14214" w14:textId="77777777" w:rsidR="00587C7F" w:rsidRDefault="00615B75">
            <w:pPr>
              <w:jc w:val="center"/>
            </w:pPr>
            <w:r>
              <w:rPr>
                <w:sz w:val="18"/>
                <w:szCs w:val="18"/>
              </w:rPr>
              <w:t>egy.in.efn.cmt.dry.--- = 0.526 tCO₂/t</w:t>
            </w:r>
          </w:p>
        </w:tc>
      </w:tr>
      <w:tr w:rsidR="00587C7F" w14:paraId="55BF0747" w14:textId="77777777">
        <w:tc>
          <w:tcPr>
            <w:tcW w:w="252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0B031092" w14:textId="77777777" w:rsidR="00587C7F" w:rsidRDefault="00615B75">
            <w:r>
              <w:rPr>
                <w:sz w:val="18"/>
                <w:szCs w:val="18"/>
              </w:rPr>
              <w:t>Non-CO₂ GHGs</w:t>
            </w:r>
          </w:p>
        </w:tc>
        <w:tc>
          <w:tcPr>
            <w:tcW w:w="28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0F9F63FE" w14:textId="77777777" w:rsidR="00587C7F" w:rsidRDefault="00615B75">
            <w:pPr>
              <w:jc w:val="center"/>
            </w:pPr>
            <w:r>
              <w:rPr>
                <w:sz w:val="18"/>
                <w:szCs w:val="18"/>
              </w:rPr>
              <w:t>cty.in.efo.sec.prc.---</w:t>
            </w:r>
          </w:p>
        </w:tc>
        <w:tc>
          <w:tcPr>
            <w:tcW w:w="39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70CBCE87" w14:textId="77777777" w:rsidR="00587C7F" w:rsidRDefault="00615B75">
            <w:pPr>
              <w:jc w:val="center"/>
            </w:pPr>
            <w:r>
              <w:rPr>
                <w:sz w:val="18"/>
                <w:szCs w:val="18"/>
              </w:rPr>
              <w:t>egy.in.efo.frt.nit.--- = 2.5 tCO₂e/t</w:t>
            </w:r>
          </w:p>
        </w:tc>
      </w:tr>
      <w:tr w:rsidR="00587C7F" w14:paraId="45AA7876" w14:textId="77777777">
        <w:tc>
          <w:tcPr>
            <w:tcW w:w="252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1C8720E9" w14:textId="77777777" w:rsidR="00587C7F" w:rsidRDefault="00615B75">
            <w:r>
              <w:rPr>
                <w:sz w:val="18"/>
                <w:szCs w:val="18"/>
              </w:rPr>
              <w:t>Grid emission factor</w:t>
            </w:r>
          </w:p>
        </w:tc>
        <w:tc>
          <w:tcPr>
            <w:tcW w:w="28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070656A0" w14:textId="77777777" w:rsidR="00587C7F" w:rsidRDefault="00615B75">
            <w:pPr>
              <w:jc w:val="center"/>
            </w:pPr>
            <w:r>
              <w:rPr>
                <w:sz w:val="18"/>
                <w:szCs w:val="18"/>
              </w:rPr>
              <w:t>cty.in.gef.---.---.---</w:t>
            </w:r>
          </w:p>
        </w:tc>
        <w:tc>
          <w:tcPr>
            <w:tcW w:w="39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1935F2A6" w14:textId="77777777" w:rsidR="00587C7F" w:rsidRDefault="00615B75">
            <w:pPr>
              <w:jc w:val="center"/>
            </w:pPr>
            <w:r>
              <w:rPr>
                <w:sz w:val="18"/>
                <w:szCs w:val="18"/>
              </w:rPr>
              <w:t>egy.in.gef.---.---.--- (time series)</w:t>
            </w:r>
          </w:p>
        </w:tc>
      </w:tr>
      <w:tr w:rsidR="00587C7F" w14:paraId="1F84BBC8" w14:textId="77777777">
        <w:tc>
          <w:tcPr>
            <w:tcW w:w="252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37DC1C83" w14:textId="77777777" w:rsidR="00587C7F" w:rsidRDefault="00615B75">
            <w:r>
              <w:rPr>
                <w:sz w:val="18"/>
                <w:szCs w:val="18"/>
              </w:rPr>
              <w:t>GDP growth rate</w:t>
            </w:r>
          </w:p>
        </w:tc>
        <w:tc>
          <w:tcPr>
            <w:tcW w:w="28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123E98AC" w14:textId="77777777" w:rsidR="00587C7F" w:rsidRDefault="00615B75">
            <w:pPr>
              <w:jc w:val="center"/>
            </w:pPr>
            <w:r>
              <w:rPr>
                <w:sz w:val="18"/>
                <w:szCs w:val="18"/>
              </w:rPr>
              <w:t>cty.in.grw.---.---.---</w:t>
            </w:r>
          </w:p>
        </w:tc>
        <w:tc>
          <w:tcPr>
            <w:tcW w:w="39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0673B21D" w14:textId="77777777" w:rsidR="00587C7F" w:rsidRDefault="00615B75">
            <w:pPr>
              <w:jc w:val="center"/>
            </w:pPr>
            <w:r>
              <w:rPr>
                <w:sz w:val="18"/>
                <w:szCs w:val="18"/>
              </w:rPr>
              <w:t>egy.in.grw.---.---.--- = 5.5%</w:t>
            </w:r>
          </w:p>
        </w:tc>
      </w:tr>
    </w:tbl>
    <w:p w14:paraId="4224B8CE" w14:textId="77777777" w:rsidR="00587C7F" w:rsidRDefault="00587C7F">
      <w:pPr>
        <w:spacing w:before="40" w:after="40"/>
      </w:pPr>
    </w:p>
    <w:p w14:paraId="15D285D0" w14:textId="77777777" w:rsidR="00587C7F" w:rsidRDefault="00615B75">
      <w:pPr>
        <w:pStyle w:val="Heading2"/>
        <w:pBdr>
          <w:bottom w:val="single" w:sz="4" w:space="2" w:color="2E75B6"/>
        </w:pBdr>
      </w:pPr>
      <w:r>
        <w:t>Emission factors</w:t>
      </w:r>
    </w:p>
    <w:p w14:paraId="48644146" w14:textId="77777777" w:rsidR="00587C7F" w:rsidRDefault="00615B75">
      <w:pPr>
        <w:spacing w:before="60" w:after="60"/>
      </w:pPr>
      <w:r>
        <w:t xml:space="preserve">Fuel emission factors are global IPCC 2006 constants. They use the prefix </w:t>
      </w:r>
      <w:r>
        <w:rPr>
          <w:rFonts w:ascii="Courier New" w:eastAsia="Courier New" w:hAnsi="Courier New" w:cs="Courier New"/>
          <w:color w:val="1F3864"/>
          <w:sz w:val="18"/>
          <w:szCs w:val="18"/>
        </w:rPr>
        <w:t>all.in.eff.---.---.[fuel]</w:t>
      </w:r>
      <w:r>
        <w:t>.</w:t>
      </w:r>
    </w:p>
    <w:p w14:paraId="4928E38F" w14:textId="77777777" w:rsidR="00587C7F" w:rsidRDefault="00587C7F">
      <w:pPr>
        <w:spacing w:before="40" w:after="4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3960"/>
        <w:gridCol w:w="2880"/>
      </w:tblGrid>
      <w:tr w:rsidR="00587C7F" w14:paraId="320FE2BF" w14:textId="77777777">
        <w:trPr>
          <w:tblHeader/>
        </w:trPr>
        <w:tc>
          <w:tcPr>
            <w:tcW w:w="2520" w:type="dxa"/>
            <w:tcBorders>
              <w:top w:val="single" w:sz="1" w:space="0" w:color="C0C0C0"/>
              <w:left w:val="single" w:sz="1" w:space="0" w:color="C0C0C0"/>
              <w:bottom w:val="single" w:sz="1" w:space="0" w:color="C0C0C0"/>
              <w:right w:val="single" w:sz="1" w:space="0" w:color="C0C0C0"/>
            </w:tcBorders>
            <w:shd w:val="clear" w:color="auto" w:fill="2E75B6"/>
            <w:tcMar>
              <w:top w:w="80" w:type="dxa"/>
              <w:left w:w="120" w:type="dxa"/>
              <w:bottom w:w="80" w:type="dxa"/>
              <w:right w:w="120" w:type="dxa"/>
            </w:tcMar>
            <w:vAlign w:val="center"/>
          </w:tcPr>
          <w:p w14:paraId="40AEC994" w14:textId="77777777" w:rsidR="00587C7F" w:rsidRDefault="00615B75">
            <w:pPr>
              <w:jc w:val="center"/>
            </w:pPr>
            <w:r>
              <w:rPr>
                <w:b/>
                <w:bCs/>
                <w:color w:val="FFFFFF"/>
                <w:sz w:val="16"/>
                <w:szCs w:val="16"/>
              </w:rPr>
              <w:t>Fuel</w:t>
            </w:r>
          </w:p>
        </w:tc>
        <w:tc>
          <w:tcPr>
            <w:tcW w:w="3960" w:type="dxa"/>
            <w:tcBorders>
              <w:top w:val="single" w:sz="1" w:space="0" w:color="C0C0C0"/>
              <w:left w:val="single" w:sz="1" w:space="0" w:color="C0C0C0"/>
              <w:bottom w:val="single" w:sz="1" w:space="0" w:color="C0C0C0"/>
              <w:right w:val="single" w:sz="1" w:space="0" w:color="C0C0C0"/>
            </w:tcBorders>
            <w:shd w:val="clear" w:color="auto" w:fill="2E75B6"/>
            <w:tcMar>
              <w:top w:w="80" w:type="dxa"/>
              <w:left w:w="120" w:type="dxa"/>
              <w:bottom w:w="80" w:type="dxa"/>
              <w:right w:w="120" w:type="dxa"/>
            </w:tcMar>
            <w:vAlign w:val="center"/>
          </w:tcPr>
          <w:p w14:paraId="0C780A6F" w14:textId="77777777" w:rsidR="00587C7F" w:rsidRDefault="00615B75">
            <w:pPr>
              <w:jc w:val="center"/>
            </w:pPr>
            <w:r>
              <w:rPr>
                <w:b/>
                <w:bCs/>
                <w:color w:val="FFFFFF"/>
                <w:sz w:val="16"/>
                <w:szCs w:val="16"/>
              </w:rPr>
              <w:t>Code</w:t>
            </w:r>
          </w:p>
        </w:tc>
        <w:tc>
          <w:tcPr>
            <w:tcW w:w="2880" w:type="dxa"/>
            <w:tcBorders>
              <w:top w:val="single" w:sz="1" w:space="0" w:color="C0C0C0"/>
              <w:left w:val="single" w:sz="1" w:space="0" w:color="C0C0C0"/>
              <w:bottom w:val="single" w:sz="1" w:space="0" w:color="C0C0C0"/>
              <w:right w:val="single" w:sz="1" w:space="0" w:color="C0C0C0"/>
            </w:tcBorders>
            <w:shd w:val="clear" w:color="auto" w:fill="2E75B6"/>
            <w:tcMar>
              <w:top w:w="80" w:type="dxa"/>
              <w:left w:w="120" w:type="dxa"/>
              <w:bottom w:w="80" w:type="dxa"/>
              <w:right w:w="120" w:type="dxa"/>
            </w:tcMar>
            <w:vAlign w:val="center"/>
          </w:tcPr>
          <w:p w14:paraId="74350BBA" w14:textId="77777777" w:rsidR="00587C7F" w:rsidRDefault="00615B75">
            <w:pPr>
              <w:jc w:val="center"/>
            </w:pPr>
            <w:r>
              <w:rPr>
                <w:b/>
                <w:bCs/>
                <w:color w:val="FFFFFF"/>
                <w:sz w:val="16"/>
                <w:szCs w:val="16"/>
              </w:rPr>
              <w:t>kgCO₂/GJ</w:t>
            </w:r>
          </w:p>
        </w:tc>
      </w:tr>
      <w:tr w:rsidR="00587C7F" w14:paraId="0CF76EE8" w14:textId="77777777">
        <w:tc>
          <w:tcPr>
            <w:tcW w:w="252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267A7CC0" w14:textId="77777777" w:rsidR="00587C7F" w:rsidRDefault="00615B75">
            <w:r>
              <w:rPr>
                <w:sz w:val="18"/>
                <w:szCs w:val="18"/>
              </w:rPr>
              <w:t>Coal</w:t>
            </w:r>
          </w:p>
        </w:tc>
        <w:tc>
          <w:tcPr>
            <w:tcW w:w="39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4410908A" w14:textId="77777777" w:rsidR="00587C7F" w:rsidRDefault="00615B75">
            <w:pPr>
              <w:jc w:val="center"/>
            </w:pPr>
            <w:r>
              <w:rPr>
                <w:sz w:val="18"/>
                <w:szCs w:val="18"/>
              </w:rPr>
              <w:t>all.in.eff.---.---.coa</w:t>
            </w:r>
          </w:p>
        </w:tc>
        <w:tc>
          <w:tcPr>
            <w:tcW w:w="28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4A85E037" w14:textId="77777777" w:rsidR="00587C7F" w:rsidRDefault="00615B75">
            <w:pPr>
              <w:jc w:val="center"/>
            </w:pPr>
            <w:r>
              <w:rPr>
                <w:sz w:val="18"/>
                <w:szCs w:val="18"/>
              </w:rPr>
              <w:t>96.1</w:t>
            </w:r>
          </w:p>
        </w:tc>
      </w:tr>
      <w:tr w:rsidR="00587C7F" w14:paraId="460E824F" w14:textId="77777777">
        <w:tc>
          <w:tcPr>
            <w:tcW w:w="252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0B66745B" w14:textId="77777777" w:rsidR="00587C7F" w:rsidRDefault="00615B75">
            <w:r>
              <w:rPr>
                <w:sz w:val="18"/>
                <w:szCs w:val="18"/>
              </w:rPr>
              <w:t>Natural gas</w:t>
            </w:r>
          </w:p>
        </w:tc>
        <w:tc>
          <w:tcPr>
            <w:tcW w:w="39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748A71C4" w14:textId="77777777" w:rsidR="00587C7F" w:rsidRDefault="00615B75">
            <w:pPr>
              <w:jc w:val="center"/>
            </w:pPr>
            <w:r>
              <w:rPr>
                <w:sz w:val="18"/>
                <w:szCs w:val="18"/>
              </w:rPr>
              <w:t>all.in.eff.---.---.nga</w:t>
            </w:r>
          </w:p>
        </w:tc>
        <w:tc>
          <w:tcPr>
            <w:tcW w:w="28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7E3B5A92" w14:textId="77777777" w:rsidR="00587C7F" w:rsidRDefault="00615B75">
            <w:pPr>
              <w:jc w:val="center"/>
            </w:pPr>
            <w:r>
              <w:rPr>
                <w:sz w:val="18"/>
                <w:szCs w:val="18"/>
              </w:rPr>
              <w:t>56.1</w:t>
            </w:r>
          </w:p>
        </w:tc>
      </w:tr>
      <w:tr w:rsidR="00587C7F" w14:paraId="2F86A520" w14:textId="77777777">
        <w:tc>
          <w:tcPr>
            <w:tcW w:w="252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35A9E080" w14:textId="77777777" w:rsidR="00587C7F" w:rsidRDefault="00615B75">
            <w:r>
              <w:rPr>
                <w:sz w:val="18"/>
                <w:szCs w:val="18"/>
              </w:rPr>
              <w:t>Diesel</w:t>
            </w:r>
          </w:p>
        </w:tc>
        <w:tc>
          <w:tcPr>
            <w:tcW w:w="39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51165322" w14:textId="77777777" w:rsidR="00587C7F" w:rsidRDefault="00615B75">
            <w:pPr>
              <w:jc w:val="center"/>
            </w:pPr>
            <w:r>
              <w:rPr>
                <w:sz w:val="18"/>
                <w:szCs w:val="18"/>
              </w:rPr>
              <w:t>all.in.eff.---.---.die</w:t>
            </w:r>
          </w:p>
        </w:tc>
        <w:tc>
          <w:tcPr>
            <w:tcW w:w="28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608027E0" w14:textId="77777777" w:rsidR="00587C7F" w:rsidRDefault="00615B75">
            <w:pPr>
              <w:jc w:val="center"/>
            </w:pPr>
            <w:r>
              <w:rPr>
                <w:sz w:val="18"/>
                <w:szCs w:val="18"/>
              </w:rPr>
              <w:t>74.1</w:t>
            </w:r>
          </w:p>
        </w:tc>
      </w:tr>
      <w:tr w:rsidR="00587C7F" w14:paraId="450C7D08" w14:textId="77777777">
        <w:tc>
          <w:tcPr>
            <w:tcW w:w="252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5B7993EA" w14:textId="77777777" w:rsidR="00587C7F" w:rsidRDefault="00615B75">
            <w:r>
              <w:rPr>
                <w:sz w:val="18"/>
                <w:szCs w:val="18"/>
              </w:rPr>
              <w:t>Gasoline</w:t>
            </w:r>
          </w:p>
        </w:tc>
        <w:tc>
          <w:tcPr>
            <w:tcW w:w="39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622C694C" w14:textId="77777777" w:rsidR="00587C7F" w:rsidRDefault="00615B75">
            <w:pPr>
              <w:jc w:val="center"/>
            </w:pPr>
            <w:r>
              <w:rPr>
                <w:sz w:val="18"/>
                <w:szCs w:val="18"/>
              </w:rPr>
              <w:t>all.in.eff.---.---.gso</w:t>
            </w:r>
          </w:p>
        </w:tc>
        <w:tc>
          <w:tcPr>
            <w:tcW w:w="28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5CD07B06" w14:textId="77777777" w:rsidR="00587C7F" w:rsidRDefault="00615B75">
            <w:pPr>
              <w:jc w:val="center"/>
            </w:pPr>
            <w:r>
              <w:rPr>
                <w:sz w:val="18"/>
                <w:szCs w:val="18"/>
              </w:rPr>
              <w:t>69.3</w:t>
            </w:r>
          </w:p>
        </w:tc>
      </w:tr>
      <w:tr w:rsidR="00587C7F" w14:paraId="32C346C8" w14:textId="77777777">
        <w:tc>
          <w:tcPr>
            <w:tcW w:w="252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0B256C4F" w14:textId="77777777" w:rsidR="00587C7F" w:rsidRDefault="00615B75">
            <w:r>
              <w:rPr>
                <w:sz w:val="18"/>
                <w:szCs w:val="18"/>
              </w:rPr>
              <w:t>Kerosene</w:t>
            </w:r>
          </w:p>
        </w:tc>
        <w:tc>
          <w:tcPr>
            <w:tcW w:w="39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35B8C25B" w14:textId="77777777" w:rsidR="00587C7F" w:rsidRDefault="00615B75">
            <w:pPr>
              <w:jc w:val="center"/>
            </w:pPr>
            <w:r>
              <w:rPr>
                <w:sz w:val="18"/>
                <w:szCs w:val="18"/>
              </w:rPr>
              <w:t>all.in.eff.---.---.ker</w:t>
            </w:r>
          </w:p>
        </w:tc>
        <w:tc>
          <w:tcPr>
            <w:tcW w:w="28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0C04E49E" w14:textId="77777777" w:rsidR="00587C7F" w:rsidRDefault="00615B75">
            <w:pPr>
              <w:jc w:val="center"/>
            </w:pPr>
            <w:r>
              <w:rPr>
                <w:sz w:val="18"/>
                <w:szCs w:val="18"/>
              </w:rPr>
              <w:t>71.9</w:t>
            </w:r>
          </w:p>
        </w:tc>
      </w:tr>
      <w:tr w:rsidR="00587C7F" w14:paraId="5821AAC3" w14:textId="77777777">
        <w:tc>
          <w:tcPr>
            <w:tcW w:w="252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087F4824" w14:textId="77777777" w:rsidR="00587C7F" w:rsidRDefault="00615B75">
            <w:r>
              <w:rPr>
                <w:sz w:val="18"/>
                <w:szCs w:val="18"/>
              </w:rPr>
              <w:t>LPG</w:t>
            </w:r>
          </w:p>
        </w:tc>
        <w:tc>
          <w:tcPr>
            <w:tcW w:w="39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15FF4C9F" w14:textId="77777777" w:rsidR="00587C7F" w:rsidRDefault="00615B75">
            <w:pPr>
              <w:jc w:val="center"/>
            </w:pPr>
            <w:r>
              <w:rPr>
                <w:sz w:val="18"/>
                <w:szCs w:val="18"/>
              </w:rPr>
              <w:t>all.in.eff.---.---.lpg</w:t>
            </w:r>
          </w:p>
        </w:tc>
        <w:tc>
          <w:tcPr>
            <w:tcW w:w="28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7E2B246F" w14:textId="77777777" w:rsidR="00587C7F" w:rsidRDefault="00615B75">
            <w:pPr>
              <w:jc w:val="center"/>
            </w:pPr>
            <w:r>
              <w:rPr>
                <w:sz w:val="18"/>
                <w:szCs w:val="18"/>
              </w:rPr>
              <w:t>63.1</w:t>
            </w:r>
          </w:p>
        </w:tc>
      </w:tr>
      <w:tr w:rsidR="00587C7F" w14:paraId="569F2F63" w14:textId="77777777">
        <w:tc>
          <w:tcPr>
            <w:tcW w:w="252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1EA0DF2C" w14:textId="77777777" w:rsidR="00587C7F" w:rsidRDefault="00615B75">
            <w:r>
              <w:rPr>
                <w:sz w:val="18"/>
                <w:szCs w:val="18"/>
              </w:rPr>
              <w:t>Biomass</w:t>
            </w:r>
          </w:p>
        </w:tc>
        <w:tc>
          <w:tcPr>
            <w:tcW w:w="39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1C9E56C8" w14:textId="77777777" w:rsidR="00587C7F" w:rsidRDefault="00615B75">
            <w:pPr>
              <w:jc w:val="center"/>
            </w:pPr>
            <w:r>
              <w:rPr>
                <w:sz w:val="18"/>
                <w:szCs w:val="18"/>
              </w:rPr>
              <w:t>all.in.eff.---.---.bio</w:t>
            </w:r>
          </w:p>
        </w:tc>
        <w:tc>
          <w:tcPr>
            <w:tcW w:w="28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0173E830" w14:textId="77777777" w:rsidR="00587C7F" w:rsidRDefault="00615B75">
            <w:pPr>
              <w:jc w:val="center"/>
            </w:pPr>
            <w:r>
              <w:rPr>
                <w:sz w:val="18"/>
                <w:szCs w:val="18"/>
              </w:rPr>
              <w:t>0 (biogenic)</w:t>
            </w:r>
          </w:p>
        </w:tc>
      </w:tr>
      <w:tr w:rsidR="00587C7F" w14:paraId="286B2C30" w14:textId="77777777">
        <w:tc>
          <w:tcPr>
            <w:tcW w:w="252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33E9BA6A" w14:textId="77777777" w:rsidR="00587C7F" w:rsidRDefault="00615B75">
            <w:r>
              <w:rPr>
                <w:sz w:val="18"/>
                <w:szCs w:val="18"/>
              </w:rPr>
              <w:t>Self-gen renewable</w:t>
            </w:r>
          </w:p>
        </w:tc>
        <w:tc>
          <w:tcPr>
            <w:tcW w:w="39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28A14475" w14:textId="77777777" w:rsidR="00587C7F" w:rsidRDefault="00615B75">
            <w:pPr>
              <w:jc w:val="center"/>
            </w:pPr>
            <w:r>
              <w:rPr>
                <w:sz w:val="18"/>
                <w:szCs w:val="18"/>
              </w:rPr>
              <w:t>all.in.eff.---.---.ren</w:t>
            </w:r>
          </w:p>
        </w:tc>
        <w:tc>
          <w:tcPr>
            <w:tcW w:w="28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4DCC0F13" w14:textId="77777777" w:rsidR="00587C7F" w:rsidRDefault="00615B75">
            <w:pPr>
              <w:jc w:val="center"/>
            </w:pPr>
            <w:r>
              <w:rPr>
                <w:sz w:val="18"/>
                <w:szCs w:val="18"/>
              </w:rPr>
              <w:t>0</w:t>
            </w:r>
          </w:p>
        </w:tc>
      </w:tr>
    </w:tbl>
    <w:p w14:paraId="328AF093" w14:textId="77777777" w:rsidR="00587C7F" w:rsidRDefault="00587C7F">
      <w:pPr>
        <w:spacing w:before="40" w:after="40"/>
      </w:pPr>
    </w:p>
    <w:p w14:paraId="173C07A7" w14:textId="77777777" w:rsidR="00587C7F" w:rsidRDefault="00615B75">
      <w:pPr>
        <w:pStyle w:val="Heading2"/>
        <w:pBdr>
          <w:bottom w:val="single" w:sz="4" w:space="2" w:color="2E75B6"/>
        </w:pBdr>
      </w:pPr>
      <w:r>
        <w:t>EU regulatory inputs</w:t>
      </w:r>
    </w:p>
    <w:p w14:paraId="74FE59BF" w14:textId="77777777" w:rsidR="00587C7F" w:rsidRDefault="00615B75">
      <w:pPr>
        <w:pStyle w:val="ListParagraph"/>
        <w:numPr>
          <w:ilvl w:val="0"/>
          <w:numId w:val="2"/>
        </w:numPr>
        <w:spacing w:before="40" w:after="40"/>
      </w:pPr>
      <w:r>
        <w:rPr>
          <w:rFonts w:ascii="Courier New" w:eastAsia="Courier New" w:hAnsi="Courier New" w:cs="Courier New"/>
          <w:color w:val="1F3864"/>
          <w:sz w:val="18"/>
          <w:szCs w:val="18"/>
        </w:rPr>
        <w:t>bnk</w:t>
      </w:r>
      <w:r>
        <w:t xml:space="preserve"> — benchmarks from IR 2025/2620, Column B. E.g. </w:t>
      </w:r>
      <w:r>
        <w:rPr>
          <w:rFonts w:ascii="Courier New" w:eastAsia="Courier New" w:hAnsi="Courier New" w:cs="Courier New"/>
          <w:color w:val="1F3864"/>
          <w:sz w:val="18"/>
          <w:szCs w:val="18"/>
        </w:rPr>
        <w:t>all.in.bnk.stl.drg.--- = 0.481</w:t>
      </w:r>
      <w:r>
        <w:t xml:space="preserve"> tCO₂/t for DRI-EAF steel.</w:t>
      </w:r>
    </w:p>
    <w:p w14:paraId="5CC5EA8C" w14:textId="77777777" w:rsidR="00587C7F" w:rsidRDefault="00615B75">
      <w:pPr>
        <w:pStyle w:val="ListParagraph"/>
        <w:numPr>
          <w:ilvl w:val="0"/>
          <w:numId w:val="2"/>
        </w:numPr>
        <w:spacing w:before="40" w:after="40"/>
      </w:pPr>
      <w:r>
        <w:rPr>
          <w:rFonts w:ascii="Courier New" w:eastAsia="Courier New" w:hAnsi="Courier New" w:cs="Courier New"/>
          <w:color w:val="1F3864"/>
          <w:sz w:val="18"/>
          <w:szCs w:val="18"/>
        </w:rPr>
        <w:t>dfv</w:t>
      </w:r>
      <w:r>
        <w:t xml:space="preserve"> — default values from IR 2025/2621, ‘other countries’ fallback, pre-markup. E.g. </w:t>
      </w:r>
      <w:r>
        <w:rPr>
          <w:rFonts w:ascii="Courier New" w:eastAsia="Courier New" w:hAnsi="Courier New" w:cs="Courier New"/>
          <w:color w:val="1F3864"/>
          <w:sz w:val="18"/>
          <w:szCs w:val="18"/>
        </w:rPr>
        <w:t>all.in.dfv.stl.drg.--- = 1.82</w:t>
      </w:r>
      <w:r>
        <w:t xml:space="preserve"> tCO₂/t.</w:t>
      </w:r>
    </w:p>
    <w:p w14:paraId="2FC3E7EF" w14:textId="77777777" w:rsidR="00587C7F" w:rsidRDefault="00615B75">
      <w:pPr>
        <w:pStyle w:val="ListParagraph"/>
        <w:numPr>
          <w:ilvl w:val="0"/>
          <w:numId w:val="2"/>
        </w:numPr>
        <w:spacing w:before="40" w:after="40"/>
      </w:pPr>
      <w:r>
        <w:rPr>
          <w:rFonts w:ascii="Courier New" w:eastAsia="Courier New" w:hAnsi="Courier New" w:cs="Courier New"/>
          <w:color w:val="1F3864"/>
          <w:sz w:val="18"/>
          <w:szCs w:val="18"/>
        </w:rPr>
        <w:t>ets</w:t>
      </w:r>
      <w:r>
        <w:t xml:space="preserve"> — annual USD ETS price. Currently $85 in 2024 rising to $140 in 2035.</w:t>
      </w:r>
    </w:p>
    <w:p w14:paraId="14D553BC" w14:textId="6CFDC523" w:rsidR="00587C7F" w:rsidRDefault="00615B75" w:rsidP="00CD141B">
      <w:pPr>
        <w:pStyle w:val="ListParagraph"/>
        <w:numPr>
          <w:ilvl w:val="0"/>
          <w:numId w:val="2"/>
        </w:numPr>
        <w:spacing w:before="40" w:after="40"/>
      </w:pPr>
      <w:r>
        <w:rPr>
          <w:rFonts w:ascii="Courier New" w:eastAsia="Courier New" w:hAnsi="Courier New" w:cs="Courier New"/>
          <w:color w:val="1F3864"/>
          <w:sz w:val="18"/>
          <w:szCs w:val="18"/>
        </w:rPr>
        <w:t>cbf</w:t>
      </w:r>
      <w:r>
        <w:t xml:space="preserve"> — annual CBAM factor. 0.0 in 2024–2025, rising from 0.025 in 2026 to 1.0 from 2034.</w:t>
      </w:r>
    </w:p>
    <w:p w14:paraId="56FA1AB4" w14:textId="77777777" w:rsidR="00587C7F" w:rsidRDefault="00615B75">
      <w:pPr>
        <w:pStyle w:val="Heading1"/>
        <w:shd w:val="clear" w:color="auto" w:fill="1F4E79"/>
        <w:ind w:left="120" w:right="120"/>
      </w:pPr>
      <w:r>
        <w:lastRenderedPageBreak/>
        <w:t>7.  Versions and maintenance</w:t>
      </w:r>
    </w:p>
    <w:p w14:paraId="53DF4933" w14:textId="77777777" w:rsidR="00587C7F" w:rsidRDefault="00587C7F">
      <w:pPr>
        <w:spacing w:before="40" w:after="40"/>
      </w:pPr>
    </w:p>
    <w:p w14:paraId="38081341" w14:textId="77777777" w:rsidR="00587C7F" w:rsidRDefault="00615B75">
      <w:pPr>
        <w:spacing w:before="60" w:after="60"/>
      </w:pPr>
      <w:r>
        <w:t xml:space="preserve">The </w:t>
      </w:r>
      <w:r>
        <w:rPr>
          <w:rFonts w:ascii="Courier New" w:eastAsia="Courier New" w:hAnsi="Courier New" w:cs="Courier New"/>
          <w:color w:val="1F3864"/>
          <w:sz w:val="18"/>
          <w:szCs w:val="18"/>
        </w:rPr>
        <w:t>version</w:t>
      </w:r>
      <w:r>
        <w:t xml:space="preserve"> tab records the full change history. Cell A3 holds the current version string. The dashboard title pulls from it automatically via the named range </w:t>
      </w:r>
      <w:r>
        <w:rPr>
          <w:rFonts w:ascii="Courier New" w:eastAsia="Courier New" w:hAnsi="Courier New" w:cs="Courier New"/>
          <w:color w:val="1F3864"/>
          <w:sz w:val="18"/>
          <w:szCs w:val="18"/>
        </w:rPr>
        <w:t>Version</w:t>
      </w:r>
      <w:r>
        <w:t>.</w:t>
      </w:r>
    </w:p>
    <w:p w14:paraId="28D76368" w14:textId="77777777" w:rsidR="00587C7F" w:rsidRDefault="00587C7F">
      <w:pPr>
        <w:spacing w:before="40" w:after="40"/>
      </w:pPr>
    </w:p>
    <w:p w14:paraId="6A0D487F" w14:textId="77777777" w:rsidR="00587C7F" w:rsidRDefault="00615B75">
      <w:pPr>
        <w:pStyle w:val="Heading2"/>
        <w:pBdr>
          <w:bottom w:val="single" w:sz="4" w:space="2" w:color="2E75B6"/>
        </w:pBdr>
      </w:pPr>
      <w:r>
        <w:t>Releasing a new version</w:t>
      </w:r>
    </w:p>
    <w:p w14:paraId="1AA3276D" w14:textId="77777777" w:rsidR="00587C7F" w:rsidRDefault="00615B75">
      <w:pPr>
        <w:pStyle w:val="ListParagraph"/>
        <w:numPr>
          <w:ilvl w:val="0"/>
          <w:numId w:val="2"/>
        </w:numPr>
        <w:spacing w:before="40" w:after="40"/>
      </w:pPr>
      <w:r>
        <w:t>Make your changes to input_data or model formulas.</w:t>
      </w:r>
    </w:p>
    <w:p w14:paraId="002C3AAC" w14:textId="77777777" w:rsidR="00587C7F" w:rsidRDefault="00615B75">
      <w:pPr>
        <w:pStyle w:val="ListParagraph"/>
        <w:numPr>
          <w:ilvl w:val="0"/>
          <w:numId w:val="2"/>
        </w:numPr>
        <w:spacing w:before="40" w:after="40"/>
      </w:pPr>
      <w:r>
        <w:t xml:space="preserve">Update cell A3 in the version tab (e.g. </w:t>
      </w:r>
      <w:r>
        <w:rPr>
          <w:rFonts w:ascii="Courier New" w:eastAsia="Courier New" w:hAnsi="Courier New" w:cs="Courier New"/>
          <w:color w:val="1F3864"/>
          <w:sz w:val="18"/>
          <w:szCs w:val="18"/>
        </w:rPr>
        <w:t>v1.1</w:t>
      </w:r>
      <w:r>
        <w:t>).</w:t>
      </w:r>
    </w:p>
    <w:p w14:paraId="3BD38332" w14:textId="77777777" w:rsidR="00587C7F" w:rsidRDefault="00615B75">
      <w:pPr>
        <w:pStyle w:val="ListParagraph"/>
        <w:numPr>
          <w:ilvl w:val="0"/>
          <w:numId w:val="2"/>
        </w:numPr>
        <w:spacing w:before="40" w:after="40"/>
      </w:pPr>
      <w:r>
        <w:t>Add a row to the version history table with the date, description, and your name.</w:t>
      </w:r>
    </w:p>
    <w:p w14:paraId="3C5CDD2C" w14:textId="77777777" w:rsidR="00587C7F" w:rsidRDefault="00615B75">
      <w:pPr>
        <w:pStyle w:val="ListParagraph"/>
        <w:numPr>
          <w:ilvl w:val="0"/>
          <w:numId w:val="2"/>
        </w:numPr>
        <w:spacing w:before="40" w:after="40"/>
      </w:pPr>
      <w:r>
        <w:t xml:space="preserve">Save as </w:t>
      </w:r>
      <w:r>
        <w:rPr>
          <w:rFonts w:ascii="Courier New" w:eastAsia="Courier New" w:hAnsi="Courier New" w:cs="Courier New"/>
          <w:color w:val="1F3864"/>
          <w:sz w:val="18"/>
          <w:szCs w:val="18"/>
        </w:rPr>
        <w:t>CPAT_policy_dashboard_v[version].xlsx</w:t>
      </w:r>
      <w:r>
        <w:t>.</w:t>
      </w:r>
    </w:p>
    <w:p w14:paraId="519DB833" w14:textId="77777777" w:rsidR="00587C7F" w:rsidRDefault="00587C7F">
      <w:pPr>
        <w:spacing w:before="40" w:after="40"/>
      </w:pPr>
    </w:p>
    <w:p w14:paraId="2AB066DA" w14:textId="77777777" w:rsidR="00587C7F" w:rsidRDefault="00615B75">
      <w:pPr>
        <w:pStyle w:val="Heading2"/>
        <w:pBdr>
          <w:bottom w:val="single" w:sz="4" w:space="2" w:color="2E75B6"/>
        </w:pBdr>
      </w:pPr>
      <w:r>
        <w:t>Named ranges</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6840"/>
      </w:tblGrid>
      <w:tr w:rsidR="00587C7F" w14:paraId="5C27480B" w14:textId="77777777">
        <w:tc>
          <w:tcPr>
            <w:tcW w:w="252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4C66895E" w14:textId="77777777" w:rsidR="00587C7F" w:rsidRDefault="00615B75">
            <w:pPr>
              <w:spacing w:before="60" w:after="60"/>
            </w:pPr>
            <w:r>
              <w:rPr>
                <w:b/>
                <w:bCs/>
                <w:color w:val="1F4E79"/>
                <w:sz w:val="18"/>
                <w:szCs w:val="18"/>
              </w:rPr>
              <w:t>CountrySelector</w:t>
            </w:r>
          </w:p>
        </w:tc>
        <w:tc>
          <w:tcPr>
            <w:tcW w:w="684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14B0C2A1" w14:textId="77777777" w:rsidR="00587C7F" w:rsidRDefault="00615B75">
            <w:pPr>
              <w:spacing w:before="60" w:after="60"/>
            </w:pPr>
            <w:r>
              <w:rPr>
                <w:sz w:val="18"/>
                <w:szCs w:val="18"/>
              </w:rPr>
              <w:t>dashboard!$B$5 — active country code</w:t>
            </w:r>
          </w:p>
        </w:tc>
      </w:tr>
      <w:tr w:rsidR="00587C7F" w14:paraId="29E2F968" w14:textId="77777777">
        <w:tc>
          <w:tcPr>
            <w:tcW w:w="252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6A03B89E" w14:textId="77777777" w:rsidR="00587C7F" w:rsidRDefault="00615B75">
            <w:pPr>
              <w:spacing w:before="60" w:after="60"/>
            </w:pPr>
            <w:r>
              <w:rPr>
                <w:b/>
                <w:bCs/>
                <w:color w:val="1F4E79"/>
                <w:sz w:val="18"/>
                <w:szCs w:val="18"/>
              </w:rPr>
              <w:t>DetailYear</w:t>
            </w:r>
          </w:p>
        </w:tc>
        <w:tc>
          <w:tcPr>
            <w:tcW w:w="684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2BCE7172" w14:textId="77777777" w:rsidR="00587C7F" w:rsidRDefault="00615B75">
            <w:pPr>
              <w:spacing w:before="60" w:after="60"/>
            </w:pPr>
            <w:r>
              <w:rPr>
                <w:sz w:val="18"/>
                <w:szCs w:val="18"/>
              </w:rPr>
              <w:t>dashboard!$B$6 — year shown in Section 6</w:t>
            </w:r>
          </w:p>
        </w:tc>
      </w:tr>
      <w:tr w:rsidR="00587C7F" w14:paraId="74EE0929" w14:textId="77777777">
        <w:tc>
          <w:tcPr>
            <w:tcW w:w="252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0386E034" w14:textId="77777777" w:rsidR="00587C7F" w:rsidRDefault="00615B75">
            <w:pPr>
              <w:spacing w:before="60" w:after="60"/>
            </w:pPr>
            <w:r>
              <w:rPr>
                <w:b/>
                <w:bCs/>
                <w:color w:val="1F4E79"/>
                <w:sz w:val="18"/>
                <w:szCs w:val="18"/>
              </w:rPr>
              <w:t>YearIdx</w:t>
            </w:r>
          </w:p>
        </w:tc>
        <w:tc>
          <w:tcPr>
            <w:tcW w:w="684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6853E110" w14:textId="77777777" w:rsidR="00587C7F" w:rsidRDefault="00615B75">
            <w:pPr>
              <w:spacing w:before="60" w:after="60"/>
            </w:pPr>
            <w:r>
              <w:rPr>
                <w:sz w:val="18"/>
                <w:szCs w:val="18"/>
              </w:rPr>
              <w:t>dashboard!$P$6 — column index for DetailYear in the time series</w:t>
            </w:r>
          </w:p>
        </w:tc>
      </w:tr>
      <w:tr w:rsidR="00587C7F" w14:paraId="44A5D4AB" w14:textId="77777777">
        <w:tc>
          <w:tcPr>
            <w:tcW w:w="252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6AE26EBD" w14:textId="77777777" w:rsidR="00587C7F" w:rsidRDefault="00615B75">
            <w:pPr>
              <w:spacing w:before="60" w:after="60"/>
            </w:pPr>
            <w:r>
              <w:rPr>
                <w:b/>
                <w:bCs/>
                <w:color w:val="1F4E79"/>
                <w:sz w:val="18"/>
                <w:szCs w:val="18"/>
              </w:rPr>
              <w:t>Theta</w:t>
            </w:r>
          </w:p>
        </w:tc>
        <w:tc>
          <w:tcPr>
            <w:tcW w:w="684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0BBF4AD0" w14:textId="77777777" w:rsidR="00587C7F" w:rsidRDefault="00615B75">
            <w:pPr>
              <w:spacing w:before="60" w:after="60"/>
            </w:pPr>
            <w:r>
              <w:rPr>
                <w:sz w:val="18"/>
                <w:szCs w:val="18"/>
              </w:rPr>
              <w:t>dashboard!$B$7 — pass-through parameter (share of wedge to buyer prices)</w:t>
            </w:r>
          </w:p>
        </w:tc>
      </w:tr>
      <w:tr w:rsidR="00587C7F" w14:paraId="1F91E5EC" w14:textId="77777777">
        <w:tc>
          <w:tcPr>
            <w:tcW w:w="252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28DC8C6C" w14:textId="77777777" w:rsidR="00587C7F" w:rsidRDefault="00615B75">
            <w:pPr>
              <w:spacing w:before="60" w:after="60"/>
            </w:pPr>
            <w:r>
              <w:rPr>
                <w:b/>
                <w:bCs/>
                <w:color w:val="1F4E79"/>
                <w:sz w:val="18"/>
                <w:szCs w:val="18"/>
              </w:rPr>
              <w:t>ExportsOnly</w:t>
            </w:r>
          </w:p>
        </w:tc>
        <w:tc>
          <w:tcPr>
            <w:tcW w:w="684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3003DF15" w14:textId="77777777" w:rsidR="00587C7F" w:rsidRDefault="00615B75">
            <w:pPr>
              <w:spacing w:before="60" w:after="60"/>
            </w:pPr>
            <w:r>
              <w:rPr>
                <w:sz w:val="18"/>
                <w:szCs w:val="18"/>
              </w:rPr>
              <w:t>dashboard!$B$22 — restrict carbon price to exports only</w:t>
            </w:r>
          </w:p>
        </w:tc>
      </w:tr>
      <w:tr w:rsidR="00587C7F" w14:paraId="4649AAB1" w14:textId="77777777">
        <w:tc>
          <w:tcPr>
            <w:tcW w:w="252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3B2E588A" w14:textId="77777777" w:rsidR="00587C7F" w:rsidRDefault="00615B75">
            <w:pPr>
              <w:spacing w:before="60" w:after="60"/>
            </w:pPr>
            <w:r>
              <w:rPr>
                <w:b/>
                <w:bCs/>
                <w:color w:val="1F4E79"/>
                <w:sz w:val="18"/>
                <w:szCs w:val="18"/>
              </w:rPr>
              <w:t>CovS1fc–CovS2</w:t>
            </w:r>
          </w:p>
        </w:tc>
        <w:tc>
          <w:tcPr>
            <w:tcW w:w="684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7C077CBF" w14:textId="77777777" w:rsidR="00587C7F" w:rsidRDefault="00615B75">
            <w:pPr>
              <w:spacing w:before="60" w:after="60"/>
            </w:pPr>
            <w:r>
              <w:rPr>
                <w:sz w:val="18"/>
                <w:szCs w:val="18"/>
              </w:rPr>
              <w:t>dashboard!$B$11–$B$15 — scope coverage flags</w:t>
            </w:r>
          </w:p>
        </w:tc>
      </w:tr>
      <w:tr w:rsidR="00587C7F" w14:paraId="0BD33503" w14:textId="77777777">
        <w:tc>
          <w:tcPr>
            <w:tcW w:w="252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13261328" w14:textId="77777777" w:rsidR="00587C7F" w:rsidRDefault="00615B75">
            <w:pPr>
              <w:spacing w:before="60" w:after="60"/>
            </w:pPr>
            <w:r>
              <w:rPr>
                <w:b/>
                <w:bCs/>
                <w:color w:val="1F4E79"/>
                <w:sz w:val="18"/>
                <w:szCs w:val="18"/>
              </w:rPr>
              <w:t>MRVmaster</w:t>
            </w:r>
          </w:p>
        </w:tc>
        <w:tc>
          <w:tcPr>
            <w:tcW w:w="684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36B9AA9E" w14:textId="77777777" w:rsidR="00587C7F" w:rsidRDefault="00615B75">
            <w:pPr>
              <w:spacing w:before="60" w:after="60"/>
            </w:pPr>
            <w:r>
              <w:rPr>
                <w:sz w:val="18"/>
                <w:szCs w:val="18"/>
              </w:rPr>
              <w:t>dashboard!$B$19 — MRV flag (1 = actual data, 0 = default values)</w:t>
            </w:r>
          </w:p>
        </w:tc>
      </w:tr>
      <w:tr w:rsidR="00587C7F" w14:paraId="614FBB0B" w14:textId="77777777">
        <w:tc>
          <w:tcPr>
            <w:tcW w:w="252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40A55DC0" w14:textId="77777777" w:rsidR="00587C7F" w:rsidRDefault="00615B75">
            <w:pPr>
              <w:spacing w:before="60" w:after="60"/>
            </w:pPr>
            <w:r>
              <w:rPr>
                <w:b/>
                <w:bCs/>
                <w:color w:val="1F4E79"/>
                <w:sz w:val="18"/>
                <w:szCs w:val="18"/>
              </w:rPr>
              <w:t>Version</w:t>
            </w:r>
          </w:p>
        </w:tc>
        <w:tc>
          <w:tcPr>
            <w:tcW w:w="684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230A684B" w14:textId="77777777" w:rsidR="00587C7F" w:rsidRDefault="00615B75">
            <w:pPr>
              <w:spacing w:before="60" w:after="60"/>
            </w:pPr>
            <w:r>
              <w:rPr>
                <w:sz w:val="18"/>
                <w:szCs w:val="18"/>
              </w:rPr>
              <w:t>version!$A$3 — current version string</w:t>
            </w:r>
          </w:p>
        </w:tc>
      </w:tr>
    </w:tbl>
    <w:p w14:paraId="4AC77EDF" w14:textId="77777777" w:rsidR="00587C7F" w:rsidRDefault="00587C7F">
      <w:pPr>
        <w:spacing w:before="40" w:after="40"/>
      </w:pPr>
    </w:p>
    <w:p w14:paraId="625AFDBD" w14:textId="77777777" w:rsidR="00587C7F" w:rsidRDefault="00615B75">
      <w:r>
        <w:br w:type="page"/>
      </w:r>
    </w:p>
    <w:p w14:paraId="57C51580" w14:textId="77777777" w:rsidR="00587C7F" w:rsidRDefault="00615B75">
      <w:pPr>
        <w:pStyle w:val="Heading1"/>
        <w:shd w:val="clear" w:color="auto" w:fill="1F4E79"/>
        <w:ind w:left="120" w:right="120"/>
      </w:pPr>
      <w:r>
        <w:lastRenderedPageBreak/>
        <w:t>8.  Regulatory background</w:t>
      </w:r>
    </w:p>
    <w:p w14:paraId="3ED6A12C" w14:textId="77777777" w:rsidR="00587C7F" w:rsidRDefault="00587C7F">
      <w:pPr>
        <w:spacing w:before="40" w:after="4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40"/>
        <w:gridCol w:w="6120"/>
      </w:tblGrid>
      <w:tr w:rsidR="00587C7F" w14:paraId="03E15C34" w14:textId="77777777">
        <w:trPr>
          <w:tblHeader/>
        </w:trPr>
        <w:tc>
          <w:tcPr>
            <w:tcW w:w="3240" w:type="dxa"/>
            <w:tcBorders>
              <w:top w:val="single" w:sz="1" w:space="0" w:color="C0C0C0"/>
              <w:left w:val="single" w:sz="1" w:space="0" w:color="C0C0C0"/>
              <w:bottom w:val="single" w:sz="1" w:space="0" w:color="C0C0C0"/>
              <w:right w:val="single" w:sz="1" w:space="0" w:color="C0C0C0"/>
            </w:tcBorders>
            <w:shd w:val="clear" w:color="auto" w:fill="2E75B6"/>
            <w:tcMar>
              <w:top w:w="80" w:type="dxa"/>
              <w:left w:w="120" w:type="dxa"/>
              <w:bottom w:w="80" w:type="dxa"/>
              <w:right w:w="120" w:type="dxa"/>
            </w:tcMar>
            <w:vAlign w:val="center"/>
          </w:tcPr>
          <w:p w14:paraId="4AF1EE60" w14:textId="77777777" w:rsidR="00587C7F" w:rsidRDefault="00615B75">
            <w:pPr>
              <w:jc w:val="center"/>
            </w:pPr>
            <w:r>
              <w:rPr>
                <w:b/>
                <w:bCs/>
                <w:color w:val="FFFFFF"/>
                <w:sz w:val="16"/>
                <w:szCs w:val="16"/>
              </w:rPr>
              <w:t>Regulation</w:t>
            </w:r>
          </w:p>
        </w:tc>
        <w:tc>
          <w:tcPr>
            <w:tcW w:w="6120" w:type="dxa"/>
            <w:tcBorders>
              <w:top w:val="single" w:sz="1" w:space="0" w:color="C0C0C0"/>
              <w:left w:val="single" w:sz="1" w:space="0" w:color="C0C0C0"/>
              <w:bottom w:val="single" w:sz="1" w:space="0" w:color="C0C0C0"/>
              <w:right w:val="single" w:sz="1" w:space="0" w:color="C0C0C0"/>
            </w:tcBorders>
            <w:shd w:val="clear" w:color="auto" w:fill="2E75B6"/>
            <w:tcMar>
              <w:top w:w="80" w:type="dxa"/>
              <w:left w:w="120" w:type="dxa"/>
              <w:bottom w:w="80" w:type="dxa"/>
              <w:right w:w="120" w:type="dxa"/>
            </w:tcMar>
            <w:vAlign w:val="center"/>
          </w:tcPr>
          <w:p w14:paraId="3E52A71A" w14:textId="77777777" w:rsidR="00587C7F" w:rsidRDefault="00615B75">
            <w:pPr>
              <w:jc w:val="center"/>
            </w:pPr>
            <w:r>
              <w:rPr>
                <w:b/>
                <w:bCs/>
                <w:color w:val="FFFFFF"/>
                <w:sz w:val="16"/>
                <w:szCs w:val="16"/>
              </w:rPr>
              <w:t>What it sets</w:t>
            </w:r>
          </w:p>
        </w:tc>
      </w:tr>
      <w:tr w:rsidR="00587C7F" w14:paraId="1EBD70FC" w14:textId="77777777">
        <w:tc>
          <w:tcPr>
            <w:tcW w:w="324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779ADC80" w14:textId="77777777" w:rsidR="00587C7F" w:rsidRDefault="00615B75">
            <w:r>
              <w:rPr>
                <w:sz w:val="18"/>
                <w:szCs w:val="18"/>
              </w:rPr>
              <w:t>Regulation (EU) 2023/956</w:t>
            </w:r>
          </w:p>
        </w:tc>
        <w:tc>
          <w:tcPr>
            <w:tcW w:w="612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0B0A21C0" w14:textId="77777777" w:rsidR="00587C7F" w:rsidRDefault="00615B75">
            <w:pPr>
              <w:jc w:val="center"/>
            </w:pPr>
            <w:r>
              <w:rPr>
                <w:sz w:val="18"/>
                <w:szCs w:val="18"/>
              </w:rPr>
              <w:t>The CBAM Regulation: sectors, products, and overall legal framework.</w:t>
            </w:r>
          </w:p>
        </w:tc>
      </w:tr>
      <w:tr w:rsidR="00587C7F" w14:paraId="372DEC8A" w14:textId="77777777">
        <w:tc>
          <w:tcPr>
            <w:tcW w:w="324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64A429CB" w14:textId="77777777" w:rsidR="00587C7F" w:rsidRDefault="00615B75">
            <w:r>
              <w:rPr>
                <w:sz w:val="18"/>
                <w:szCs w:val="18"/>
              </w:rPr>
              <w:t>Regulation (EU) 2025/2083 (Omnibus)</w:t>
            </w:r>
          </w:p>
        </w:tc>
        <w:tc>
          <w:tcPr>
            <w:tcW w:w="612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08E43E12" w14:textId="77777777" w:rsidR="00587C7F" w:rsidRDefault="00615B75">
            <w:pPr>
              <w:jc w:val="center"/>
            </w:pPr>
            <w:r>
              <w:rPr>
                <w:sz w:val="18"/>
                <w:szCs w:val="18"/>
              </w:rPr>
              <w:t>Amended CBAM from October 2025. Quarterly obligation reduced to 50% of estimated exposure. Fertiliser mark-up capped at 1%.</w:t>
            </w:r>
          </w:p>
        </w:tc>
      </w:tr>
      <w:tr w:rsidR="00587C7F" w14:paraId="18D8291A" w14:textId="77777777">
        <w:tc>
          <w:tcPr>
            <w:tcW w:w="324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77D84637" w14:textId="77777777" w:rsidR="00587C7F" w:rsidRDefault="00615B75">
            <w:r>
              <w:rPr>
                <w:sz w:val="18"/>
                <w:szCs w:val="18"/>
              </w:rPr>
              <w:t>IR 2025/2620 (16 Dec 2025)</w:t>
            </w:r>
          </w:p>
        </w:tc>
        <w:tc>
          <w:tcPr>
            <w:tcW w:w="612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3F0AB540" w14:textId="77777777" w:rsidR="00587C7F" w:rsidRDefault="00615B75">
            <w:pPr>
              <w:jc w:val="center"/>
            </w:pPr>
            <w:r>
              <w:rPr>
                <w:sz w:val="18"/>
                <w:szCs w:val="18"/>
              </w:rPr>
              <w:t>Sets CBAM benchmarks (free allocation equivalents, Columns A and B) for all covered products.</w:t>
            </w:r>
          </w:p>
        </w:tc>
      </w:tr>
      <w:tr w:rsidR="00587C7F" w14:paraId="0AB795B9" w14:textId="77777777">
        <w:tc>
          <w:tcPr>
            <w:tcW w:w="324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37AD7D8C" w14:textId="77777777" w:rsidR="00587C7F" w:rsidRDefault="00615B75">
            <w:r>
              <w:rPr>
                <w:sz w:val="18"/>
                <w:szCs w:val="18"/>
              </w:rPr>
              <w:t>IR 2025/2621 (16 Dec 2025)</w:t>
            </w:r>
          </w:p>
        </w:tc>
        <w:tc>
          <w:tcPr>
            <w:tcW w:w="612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15B6390E" w14:textId="77777777" w:rsidR="00587C7F" w:rsidRDefault="00615B75">
            <w:pPr>
              <w:jc w:val="center"/>
            </w:pPr>
            <w:r>
              <w:rPr>
                <w:sz w:val="18"/>
                <w:szCs w:val="18"/>
              </w:rPr>
              <w:t>Sets country-specific default values (SEE). In force from 1 Jan 2026. Next review by December 2027.</w:t>
            </w:r>
          </w:p>
        </w:tc>
      </w:tr>
      <w:tr w:rsidR="00587C7F" w14:paraId="69DB89F4" w14:textId="77777777">
        <w:tc>
          <w:tcPr>
            <w:tcW w:w="324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3FF78032" w14:textId="77777777" w:rsidR="00587C7F" w:rsidRDefault="00615B75">
            <w:r>
              <w:rPr>
                <w:sz w:val="18"/>
                <w:szCs w:val="18"/>
              </w:rPr>
              <w:t>IR 2025/2547</w:t>
            </w:r>
          </w:p>
        </w:tc>
        <w:tc>
          <w:tcPr>
            <w:tcW w:w="612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14FDDB87" w14:textId="77777777" w:rsidR="00587C7F" w:rsidRDefault="00615B75">
            <w:pPr>
              <w:jc w:val="center"/>
            </w:pPr>
            <w:r>
              <w:rPr>
                <w:sz w:val="18"/>
                <w:szCs w:val="18"/>
              </w:rPr>
              <w:t>Calculation methods for embedded emissions.</w:t>
            </w:r>
          </w:p>
        </w:tc>
      </w:tr>
    </w:tbl>
    <w:p w14:paraId="26485386" w14:textId="77777777" w:rsidR="00587C7F" w:rsidRDefault="00587C7F">
      <w:pPr>
        <w:spacing w:before="40" w:after="40"/>
      </w:pPr>
    </w:p>
    <w:p w14:paraId="3FB8F526" w14:textId="77777777" w:rsidR="00587C7F" w:rsidRDefault="00615B75">
      <w:pPr>
        <w:pBdr>
          <w:left w:val="single" w:sz="14" w:space="4" w:color="1F4E79"/>
        </w:pBdr>
        <w:shd w:val="clear" w:color="auto" w:fill="FFF2CC"/>
        <w:spacing w:before="100" w:after="100"/>
        <w:ind w:left="360" w:right="360"/>
      </w:pPr>
      <w:r>
        <w:rPr>
          <w:b/>
          <w:bCs/>
          <w:color w:val="1F4E79"/>
        </w:rPr>
        <w:t xml:space="preserve">Mark-up schedule on default values  </w:t>
      </w:r>
      <w:r>
        <w:t>Default values carry a mark-up above the country average: +10% in 2026, +20% in 2027, +30% from 2028. Exception: fertilisers carry only +1% under the Omnibus simplification. Values in this workbook are pre-markup.</w:t>
      </w:r>
    </w:p>
    <w:p w14:paraId="35A198DC" w14:textId="77777777" w:rsidR="00587C7F" w:rsidRDefault="00587C7F">
      <w:pPr>
        <w:spacing w:before="40" w:after="40"/>
      </w:pPr>
    </w:p>
    <w:p w14:paraId="1371F289" w14:textId="77777777" w:rsidR="00587C7F" w:rsidRDefault="00615B75">
      <w:r>
        <w:br w:type="page"/>
      </w:r>
    </w:p>
    <w:p w14:paraId="1572379B" w14:textId="77777777" w:rsidR="00587C7F" w:rsidRDefault="00615B75">
      <w:pPr>
        <w:pStyle w:val="Heading1"/>
        <w:shd w:val="clear" w:color="auto" w:fill="1F4E79"/>
        <w:ind w:left="120" w:right="120"/>
      </w:pPr>
      <w:r>
        <w:lastRenderedPageBreak/>
        <w:t>9.  Data sources</w:t>
      </w:r>
    </w:p>
    <w:p w14:paraId="59CBF3DF" w14:textId="77777777" w:rsidR="00587C7F" w:rsidRDefault="00587C7F">
      <w:pPr>
        <w:spacing w:before="40" w:after="40"/>
      </w:pPr>
    </w:p>
    <w:p w14:paraId="0057A58E" w14:textId="77777777" w:rsidR="00587C7F" w:rsidRDefault="00615B75">
      <w:pPr>
        <w:spacing w:before="60" w:after="60"/>
      </w:pPr>
      <w:r>
        <w:t>This section describes every external source used in the model, what it provides, and how it enters the spreadsheet. Where possible, direct URLs or publication details are given so inputs can be verified or updated.</w:t>
      </w:r>
    </w:p>
    <w:p w14:paraId="3D76EF82" w14:textId="77777777" w:rsidR="00587C7F" w:rsidRDefault="00587C7F">
      <w:pPr>
        <w:spacing w:before="40" w:after="40"/>
      </w:pPr>
    </w:p>
    <w:p w14:paraId="16CF2D8A" w14:textId="77777777" w:rsidR="00587C7F" w:rsidRDefault="00615B75">
      <w:pPr>
        <w:pStyle w:val="Heading2"/>
        <w:pBdr>
          <w:bottom w:val="single" w:sz="4" w:space="2" w:color="2E75B6"/>
        </w:pBdr>
      </w:pPr>
      <w:r>
        <w:t>A.  Production data</w:t>
      </w:r>
    </w:p>
    <w:p w14:paraId="2512CACC" w14:textId="77777777" w:rsidR="00587C7F" w:rsidRDefault="00615B75">
      <w:pPr>
        <w:spacing w:before="60" w:after="60"/>
      </w:pPr>
      <w:r>
        <w:t>Production data sets the base-year output for each country-product pair and determines scale of all emission and revenue calculations.</w:t>
      </w:r>
    </w:p>
    <w:p w14:paraId="5CFAA868" w14:textId="77777777" w:rsidR="00587C7F" w:rsidRDefault="00587C7F">
      <w:pPr>
        <w:spacing w:before="40" w:after="4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3600"/>
        <w:gridCol w:w="2880"/>
      </w:tblGrid>
      <w:tr w:rsidR="00587C7F" w14:paraId="790DBB37" w14:textId="77777777">
        <w:trPr>
          <w:tblHeader/>
        </w:trPr>
        <w:tc>
          <w:tcPr>
            <w:tcW w:w="2880" w:type="dxa"/>
            <w:tcBorders>
              <w:top w:val="single" w:sz="1" w:space="0" w:color="C0C0C0"/>
              <w:left w:val="single" w:sz="1" w:space="0" w:color="C0C0C0"/>
              <w:bottom w:val="single" w:sz="1" w:space="0" w:color="C0C0C0"/>
              <w:right w:val="single" w:sz="1" w:space="0" w:color="C0C0C0"/>
            </w:tcBorders>
            <w:shd w:val="clear" w:color="auto" w:fill="2E75B6"/>
            <w:tcMar>
              <w:top w:w="80" w:type="dxa"/>
              <w:left w:w="120" w:type="dxa"/>
              <w:bottom w:w="80" w:type="dxa"/>
              <w:right w:w="120" w:type="dxa"/>
            </w:tcMar>
            <w:vAlign w:val="center"/>
          </w:tcPr>
          <w:p w14:paraId="171B95BF" w14:textId="77777777" w:rsidR="00587C7F" w:rsidRDefault="00615B75">
            <w:pPr>
              <w:jc w:val="center"/>
            </w:pPr>
            <w:r>
              <w:rPr>
                <w:b/>
                <w:bCs/>
                <w:color w:val="FFFFFF"/>
                <w:sz w:val="16"/>
                <w:szCs w:val="16"/>
              </w:rPr>
              <w:t>Source</w:t>
            </w:r>
          </w:p>
        </w:tc>
        <w:tc>
          <w:tcPr>
            <w:tcW w:w="3600" w:type="dxa"/>
            <w:tcBorders>
              <w:top w:val="single" w:sz="1" w:space="0" w:color="C0C0C0"/>
              <w:left w:val="single" w:sz="1" w:space="0" w:color="C0C0C0"/>
              <w:bottom w:val="single" w:sz="1" w:space="0" w:color="C0C0C0"/>
              <w:right w:val="single" w:sz="1" w:space="0" w:color="C0C0C0"/>
            </w:tcBorders>
            <w:shd w:val="clear" w:color="auto" w:fill="2E75B6"/>
            <w:tcMar>
              <w:top w:w="80" w:type="dxa"/>
              <w:left w:w="120" w:type="dxa"/>
              <w:bottom w:w="80" w:type="dxa"/>
              <w:right w:w="120" w:type="dxa"/>
            </w:tcMar>
            <w:vAlign w:val="center"/>
          </w:tcPr>
          <w:p w14:paraId="184C6C73" w14:textId="77777777" w:rsidR="00587C7F" w:rsidRDefault="00615B75">
            <w:pPr>
              <w:jc w:val="center"/>
            </w:pPr>
            <w:r>
              <w:rPr>
                <w:b/>
                <w:bCs/>
                <w:color w:val="FFFFFF"/>
                <w:sz w:val="16"/>
                <w:szCs w:val="16"/>
              </w:rPr>
              <w:t>What it provides</w:t>
            </w:r>
          </w:p>
        </w:tc>
        <w:tc>
          <w:tcPr>
            <w:tcW w:w="2880" w:type="dxa"/>
            <w:tcBorders>
              <w:top w:val="single" w:sz="1" w:space="0" w:color="C0C0C0"/>
              <w:left w:val="single" w:sz="1" w:space="0" w:color="C0C0C0"/>
              <w:bottom w:val="single" w:sz="1" w:space="0" w:color="C0C0C0"/>
              <w:right w:val="single" w:sz="1" w:space="0" w:color="C0C0C0"/>
            </w:tcBorders>
            <w:shd w:val="clear" w:color="auto" w:fill="2E75B6"/>
            <w:tcMar>
              <w:top w:w="80" w:type="dxa"/>
              <w:left w:w="120" w:type="dxa"/>
              <w:bottom w:w="80" w:type="dxa"/>
              <w:right w:w="120" w:type="dxa"/>
            </w:tcMar>
            <w:vAlign w:val="center"/>
          </w:tcPr>
          <w:p w14:paraId="46E923C3" w14:textId="77777777" w:rsidR="00587C7F" w:rsidRDefault="00615B75">
            <w:pPr>
              <w:jc w:val="center"/>
            </w:pPr>
            <w:r>
              <w:rPr>
                <w:b/>
                <w:bCs/>
                <w:color w:val="FFFFFF"/>
                <w:sz w:val="16"/>
                <w:szCs w:val="16"/>
              </w:rPr>
              <w:t>Where used in model</w:t>
            </w:r>
          </w:p>
        </w:tc>
      </w:tr>
      <w:tr w:rsidR="00587C7F" w14:paraId="4C7F036D" w14:textId="77777777">
        <w:tc>
          <w:tcPr>
            <w:tcW w:w="28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1ED422D8" w14:textId="77777777" w:rsidR="00587C7F" w:rsidRDefault="00615B75">
            <w:r>
              <w:rPr>
                <w:sz w:val="18"/>
                <w:szCs w:val="18"/>
              </w:rPr>
              <w:t>World Steel Association (WSA) — Steel Statistical Yearbook 2024</w:t>
            </w:r>
          </w:p>
        </w:tc>
        <w:tc>
          <w:tcPr>
            <w:tcW w:w="36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4B4987AB" w14:textId="77777777" w:rsidR="00587C7F" w:rsidRDefault="00615B75">
            <w:pPr>
              <w:jc w:val="center"/>
            </w:pPr>
            <w:r>
              <w:rPr>
                <w:sz w:val="18"/>
                <w:szCs w:val="18"/>
              </w:rPr>
              <w:t>Crude steel output by production route (EAF, BOF, DRI) for Egypt, India. Historical series 2019–2023.</w:t>
            </w:r>
          </w:p>
        </w:tc>
        <w:tc>
          <w:tcPr>
            <w:tcW w:w="28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5EE684BC" w14:textId="77777777" w:rsidR="00587C7F" w:rsidRDefault="00615B75">
            <w:pPr>
              <w:jc w:val="center"/>
            </w:pPr>
            <w:r>
              <w:rPr>
                <w:sz w:val="18"/>
                <w:szCs w:val="18"/>
              </w:rPr>
              <w:t>stl.drg, stl.scr, stl.bof production base (prb)</w:t>
            </w:r>
          </w:p>
        </w:tc>
      </w:tr>
      <w:tr w:rsidR="00587C7F" w14:paraId="7E6AEC06" w14:textId="77777777">
        <w:tc>
          <w:tcPr>
            <w:tcW w:w="28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3FB3525A" w14:textId="77777777" w:rsidR="00587C7F" w:rsidRDefault="00615B75">
            <w:r>
              <w:rPr>
                <w:sz w:val="18"/>
                <w:szCs w:val="18"/>
              </w:rPr>
              <w:t>IEA World Energy Balances 2024 Edition</w:t>
            </w:r>
          </w:p>
        </w:tc>
        <w:tc>
          <w:tcPr>
            <w:tcW w:w="36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5D6B13CC" w14:textId="77777777" w:rsidR="00587C7F" w:rsidRDefault="00615B75">
            <w:pPr>
              <w:jc w:val="center"/>
            </w:pPr>
            <w:r>
              <w:rPr>
                <w:sz w:val="18"/>
                <w:szCs w:val="18"/>
              </w:rPr>
              <w:t>Iron and steel sector energy consumption; cement kiln output; ammonia and fertiliser production for all five countries.</w:t>
            </w:r>
          </w:p>
        </w:tc>
        <w:tc>
          <w:tcPr>
            <w:tcW w:w="28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6FE34F6D" w14:textId="77777777" w:rsidR="00587C7F" w:rsidRDefault="00615B75">
            <w:pPr>
              <w:jc w:val="center"/>
            </w:pPr>
            <w:r>
              <w:rPr>
                <w:sz w:val="18"/>
                <w:szCs w:val="18"/>
              </w:rPr>
              <w:t>prb for cmt.dry, frt.amc, frt.ure, frt.nit, alu.prp</w:t>
            </w:r>
          </w:p>
        </w:tc>
      </w:tr>
      <w:tr w:rsidR="00587C7F" w14:paraId="1EB0A576" w14:textId="77777777">
        <w:tc>
          <w:tcPr>
            <w:tcW w:w="28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66EDA3E1" w14:textId="77777777" w:rsidR="00587C7F" w:rsidRDefault="00615B75">
            <w:r>
              <w:rPr>
                <w:sz w:val="18"/>
                <w:szCs w:val="18"/>
              </w:rPr>
              <w:t>International Aluminium Institute (IAI) — World Aluminium Statistics</w:t>
            </w:r>
          </w:p>
        </w:tc>
        <w:tc>
          <w:tcPr>
            <w:tcW w:w="36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45B4D8C3" w14:textId="77777777" w:rsidR="00587C7F" w:rsidRDefault="00615B75">
            <w:pPr>
              <w:jc w:val="center"/>
            </w:pPr>
            <w:r>
              <w:rPr>
                <w:sz w:val="18"/>
                <w:szCs w:val="18"/>
              </w:rPr>
              <w:t>Primary aluminium smelting output; smelter-level data for Egypt (Egyptalum).</w:t>
            </w:r>
          </w:p>
        </w:tc>
        <w:tc>
          <w:tcPr>
            <w:tcW w:w="28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45EC8B81" w14:textId="77777777" w:rsidR="00587C7F" w:rsidRDefault="00615B75">
            <w:pPr>
              <w:jc w:val="center"/>
            </w:pPr>
            <w:r>
              <w:rPr>
                <w:sz w:val="18"/>
                <w:szCs w:val="18"/>
              </w:rPr>
              <w:t>alu.prp production base</w:t>
            </w:r>
          </w:p>
        </w:tc>
      </w:tr>
      <w:tr w:rsidR="00587C7F" w14:paraId="5BDBDFEE" w14:textId="77777777">
        <w:tc>
          <w:tcPr>
            <w:tcW w:w="28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79C87249" w14:textId="77777777" w:rsidR="00587C7F" w:rsidRDefault="00615B75">
            <w:r>
              <w:rPr>
                <w:sz w:val="18"/>
                <w:szCs w:val="18"/>
              </w:rPr>
              <w:t>Fertilizer International / IFA Production &amp; Trade Database</w:t>
            </w:r>
          </w:p>
        </w:tc>
        <w:tc>
          <w:tcPr>
            <w:tcW w:w="36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19D5533B" w14:textId="77777777" w:rsidR="00587C7F" w:rsidRDefault="00615B75">
            <w:pPr>
              <w:jc w:val="center"/>
            </w:pPr>
            <w:r>
              <w:rPr>
                <w:sz w:val="18"/>
                <w:szCs w:val="18"/>
              </w:rPr>
              <w:t>Ammonia, urea, and ammonium nitrate capacity and output for all five countries.</w:t>
            </w:r>
          </w:p>
        </w:tc>
        <w:tc>
          <w:tcPr>
            <w:tcW w:w="28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27E6C9E3" w14:textId="77777777" w:rsidR="00587C7F" w:rsidRDefault="00615B75">
            <w:pPr>
              <w:jc w:val="center"/>
            </w:pPr>
            <w:r>
              <w:rPr>
                <w:sz w:val="18"/>
                <w:szCs w:val="18"/>
              </w:rPr>
              <w:t>frt.amc, frt.ure, frt.nit production base</w:t>
            </w:r>
          </w:p>
        </w:tc>
      </w:tr>
      <w:tr w:rsidR="00587C7F" w14:paraId="4DC767C6" w14:textId="77777777">
        <w:tc>
          <w:tcPr>
            <w:tcW w:w="28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1D2A9ED4" w14:textId="77777777" w:rsidR="00587C7F" w:rsidRDefault="00615B75">
            <w:r>
              <w:rPr>
                <w:sz w:val="18"/>
                <w:szCs w:val="18"/>
              </w:rPr>
              <w:t>National statistics: CAPMAS (Egypt), INSTAT (Albania), Uzstat (Uzbekistan), SSCA (Azerbaijan), Ministry of Statistics (India)</w:t>
            </w:r>
          </w:p>
        </w:tc>
        <w:tc>
          <w:tcPr>
            <w:tcW w:w="36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071BFE0A" w14:textId="77777777" w:rsidR="00587C7F" w:rsidRDefault="00615B75">
            <w:pPr>
              <w:jc w:val="center"/>
            </w:pPr>
            <w:r>
              <w:rPr>
                <w:sz w:val="18"/>
                <w:szCs w:val="18"/>
              </w:rPr>
              <w:t>Cross-check of production figures and trade shares. Used where IEA or WSA data are unavailable at country level.</w:t>
            </w:r>
          </w:p>
        </w:tc>
        <w:tc>
          <w:tcPr>
            <w:tcW w:w="28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57ED82FF" w14:textId="77777777" w:rsidR="00587C7F" w:rsidRDefault="00615B75">
            <w:pPr>
              <w:jc w:val="center"/>
            </w:pPr>
            <w:r>
              <w:rPr>
                <w:sz w:val="18"/>
                <w:szCs w:val="18"/>
              </w:rPr>
              <w:t>prb and trade share cross-validation</w:t>
            </w:r>
          </w:p>
        </w:tc>
      </w:tr>
      <w:tr w:rsidR="00587C7F" w14:paraId="6AE82393" w14:textId="77777777">
        <w:tc>
          <w:tcPr>
            <w:tcW w:w="28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75E4E96C" w14:textId="77777777" w:rsidR="00587C7F" w:rsidRDefault="00615B75">
            <w:r>
              <w:rPr>
                <w:sz w:val="18"/>
                <w:szCs w:val="18"/>
              </w:rPr>
              <w:t>UN Comtrade HS-2022</w:t>
            </w:r>
          </w:p>
        </w:tc>
        <w:tc>
          <w:tcPr>
            <w:tcW w:w="36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69DBD3E9" w14:textId="77777777" w:rsidR="00587C7F" w:rsidRDefault="00615B75">
            <w:pPr>
              <w:jc w:val="center"/>
            </w:pPr>
            <w:r>
              <w:rPr>
                <w:sz w:val="18"/>
                <w:szCs w:val="18"/>
              </w:rPr>
              <w:t>Bilateral trade flows by CN code for steel, cement, fertilisers, aluminium. Provides EU export share and total export share.</w:t>
            </w:r>
          </w:p>
        </w:tc>
        <w:tc>
          <w:tcPr>
            <w:tcW w:w="28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315D7F44" w14:textId="77777777" w:rsidR="00587C7F" w:rsidRDefault="00615B75">
            <w:pPr>
              <w:jc w:val="center"/>
            </w:pPr>
            <w:r>
              <w:rPr>
                <w:sz w:val="18"/>
                <w:szCs w:val="18"/>
              </w:rPr>
              <w:t>exe (EU export share), ext (total export share)</w:t>
            </w:r>
          </w:p>
        </w:tc>
      </w:tr>
    </w:tbl>
    <w:p w14:paraId="66A9B05E" w14:textId="77777777" w:rsidR="00587C7F" w:rsidRDefault="00587C7F">
      <w:pPr>
        <w:spacing w:before="40" w:after="40"/>
      </w:pPr>
    </w:p>
    <w:p w14:paraId="16DFEAA1" w14:textId="77777777" w:rsidR="00587C7F" w:rsidRDefault="00615B75">
      <w:pPr>
        <w:pStyle w:val="Heading2"/>
        <w:pBdr>
          <w:bottom w:val="single" w:sz="4" w:space="2" w:color="2E75B6"/>
        </w:pBdr>
      </w:pPr>
      <w:r>
        <w:t>B.  Energy intensities</w:t>
      </w:r>
    </w:p>
    <w:p w14:paraId="2738EC38" w14:textId="77777777" w:rsidR="00587C7F" w:rsidRDefault="00615B75">
      <w:pPr>
        <w:spacing w:before="60" w:after="60"/>
      </w:pPr>
      <w:r>
        <w:t>Energy intensity (GJ per tonne of product) is one of the two main drivers of emission intensity. It varies by country, production route, and fuel mix.</w:t>
      </w:r>
    </w:p>
    <w:p w14:paraId="4DCAEFFE" w14:textId="77777777" w:rsidR="00587C7F" w:rsidRDefault="00587C7F">
      <w:pPr>
        <w:spacing w:before="40" w:after="4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3600"/>
        <w:gridCol w:w="2880"/>
      </w:tblGrid>
      <w:tr w:rsidR="00587C7F" w14:paraId="0DA3EDC2" w14:textId="77777777">
        <w:trPr>
          <w:tblHeader/>
        </w:trPr>
        <w:tc>
          <w:tcPr>
            <w:tcW w:w="2880" w:type="dxa"/>
            <w:tcBorders>
              <w:top w:val="single" w:sz="1" w:space="0" w:color="C0C0C0"/>
              <w:left w:val="single" w:sz="1" w:space="0" w:color="C0C0C0"/>
              <w:bottom w:val="single" w:sz="1" w:space="0" w:color="C0C0C0"/>
              <w:right w:val="single" w:sz="1" w:space="0" w:color="C0C0C0"/>
            </w:tcBorders>
            <w:shd w:val="clear" w:color="auto" w:fill="2E75B6"/>
            <w:tcMar>
              <w:top w:w="80" w:type="dxa"/>
              <w:left w:w="120" w:type="dxa"/>
              <w:bottom w:w="80" w:type="dxa"/>
              <w:right w:w="120" w:type="dxa"/>
            </w:tcMar>
            <w:vAlign w:val="center"/>
          </w:tcPr>
          <w:p w14:paraId="7D65C055" w14:textId="77777777" w:rsidR="00587C7F" w:rsidRDefault="00615B75">
            <w:pPr>
              <w:jc w:val="center"/>
            </w:pPr>
            <w:r>
              <w:rPr>
                <w:b/>
                <w:bCs/>
                <w:color w:val="FFFFFF"/>
                <w:sz w:val="16"/>
                <w:szCs w:val="16"/>
              </w:rPr>
              <w:t>Source</w:t>
            </w:r>
          </w:p>
        </w:tc>
        <w:tc>
          <w:tcPr>
            <w:tcW w:w="3600" w:type="dxa"/>
            <w:tcBorders>
              <w:top w:val="single" w:sz="1" w:space="0" w:color="C0C0C0"/>
              <w:left w:val="single" w:sz="1" w:space="0" w:color="C0C0C0"/>
              <w:bottom w:val="single" w:sz="1" w:space="0" w:color="C0C0C0"/>
              <w:right w:val="single" w:sz="1" w:space="0" w:color="C0C0C0"/>
            </w:tcBorders>
            <w:shd w:val="clear" w:color="auto" w:fill="2E75B6"/>
            <w:tcMar>
              <w:top w:w="80" w:type="dxa"/>
              <w:left w:w="120" w:type="dxa"/>
              <w:bottom w:w="80" w:type="dxa"/>
              <w:right w:w="120" w:type="dxa"/>
            </w:tcMar>
            <w:vAlign w:val="center"/>
          </w:tcPr>
          <w:p w14:paraId="43906DA5" w14:textId="77777777" w:rsidR="00587C7F" w:rsidRDefault="00615B75">
            <w:pPr>
              <w:jc w:val="center"/>
            </w:pPr>
            <w:r>
              <w:rPr>
                <w:b/>
                <w:bCs/>
                <w:color w:val="FFFFFF"/>
                <w:sz w:val="16"/>
                <w:szCs w:val="16"/>
              </w:rPr>
              <w:t>What it provides</w:t>
            </w:r>
          </w:p>
        </w:tc>
        <w:tc>
          <w:tcPr>
            <w:tcW w:w="2880" w:type="dxa"/>
            <w:tcBorders>
              <w:top w:val="single" w:sz="1" w:space="0" w:color="C0C0C0"/>
              <w:left w:val="single" w:sz="1" w:space="0" w:color="C0C0C0"/>
              <w:bottom w:val="single" w:sz="1" w:space="0" w:color="C0C0C0"/>
              <w:right w:val="single" w:sz="1" w:space="0" w:color="C0C0C0"/>
            </w:tcBorders>
            <w:shd w:val="clear" w:color="auto" w:fill="2E75B6"/>
            <w:tcMar>
              <w:top w:w="80" w:type="dxa"/>
              <w:left w:w="120" w:type="dxa"/>
              <w:bottom w:w="80" w:type="dxa"/>
              <w:right w:w="120" w:type="dxa"/>
            </w:tcMar>
            <w:vAlign w:val="center"/>
          </w:tcPr>
          <w:p w14:paraId="16CB3B05" w14:textId="77777777" w:rsidR="00587C7F" w:rsidRDefault="00615B75">
            <w:pPr>
              <w:jc w:val="center"/>
            </w:pPr>
            <w:r>
              <w:rPr>
                <w:b/>
                <w:bCs/>
                <w:color w:val="FFFFFF"/>
                <w:sz w:val="16"/>
                <w:szCs w:val="16"/>
              </w:rPr>
              <w:t>Where used</w:t>
            </w:r>
          </w:p>
        </w:tc>
      </w:tr>
      <w:tr w:rsidR="00587C7F" w14:paraId="202CF263" w14:textId="77777777">
        <w:tc>
          <w:tcPr>
            <w:tcW w:w="28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64E4F521" w14:textId="77777777" w:rsidR="00587C7F" w:rsidRDefault="00615B75">
            <w:r>
              <w:rPr>
                <w:sz w:val="18"/>
                <w:szCs w:val="18"/>
              </w:rPr>
              <w:t>IEA World Energy Balances 2024 + IEA Industrial Energy Technology and Policies</w:t>
            </w:r>
          </w:p>
        </w:tc>
        <w:tc>
          <w:tcPr>
            <w:tcW w:w="36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3E9CE208" w14:textId="77777777" w:rsidR="00587C7F" w:rsidRDefault="00615B75">
            <w:pPr>
              <w:jc w:val="center"/>
            </w:pPr>
            <w:r>
              <w:rPr>
                <w:sz w:val="18"/>
                <w:szCs w:val="18"/>
              </w:rPr>
              <w:t>Sector-level energy consumption divided by output for each country. Used to derive GJ/t for combustion and process energy by fuel type.</w:t>
            </w:r>
          </w:p>
        </w:tc>
        <w:tc>
          <w:tcPr>
            <w:tcW w:w="28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23982E17" w14:textId="77777777" w:rsidR="00587C7F" w:rsidRDefault="00615B75">
            <w:pPr>
              <w:jc w:val="center"/>
            </w:pPr>
            <w:r>
              <w:rPr>
                <w:sz w:val="18"/>
                <w:szCs w:val="18"/>
              </w:rPr>
              <w:t>enc (combustion GJ/t), enp (process GJ/t)</w:t>
            </w:r>
          </w:p>
        </w:tc>
      </w:tr>
      <w:tr w:rsidR="00587C7F" w14:paraId="19A97467" w14:textId="77777777">
        <w:tc>
          <w:tcPr>
            <w:tcW w:w="28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775B851F" w14:textId="77777777" w:rsidR="00587C7F" w:rsidRDefault="00615B75">
            <w:r>
              <w:rPr>
                <w:sz w:val="18"/>
                <w:szCs w:val="18"/>
              </w:rPr>
              <w:t>World Steel Association — Energy Use in the Steel Industry (2023 update)</w:t>
            </w:r>
          </w:p>
        </w:tc>
        <w:tc>
          <w:tcPr>
            <w:tcW w:w="36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0D0EE935" w14:textId="77777777" w:rsidR="00587C7F" w:rsidRDefault="00615B75">
            <w:pPr>
              <w:jc w:val="center"/>
            </w:pPr>
            <w:r>
              <w:rPr>
                <w:sz w:val="18"/>
                <w:szCs w:val="18"/>
              </w:rPr>
              <w:t>Route-specific energy intensities for EAF, BOF, and DRI steelmaking. Covers coal, natural gas, electricity, and other fuels separately for combustion and reduction.</w:t>
            </w:r>
          </w:p>
        </w:tc>
        <w:tc>
          <w:tcPr>
            <w:tcW w:w="28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10153BF2" w14:textId="77777777" w:rsidR="00587C7F" w:rsidRDefault="00615B75">
            <w:pPr>
              <w:jc w:val="center"/>
            </w:pPr>
            <w:r>
              <w:rPr>
                <w:sz w:val="18"/>
                <w:szCs w:val="18"/>
              </w:rPr>
              <w:t>enc and enp for stl.drg, stl.scr, stl.bof</w:t>
            </w:r>
          </w:p>
        </w:tc>
      </w:tr>
      <w:tr w:rsidR="00587C7F" w14:paraId="71D0746A" w14:textId="77777777">
        <w:tc>
          <w:tcPr>
            <w:tcW w:w="28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14E363D2" w14:textId="77777777" w:rsidR="00587C7F" w:rsidRDefault="00615B75">
            <w:r>
              <w:rPr>
                <w:sz w:val="18"/>
                <w:szCs w:val="18"/>
              </w:rPr>
              <w:t>Cement Sustainability Initiative / Global Cement and Concrete Research Network (GCCA) — Getting the Numbers Right</w:t>
            </w:r>
          </w:p>
        </w:tc>
        <w:tc>
          <w:tcPr>
            <w:tcW w:w="36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72791EF1" w14:textId="77777777" w:rsidR="00587C7F" w:rsidRDefault="00615B75">
            <w:pPr>
              <w:jc w:val="center"/>
            </w:pPr>
            <w:r>
              <w:rPr>
                <w:sz w:val="18"/>
                <w:szCs w:val="18"/>
              </w:rPr>
              <w:t>Plant-level and country-average specific thermal energy consumption (GJ/t clinker) and electricity intensity for cement kilns.</w:t>
            </w:r>
          </w:p>
        </w:tc>
        <w:tc>
          <w:tcPr>
            <w:tcW w:w="28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2BA4F179" w14:textId="77777777" w:rsidR="00587C7F" w:rsidRDefault="00615B75">
            <w:pPr>
              <w:jc w:val="center"/>
            </w:pPr>
            <w:r>
              <w:rPr>
                <w:sz w:val="18"/>
                <w:szCs w:val="18"/>
              </w:rPr>
              <w:t>enc and ele for cmt.dry</w:t>
            </w:r>
          </w:p>
        </w:tc>
      </w:tr>
      <w:tr w:rsidR="00587C7F" w14:paraId="63C610A8" w14:textId="77777777">
        <w:tc>
          <w:tcPr>
            <w:tcW w:w="28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650EEEF5" w14:textId="77777777" w:rsidR="00587C7F" w:rsidRDefault="00615B75">
            <w:r>
              <w:rPr>
                <w:sz w:val="18"/>
                <w:szCs w:val="18"/>
              </w:rPr>
              <w:lastRenderedPageBreak/>
              <w:t>International Aluminium Institute — Aluminium Sector Greenhouse Gas Pathways to 2050</w:t>
            </w:r>
          </w:p>
        </w:tc>
        <w:tc>
          <w:tcPr>
            <w:tcW w:w="36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08F20EF0" w14:textId="77777777" w:rsidR="00587C7F" w:rsidRDefault="00615B75">
            <w:pPr>
              <w:jc w:val="center"/>
            </w:pPr>
            <w:r>
              <w:rPr>
                <w:sz w:val="18"/>
                <w:szCs w:val="18"/>
              </w:rPr>
              <w:t>Smelter energy intensity by country (GJ/t Al): anode baking, electrolysis electricity, and casting. Egyptalum-specific data from IAI country reports.</w:t>
            </w:r>
          </w:p>
        </w:tc>
        <w:tc>
          <w:tcPr>
            <w:tcW w:w="28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4933D02C" w14:textId="77777777" w:rsidR="00587C7F" w:rsidRDefault="00615B75">
            <w:pPr>
              <w:jc w:val="center"/>
            </w:pPr>
            <w:r>
              <w:rPr>
                <w:sz w:val="18"/>
                <w:szCs w:val="18"/>
              </w:rPr>
              <w:t>enc, ele for alu.prp</w:t>
            </w:r>
          </w:p>
        </w:tc>
      </w:tr>
      <w:tr w:rsidR="00587C7F" w14:paraId="4BFE4405" w14:textId="77777777">
        <w:tc>
          <w:tcPr>
            <w:tcW w:w="28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4079F3B8" w14:textId="77777777" w:rsidR="00587C7F" w:rsidRDefault="00615B75">
            <w:r>
              <w:rPr>
                <w:sz w:val="18"/>
                <w:szCs w:val="18"/>
              </w:rPr>
              <w:t>IFA / EFMA — Best Available Techniques for Pollution Prevention and Control in the European Fertiliser Industry</w:t>
            </w:r>
          </w:p>
        </w:tc>
        <w:tc>
          <w:tcPr>
            <w:tcW w:w="36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2187A8E5" w14:textId="77777777" w:rsidR="00587C7F" w:rsidRDefault="00615B75">
            <w:pPr>
              <w:jc w:val="center"/>
            </w:pPr>
            <w:r>
              <w:rPr>
                <w:sz w:val="18"/>
                <w:szCs w:val="18"/>
              </w:rPr>
              <w:t>Natural gas feedstock and fuel consumption per tonne of ammonia, urea, and ammonium nitrate for different process configurations (SMR, urea synthesis, HNO₃ routes).</w:t>
            </w:r>
          </w:p>
        </w:tc>
        <w:tc>
          <w:tcPr>
            <w:tcW w:w="28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6C6724DE" w14:textId="77777777" w:rsidR="00587C7F" w:rsidRDefault="00615B75">
            <w:pPr>
              <w:jc w:val="center"/>
            </w:pPr>
            <w:r>
              <w:rPr>
                <w:sz w:val="18"/>
                <w:szCs w:val="18"/>
              </w:rPr>
              <w:t>enp (SMR process NG), enc for frt.amc, frt.ure, frt.nit</w:t>
            </w:r>
          </w:p>
        </w:tc>
      </w:tr>
      <w:tr w:rsidR="00587C7F" w14:paraId="499CFE4C" w14:textId="77777777">
        <w:tc>
          <w:tcPr>
            <w:tcW w:w="28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748458E4" w14:textId="77777777" w:rsidR="00587C7F" w:rsidRDefault="00615B75">
            <w:r>
              <w:rPr>
                <w:sz w:val="18"/>
                <w:szCs w:val="18"/>
              </w:rPr>
              <w:t>JRC BREF documents (Best Available Techniques Reference)</w:t>
            </w:r>
          </w:p>
        </w:tc>
        <w:tc>
          <w:tcPr>
            <w:tcW w:w="36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1453244F" w14:textId="77777777" w:rsidR="00587C7F" w:rsidRDefault="00615B75">
            <w:pPr>
              <w:jc w:val="center"/>
            </w:pPr>
            <w:r>
              <w:rPr>
                <w:sz w:val="18"/>
                <w:szCs w:val="18"/>
              </w:rPr>
              <w:t>Cross-check for energy intensities in cement (CLM BREF 2013) and non-ferrous metals (NFM BREF 2017). Used to validate country-specific inputs against EU benchmarks.</w:t>
            </w:r>
          </w:p>
        </w:tc>
        <w:tc>
          <w:tcPr>
            <w:tcW w:w="28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54A49961" w14:textId="77777777" w:rsidR="00587C7F" w:rsidRDefault="00615B75">
            <w:pPr>
              <w:jc w:val="center"/>
            </w:pPr>
            <w:r>
              <w:rPr>
                <w:sz w:val="18"/>
                <w:szCs w:val="18"/>
              </w:rPr>
              <w:t>Cross-validation</w:t>
            </w:r>
          </w:p>
        </w:tc>
      </w:tr>
      <w:tr w:rsidR="00587C7F" w14:paraId="73F0B6A6" w14:textId="77777777">
        <w:tc>
          <w:tcPr>
            <w:tcW w:w="28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26D47E35" w14:textId="77777777" w:rsidR="00587C7F" w:rsidRDefault="00615B75">
            <w:r>
              <w:rPr>
                <w:sz w:val="18"/>
                <w:szCs w:val="18"/>
              </w:rPr>
              <w:t>Country-specific operator data (Egypt)</w:t>
            </w:r>
          </w:p>
        </w:tc>
        <w:tc>
          <w:tcPr>
            <w:tcW w:w="36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40FA6D81" w14:textId="77777777" w:rsidR="00587C7F" w:rsidRDefault="00615B75">
            <w:pPr>
              <w:jc w:val="center"/>
            </w:pPr>
            <w:r>
              <w:rPr>
                <w:sz w:val="18"/>
                <w:szCs w:val="18"/>
              </w:rPr>
              <w:t>Facility-level energy data for Ezz Steel (DRI and EAF), Helwan Cement, Abu Qir Fertilisers, and Egyptalum, from company sustainability reports and World Bank missions.</w:t>
            </w:r>
          </w:p>
        </w:tc>
        <w:tc>
          <w:tcPr>
            <w:tcW w:w="28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6247B4D2" w14:textId="77777777" w:rsidR="00587C7F" w:rsidRDefault="00615B75">
            <w:pPr>
              <w:jc w:val="center"/>
            </w:pPr>
            <w:r>
              <w:rPr>
                <w:sz w:val="18"/>
                <w:szCs w:val="18"/>
              </w:rPr>
              <w:t>egypt_facilities tab; cross-validation of national inputs</w:t>
            </w:r>
          </w:p>
        </w:tc>
      </w:tr>
    </w:tbl>
    <w:p w14:paraId="749C00C1" w14:textId="77777777" w:rsidR="00587C7F" w:rsidRDefault="00587C7F">
      <w:pPr>
        <w:spacing w:before="40" w:after="40"/>
      </w:pPr>
    </w:p>
    <w:p w14:paraId="1FD5CF19" w14:textId="77777777" w:rsidR="00587C7F" w:rsidRDefault="00615B75">
      <w:pPr>
        <w:pStyle w:val="Heading2"/>
        <w:pBdr>
          <w:bottom w:val="single" w:sz="4" w:space="2" w:color="2E75B6"/>
        </w:pBdr>
      </w:pPr>
      <w:r>
        <w:t>C.  Emission factors</w:t>
      </w:r>
    </w:p>
    <w:p w14:paraId="6876A39C" w14:textId="77777777" w:rsidR="00587C7F" w:rsidRDefault="00615B75">
      <w:pPr>
        <w:spacing w:before="60" w:after="60"/>
      </w:pPr>
      <w:r>
        <w:t>Emission factors convert energy consumption and process activity into tonnes of CO₂ or CO₂e. The model uses three types: combustion EFs (fuel-based), process EFs (activity-based), and GHG GWP factors.</w:t>
      </w:r>
    </w:p>
    <w:p w14:paraId="2A6F73FC" w14:textId="77777777" w:rsidR="00587C7F" w:rsidRDefault="00587C7F">
      <w:pPr>
        <w:spacing w:before="40" w:after="4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3600"/>
        <w:gridCol w:w="2880"/>
      </w:tblGrid>
      <w:tr w:rsidR="00587C7F" w14:paraId="309772D3" w14:textId="77777777">
        <w:trPr>
          <w:tblHeader/>
        </w:trPr>
        <w:tc>
          <w:tcPr>
            <w:tcW w:w="2880" w:type="dxa"/>
            <w:tcBorders>
              <w:top w:val="single" w:sz="1" w:space="0" w:color="C0C0C0"/>
              <w:left w:val="single" w:sz="1" w:space="0" w:color="C0C0C0"/>
              <w:bottom w:val="single" w:sz="1" w:space="0" w:color="C0C0C0"/>
              <w:right w:val="single" w:sz="1" w:space="0" w:color="C0C0C0"/>
            </w:tcBorders>
            <w:shd w:val="clear" w:color="auto" w:fill="2E75B6"/>
            <w:tcMar>
              <w:top w:w="80" w:type="dxa"/>
              <w:left w:w="120" w:type="dxa"/>
              <w:bottom w:w="80" w:type="dxa"/>
              <w:right w:w="120" w:type="dxa"/>
            </w:tcMar>
            <w:vAlign w:val="center"/>
          </w:tcPr>
          <w:p w14:paraId="10C15BFF" w14:textId="77777777" w:rsidR="00587C7F" w:rsidRDefault="00615B75">
            <w:pPr>
              <w:jc w:val="center"/>
            </w:pPr>
            <w:r>
              <w:rPr>
                <w:b/>
                <w:bCs/>
                <w:color w:val="FFFFFF"/>
                <w:sz w:val="16"/>
                <w:szCs w:val="16"/>
              </w:rPr>
              <w:t>Source</w:t>
            </w:r>
          </w:p>
        </w:tc>
        <w:tc>
          <w:tcPr>
            <w:tcW w:w="3600" w:type="dxa"/>
            <w:tcBorders>
              <w:top w:val="single" w:sz="1" w:space="0" w:color="C0C0C0"/>
              <w:left w:val="single" w:sz="1" w:space="0" w:color="C0C0C0"/>
              <w:bottom w:val="single" w:sz="1" w:space="0" w:color="C0C0C0"/>
              <w:right w:val="single" w:sz="1" w:space="0" w:color="C0C0C0"/>
            </w:tcBorders>
            <w:shd w:val="clear" w:color="auto" w:fill="2E75B6"/>
            <w:tcMar>
              <w:top w:w="80" w:type="dxa"/>
              <w:left w:w="120" w:type="dxa"/>
              <w:bottom w:w="80" w:type="dxa"/>
              <w:right w:w="120" w:type="dxa"/>
            </w:tcMar>
            <w:vAlign w:val="center"/>
          </w:tcPr>
          <w:p w14:paraId="64F30A1F" w14:textId="77777777" w:rsidR="00587C7F" w:rsidRDefault="00615B75">
            <w:pPr>
              <w:jc w:val="center"/>
            </w:pPr>
            <w:r>
              <w:rPr>
                <w:b/>
                <w:bCs/>
                <w:color w:val="FFFFFF"/>
                <w:sz w:val="16"/>
                <w:szCs w:val="16"/>
              </w:rPr>
              <w:t>Factors used</w:t>
            </w:r>
          </w:p>
        </w:tc>
        <w:tc>
          <w:tcPr>
            <w:tcW w:w="2880" w:type="dxa"/>
            <w:tcBorders>
              <w:top w:val="single" w:sz="1" w:space="0" w:color="C0C0C0"/>
              <w:left w:val="single" w:sz="1" w:space="0" w:color="C0C0C0"/>
              <w:bottom w:val="single" w:sz="1" w:space="0" w:color="C0C0C0"/>
              <w:right w:val="single" w:sz="1" w:space="0" w:color="C0C0C0"/>
            </w:tcBorders>
            <w:shd w:val="clear" w:color="auto" w:fill="2E75B6"/>
            <w:tcMar>
              <w:top w:w="80" w:type="dxa"/>
              <w:left w:w="120" w:type="dxa"/>
              <w:bottom w:w="80" w:type="dxa"/>
              <w:right w:w="120" w:type="dxa"/>
            </w:tcMar>
            <w:vAlign w:val="center"/>
          </w:tcPr>
          <w:p w14:paraId="5AD821D9" w14:textId="77777777" w:rsidR="00587C7F" w:rsidRDefault="00615B75">
            <w:pPr>
              <w:jc w:val="center"/>
            </w:pPr>
            <w:r>
              <w:rPr>
                <w:b/>
                <w:bCs/>
                <w:color w:val="FFFFFF"/>
                <w:sz w:val="16"/>
                <w:szCs w:val="16"/>
              </w:rPr>
              <w:t>Value in model</w:t>
            </w:r>
          </w:p>
        </w:tc>
      </w:tr>
      <w:tr w:rsidR="00587C7F" w14:paraId="1D6C4F24" w14:textId="77777777">
        <w:tc>
          <w:tcPr>
            <w:tcW w:w="28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3D1CDF32" w14:textId="77777777" w:rsidR="00587C7F" w:rsidRDefault="00615B75">
            <w:r>
              <w:rPr>
                <w:sz w:val="18"/>
                <w:szCs w:val="18"/>
              </w:rPr>
              <w:t>IPCC 2006 Guidelines for National Greenhouse Gas Inventories — Volume 2, Energy (Table 2.2)</w:t>
            </w:r>
          </w:p>
        </w:tc>
        <w:tc>
          <w:tcPr>
            <w:tcW w:w="36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17AB5323" w14:textId="77777777" w:rsidR="00587C7F" w:rsidRDefault="00615B75">
            <w:pPr>
              <w:jc w:val="center"/>
            </w:pPr>
            <w:r>
              <w:rPr>
                <w:sz w:val="18"/>
                <w:szCs w:val="18"/>
              </w:rPr>
              <w:t>Default emission factors for stationary combustion by fuel type, net calorific value basis.</w:t>
            </w:r>
          </w:p>
        </w:tc>
        <w:tc>
          <w:tcPr>
            <w:tcW w:w="28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22A1349E" w14:textId="77777777" w:rsidR="00587C7F" w:rsidRDefault="00615B75">
            <w:pPr>
              <w:jc w:val="center"/>
            </w:pPr>
            <w:r>
              <w:rPr>
                <w:sz w:val="18"/>
                <w:szCs w:val="18"/>
              </w:rPr>
              <w:t>Coal 96.1 kgCO₂/GJ; Natural gas 56.1; Diesel 74.1; Gasoline 69.3; Kerosene 71.9; LPG 63.1; Biomass 0; Renewables 0</w:t>
            </w:r>
          </w:p>
        </w:tc>
      </w:tr>
      <w:tr w:rsidR="00587C7F" w14:paraId="4D81EB20" w14:textId="77777777">
        <w:tc>
          <w:tcPr>
            <w:tcW w:w="28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5F24E554" w14:textId="77777777" w:rsidR="00587C7F" w:rsidRDefault="00615B75">
            <w:r>
              <w:rPr>
                <w:sz w:val="18"/>
                <w:szCs w:val="18"/>
              </w:rPr>
              <w:t>IPCC 2006 Guidelines — Volume 2, Chapter 2A (Cement)</w:t>
            </w:r>
          </w:p>
        </w:tc>
        <w:tc>
          <w:tcPr>
            <w:tcW w:w="36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257EABC6" w14:textId="77777777" w:rsidR="00587C7F" w:rsidRDefault="00615B75">
            <w:pPr>
              <w:jc w:val="center"/>
            </w:pPr>
            <w:r>
              <w:rPr>
                <w:sz w:val="18"/>
                <w:szCs w:val="18"/>
              </w:rPr>
              <w:t>Calcination emission factor for grey clinker production: CO₂ released per tonne of clinker from limestone decomposition.</w:t>
            </w:r>
          </w:p>
        </w:tc>
        <w:tc>
          <w:tcPr>
            <w:tcW w:w="28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07907FC2" w14:textId="77777777" w:rsidR="00587C7F" w:rsidRDefault="00615B75">
            <w:pPr>
              <w:jc w:val="center"/>
            </w:pPr>
            <w:r>
              <w:rPr>
                <w:sz w:val="18"/>
                <w:szCs w:val="18"/>
              </w:rPr>
              <w:t>0.526 tCO₂/t clinker (efn for cmt.dry)</w:t>
            </w:r>
          </w:p>
        </w:tc>
      </w:tr>
      <w:tr w:rsidR="00587C7F" w14:paraId="64D60F9A" w14:textId="77777777">
        <w:tc>
          <w:tcPr>
            <w:tcW w:w="28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0C260691" w14:textId="77777777" w:rsidR="00587C7F" w:rsidRDefault="00615B75">
            <w:r>
              <w:rPr>
                <w:sz w:val="18"/>
                <w:szCs w:val="18"/>
              </w:rPr>
              <w:t>IPCC 2006 Guidelines — Volume 2, Chapter 2C (Metal production)</w:t>
            </w:r>
          </w:p>
        </w:tc>
        <w:tc>
          <w:tcPr>
            <w:tcW w:w="36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29D69748" w14:textId="77777777" w:rsidR="00587C7F" w:rsidRDefault="00615B75">
            <w:pPr>
              <w:jc w:val="center"/>
            </w:pPr>
            <w:r>
              <w:rPr>
                <w:sz w:val="18"/>
                <w:szCs w:val="18"/>
              </w:rPr>
              <w:t>Carbon anode consumption emission factor for primary aluminium Hall–Héroult process.</w:t>
            </w:r>
          </w:p>
        </w:tc>
        <w:tc>
          <w:tcPr>
            <w:tcW w:w="28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28767E3F" w14:textId="77777777" w:rsidR="00587C7F" w:rsidRDefault="00615B75">
            <w:pPr>
              <w:jc w:val="center"/>
            </w:pPr>
            <w:r>
              <w:rPr>
                <w:sz w:val="18"/>
                <w:szCs w:val="18"/>
              </w:rPr>
              <w:t>1.5 tCO₂/t Al (efn for alu.prp)</w:t>
            </w:r>
          </w:p>
        </w:tc>
      </w:tr>
      <w:tr w:rsidR="00587C7F" w14:paraId="14A64505" w14:textId="77777777">
        <w:tc>
          <w:tcPr>
            <w:tcW w:w="28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03216330" w14:textId="77777777" w:rsidR="00587C7F" w:rsidRDefault="00615B75">
            <w:r>
              <w:rPr>
                <w:sz w:val="18"/>
                <w:szCs w:val="18"/>
              </w:rPr>
              <w:t>IPCC 2006 Guidelines — Volume 2, Chapter 3G (Chemical industry: N₂O)</w:t>
            </w:r>
          </w:p>
        </w:tc>
        <w:tc>
          <w:tcPr>
            <w:tcW w:w="36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32E6CC8E" w14:textId="77777777" w:rsidR="00587C7F" w:rsidRDefault="00615B75">
            <w:pPr>
              <w:jc w:val="center"/>
            </w:pPr>
            <w:r>
              <w:rPr>
                <w:sz w:val="18"/>
                <w:szCs w:val="18"/>
              </w:rPr>
              <w:t>N₂O emission factor for nitric acid (HNO₃) production, per tonne of HNO₃. Range 0.3–9.0 kg N₂O/t; model uses midpoint with abatement.</w:t>
            </w:r>
          </w:p>
        </w:tc>
        <w:tc>
          <w:tcPr>
            <w:tcW w:w="28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5B422C31" w14:textId="77777777" w:rsidR="00587C7F" w:rsidRDefault="00615B75">
            <w:pPr>
              <w:jc w:val="center"/>
            </w:pPr>
            <w:r>
              <w:rPr>
                <w:sz w:val="18"/>
                <w:szCs w:val="18"/>
              </w:rPr>
              <w:t>2.5 tCO₂e/t AN midpoint (efo for frt.nit)</w:t>
            </w:r>
          </w:p>
        </w:tc>
      </w:tr>
      <w:tr w:rsidR="00587C7F" w14:paraId="52E308B7" w14:textId="77777777">
        <w:tc>
          <w:tcPr>
            <w:tcW w:w="28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49B295E6" w14:textId="77777777" w:rsidR="00587C7F" w:rsidRDefault="00615B75">
            <w:r>
              <w:rPr>
                <w:sz w:val="18"/>
                <w:szCs w:val="18"/>
              </w:rPr>
              <w:t>IPCC AR6 WG1 Annex II, Table AII.1.2 — GWP100 values</w:t>
            </w:r>
          </w:p>
        </w:tc>
        <w:tc>
          <w:tcPr>
            <w:tcW w:w="36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632D8486" w14:textId="77777777" w:rsidR="00587C7F" w:rsidRDefault="00615B75">
            <w:pPr>
              <w:jc w:val="center"/>
            </w:pPr>
            <w:r>
              <w:rPr>
                <w:sz w:val="18"/>
                <w:szCs w:val="18"/>
              </w:rPr>
              <w:t>Global warming potentials for PFCs used in aluminium smelting: CF₄ and C₂F₆.</w:t>
            </w:r>
          </w:p>
        </w:tc>
        <w:tc>
          <w:tcPr>
            <w:tcW w:w="28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6441FF11" w14:textId="77777777" w:rsidR="00587C7F" w:rsidRDefault="00615B75">
            <w:pPr>
              <w:jc w:val="center"/>
            </w:pPr>
            <w:r>
              <w:rPr>
                <w:sz w:val="18"/>
                <w:szCs w:val="18"/>
              </w:rPr>
              <w:t>PFC factor 0.70 tCO₂e/t Al (efo for alu.prp); N₂O GWP = 273</w:t>
            </w:r>
          </w:p>
        </w:tc>
      </w:tr>
      <w:tr w:rsidR="00587C7F" w14:paraId="0C4EC95D" w14:textId="77777777">
        <w:tc>
          <w:tcPr>
            <w:tcW w:w="28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6AD230A4" w14:textId="77777777" w:rsidR="00587C7F" w:rsidRDefault="00615B75">
            <w:r>
              <w:rPr>
                <w:sz w:val="18"/>
                <w:szCs w:val="18"/>
              </w:rPr>
              <w:t>IPCC 2006 Guidelines — Volume 2, Chapter 2C.1 (Iron and steel, BOF)</w:t>
            </w:r>
          </w:p>
        </w:tc>
        <w:tc>
          <w:tcPr>
            <w:tcW w:w="36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1CA0ED74" w14:textId="77777777" w:rsidR="00587C7F" w:rsidRDefault="00615B75">
            <w:pPr>
              <w:jc w:val="center"/>
            </w:pPr>
            <w:r>
              <w:rPr>
                <w:sz w:val="18"/>
                <w:szCs w:val="18"/>
              </w:rPr>
              <w:t>Carbon dissolution and emission in basic oxygen furnace: CO₂ from carbon dissolved in pig iron released during blowing.</w:t>
            </w:r>
          </w:p>
        </w:tc>
        <w:tc>
          <w:tcPr>
            <w:tcW w:w="28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64C247F1" w14:textId="77777777" w:rsidR="00587C7F" w:rsidRDefault="00615B75">
            <w:pPr>
              <w:jc w:val="center"/>
            </w:pPr>
            <w:r>
              <w:rPr>
                <w:sz w:val="18"/>
                <w:szCs w:val="18"/>
              </w:rPr>
              <w:t>0.25 tCO₂/t crude steel (efn for stl.bof)</w:t>
            </w:r>
          </w:p>
        </w:tc>
      </w:tr>
      <w:tr w:rsidR="00587C7F" w14:paraId="23C57BA8" w14:textId="77777777">
        <w:tc>
          <w:tcPr>
            <w:tcW w:w="28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458F9BF9" w14:textId="77777777" w:rsidR="00587C7F" w:rsidRDefault="00615B75">
            <w:r>
              <w:rPr>
                <w:sz w:val="18"/>
                <w:szCs w:val="18"/>
              </w:rPr>
              <w:t>IFA / EFMA — Urea synthesis convention (CO₂ uptake)</w:t>
            </w:r>
          </w:p>
        </w:tc>
        <w:tc>
          <w:tcPr>
            <w:tcW w:w="36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315F7939" w14:textId="77777777" w:rsidR="00587C7F" w:rsidRDefault="00615B75">
            <w:pPr>
              <w:jc w:val="center"/>
            </w:pPr>
            <w:r>
              <w:rPr>
                <w:sz w:val="18"/>
                <w:szCs w:val="18"/>
              </w:rPr>
              <w:t xml:space="preserve">Net CO₂ absorbed during urea synthesis reaction (CO₂ + 2NH₃ → urea). This reduces the process emission factor for urea — the CO₂ is re-emitted when urea </w:t>
            </w:r>
            <w:r>
              <w:rPr>
                <w:sz w:val="18"/>
                <w:szCs w:val="18"/>
              </w:rPr>
              <w:lastRenderedPageBreak/>
              <w:t>is applied to soil but that is outside the production system boundary.</w:t>
            </w:r>
          </w:p>
        </w:tc>
        <w:tc>
          <w:tcPr>
            <w:tcW w:w="28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36BA4A69" w14:textId="77777777" w:rsidR="00587C7F" w:rsidRDefault="00615B75">
            <w:pPr>
              <w:jc w:val="center"/>
            </w:pPr>
            <w:r>
              <w:rPr>
                <w:sz w:val="18"/>
                <w:szCs w:val="18"/>
              </w:rPr>
              <w:lastRenderedPageBreak/>
              <w:t>−0.733 tCO₂/t urea (efn for frt.ure)</w:t>
            </w:r>
          </w:p>
        </w:tc>
      </w:tr>
    </w:tbl>
    <w:p w14:paraId="6A25A9E1" w14:textId="77777777" w:rsidR="00587C7F" w:rsidRDefault="00587C7F">
      <w:pPr>
        <w:spacing w:before="40" w:after="40"/>
      </w:pPr>
    </w:p>
    <w:p w14:paraId="41F31260" w14:textId="77777777" w:rsidR="00587C7F" w:rsidRDefault="00615B75">
      <w:pPr>
        <w:pStyle w:val="Heading2"/>
        <w:pBdr>
          <w:bottom w:val="single" w:sz="4" w:space="2" w:color="2E75B6"/>
        </w:pBdr>
      </w:pPr>
      <w:r>
        <w:t>D.  Grid emission factors</w:t>
      </w:r>
    </w:p>
    <w:p w14:paraId="2514CD76" w14:textId="77777777" w:rsidR="00587C7F" w:rsidRDefault="00615B75">
      <w:pPr>
        <w:spacing w:before="60" w:after="60"/>
      </w:pPr>
      <w:r>
        <w:t>Grid emission factors (tCO₂e/MWh) vary by country and year. They drive the S2 (electricity) component of emission intensity.</w:t>
      </w:r>
    </w:p>
    <w:p w14:paraId="2A1AE084" w14:textId="77777777" w:rsidR="00587C7F" w:rsidRDefault="00587C7F">
      <w:pPr>
        <w:spacing w:before="40" w:after="4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3600"/>
        <w:gridCol w:w="2880"/>
      </w:tblGrid>
      <w:tr w:rsidR="00587C7F" w14:paraId="6EDBD600" w14:textId="77777777">
        <w:trPr>
          <w:tblHeader/>
        </w:trPr>
        <w:tc>
          <w:tcPr>
            <w:tcW w:w="2880" w:type="dxa"/>
            <w:tcBorders>
              <w:top w:val="single" w:sz="1" w:space="0" w:color="C0C0C0"/>
              <w:left w:val="single" w:sz="1" w:space="0" w:color="C0C0C0"/>
              <w:bottom w:val="single" w:sz="1" w:space="0" w:color="C0C0C0"/>
              <w:right w:val="single" w:sz="1" w:space="0" w:color="C0C0C0"/>
            </w:tcBorders>
            <w:shd w:val="clear" w:color="auto" w:fill="2E75B6"/>
            <w:tcMar>
              <w:top w:w="80" w:type="dxa"/>
              <w:left w:w="120" w:type="dxa"/>
              <w:bottom w:w="80" w:type="dxa"/>
              <w:right w:w="120" w:type="dxa"/>
            </w:tcMar>
            <w:vAlign w:val="center"/>
          </w:tcPr>
          <w:p w14:paraId="6423E7B7" w14:textId="77777777" w:rsidR="00587C7F" w:rsidRDefault="00615B75">
            <w:pPr>
              <w:jc w:val="center"/>
            </w:pPr>
            <w:r>
              <w:rPr>
                <w:b/>
                <w:bCs/>
                <w:color w:val="FFFFFF"/>
                <w:sz w:val="16"/>
                <w:szCs w:val="16"/>
              </w:rPr>
              <w:t>Source</w:t>
            </w:r>
          </w:p>
        </w:tc>
        <w:tc>
          <w:tcPr>
            <w:tcW w:w="3600" w:type="dxa"/>
            <w:tcBorders>
              <w:top w:val="single" w:sz="1" w:space="0" w:color="C0C0C0"/>
              <w:left w:val="single" w:sz="1" w:space="0" w:color="C0C0C0"/>
              <w:bottom w:val="single" w:sz="1" w:space="0" w:color="C0C0C0"/>
              <w:right w:val="single" w:sz="1" w:space="0" w:color="C0C0C0"/>
            </w:tcBorders>
            <w:shd w:val="clear" w:color="auto" w:fill="2E75B6"/>
            <w:tcMar>
              <w:top w:w="80" w:type="dxa"/>
              <w:left w:w="120" w:type="dxa"/>
              <w:bottom w:w="80" w:type="dxa"/>
              <w:right w:w="120" w:type="dxa"/>
            </w:tcMar>
            <w:vAlign w:val="center"/>
          </w:tcPr>
          <w:p w14:paraId="507D476C" w14:textId="77777777" w:rsidR="00587C7F" w:rsidRDefault="00615B75">
            <w:pPr>
              <w:jc w:val="center"/>
            </w:pPr>
            <w:r>
              <w:rPr>
                <w:b/>
                <w:bCs/>
                <w:color w:val="FFFFFF"/>
                <w:sz w:val="16"/>
                <w:szCs w:val="16"/>
              </w:rPr>
              <w:t>What it provides</w:t>
            </w:r>
          </w:p>
        </w:tc>
        <w:tc>
          <w:tcPr>
            <w:tcW w:w="2880" w:type="dxa"/>
            <w:tcBorders>
              <w:top w:val="single" w:sz="1" w:space="0" w:color="C0C0C0"/>
              <w:left w:val="single" w:sz="1" w:space="0" w:color="C0C0C0"/>
              <w:bottom w:val="single" w:sz="1" w:space="0" w:color="C0C0C0"/>
              <w:right w:val="single" w:sz="1" w:space="0" w:color="C0C0C0"/>
            </w:tcBorders>
            <w:shd w:val="clear" w:color="auto" w:fill="2E75B6"/>
            <w:tcMar>
              <w:top w:w="80" w:type="dxa"/>
              <w:left w:w="120" w:type="dxa"/>
              <w:bottom w:w="80" w:type="dxa"/>
              <w:right w:w="120" w:type="dxa"/>
            </w:tcMar>
            <w:vAlign w:val="center"/>
          </w:tcPr>
          <w:p w14:paraId="7129E24F" w14:textId="77777777" w:rsidR="00587C7F" w:rsidRDefault="00615B75">
            <w:pPr>
              <w:jc w:val="center"/>
            </w:pPr>
            <w:r>
              <w:rPr>
                <w:b/>
                <w:bCs/>
                <w:color w:val="FFFFFF"/>
                <w:sz w:val="16"/>
                <w:szCs w:val="16"/>
              </w:rPr>
              <w:t>Coverage</w:t>
            </w:r>
          </w:p>
        </w:tc>
      </w:tr>
      <w:tr w:rsidR="00587C7F" w14:paraId="7AE967B5" w14:textId="77777777">
        <w:tc>
          <w:tcPr>
            <w:tcW w:w="28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02ADAE06" w14:textId="77777777" w:rsidR="00587C7F" w:rsidRDefault="00615B75">
            <w:r>
              <w:rPr>
                <w:sz w:val="18"/>
                <w:szCs w:val="18"/>
              </w:rPr>
              <w:t>IEA Electricity Information 2024</w:t>
            </w:r>
          </w:p>
        </w:tc>
        <w:tc>
          <w:tcPr>
            <w:tcW w:w="36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5BF9BE92" w14:textId="77777777" w:rsidR="00587C7F" w:rsidRDefault="00615B75">
            <w:pPr>
              <w:jc w:val="center"/>
            </w:pPr>
            <w:r>
              <w:rPr>
                <w:sz w:val="18"/>
                <w:szCs w:val="18"/>
              </w:rPr>
              <w:t>Annual average CO₂ intensity of electricity generation by country, 2010–2023.</w:t>
            </w:r>
          </w:p>
        </w:tc>
        <w:tc>
          <w:tcPr>
            <w:tcW w:w="28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1710CF32" w14:textId="77777777" w:rsidR="00587C7F" w:rsidRDefault="00615B75">
            <w:pPr>
              <w:jc w:val="center"/>
            </w:pPr>
            <w:r>
              <w:rPr>
                <w:sz w:val="18"/>
                <w:szCs w:val="18"/>
              </w:rPr>
              <w:t>Base year grid EF for all five countries</w:t>
            </w:r>
          </w:p>
        </w:tc>
      </w:tr>
      <w:tr w:rsidR="00587C7F" w14:paraId="24E65C9C" w14:textId="77777777">
        <w:tc>
          <w:tcPr>
            <w:tcW w:w="28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673C93F2" w14:textId="77777777" w:rsidR="00587C7F" w:rsidRDefault="00615B75">
            <w:r>
              <w:rPr>
                <w:sz w:val="18"/>
                <w:szCs w:val="18"/>
              </w:rPr>
              <w:t>IEA Net Zero Roadmap: A Global Pathway to 2050 — country annexes</w:t>
            </w:r>
          </w:p>
        </w:tc>
        <w:tc>
          <w:tcPr>
            <w:tcW w:w="36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1A049B3C" w14:textId="77777777" w:rsidR="00587C7F" w:rsidRDefault="00615B75">
            <w:pPr>
              <w:jc w:val="center"/>
            </w:pPr>
            <w:r>
              <w:rPr>
                <w:sz w:val="18"/>
                <w:szCs w:val="18"/>
              </w:rPr>
              <w:t>Decarbonisation trajectories for electricity grids by country and year. Used to project grid EF from 2024 to 2035.</w:t>
            </w:r>
          </w:p>
        </w:tc>
        <w:tc>
          <w:tcPr>
            <w:tcW w:w="28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3DC40AFD" w14:textId="77777777" w:rsidR="00587C7F" w:rsidRDefault="00615B75">
            <w:pPr>
              <w:jc w:val="center"/>
            </w:pPr>
            <w:r>
              <w:rPr>
                <w:sz w:val="18"/>
                <w:szCs w:val="18"/>
              </w:rPr>
              <w:t>Grid EF time series (gef)</w:t>
            </w:r>
          </w:p>
        </w:tc>
      </w:tr>
      <w:tr w:rsidR="00587C7F" w14:paraId="62B6FD6E" w14:textId="77777777">
        <w:tc>
          <w:tcPr>
            <w:tcW w:w="28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347B9833" w14:textId="77777777" w:rsidR="00587C7F" w:rsidRDefault="00615B75">
            <w:r>
              <w:rPr>
                <w:sz w:val="18"/>
                <w:szCs w:val="18"/>
              </w:rPr>
              <w:t>EU IR 2025/2621, Annex II — indirect emission default values</w:t>
            </w:r>
          </w:p>
        </w:tc>
        <w:tc>
          <w:tcPr>
            <w:tcW w:w="36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048AB9F8" w14:textId="77777777" w:rsidR="00587C7F" w:rsidRDefault="00615B75">
            <w:pPr>
              <w:jc w:val="center"/>
            </w:pPr>
            <w:r>
              <w:rPr>
                <w:sz w:val="18"/>
                <w:szCs w:val="18"/>
              </w:rPr>
              <w:t>Country-specific default electricity emission factors for CBAM purposes (average of most recent five years of IEA data). Used for the EU default comparison in ef_benchmarks.</w:t>
            </w:r>
          </w:p>
        </w:tc>
        <w:tc>
          <w:tcPr>
            <w:tcW w:w="28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590CFF9D" w14:textId="77777777" w:rsidR="00587C7F" w:rsidRDefault="00615B75">
            <w:pPr>
              <w:jc w:val="center"/>
            </w:pPr>
            <w:r>
              <w:rPr>
                <w:sz w:val="18"/>
                <w:szCs w:val="18"/>
              </w:rPr>
              <w:t>Cross-validation of model grid EF against EU regulatory defaults</w:t>
            </w:r>
          </w:p>
        </w:tc>
      </w:tr>
    </w:tbl>
    <w:p w14:paraId="2125452C" w14:textId="77777777" w:rsidR="00587C7F" w:rsidRDefault="00587C7F">
      <w:pPr>
        <w:spacing w:before="40" w:after="40"/>
      </w:pPr>
    </w:p>
    <w:p w14:paraId="2DDB6527" w14:textId="77777777" w:rsidR="00587C7F" w:rsidRDefault="00615B75">
      <w:pPr>
        <w:pStyle w:val="Heading2"/>
        <w:pBdr>
          <w:bottom w:val="single" w:sz="4" w:space="2" w:color="2E75B6"/>
        </w:pBdr>
      </w:pPr>
      <w:r>
        <w:t>E.  Trade data</w:t>
      </w:r>
    </w:p>
    <w:p w14:paraId="54C45D89" w14:textId="77777777" w:rsidR="00587C7F" w:rsidRDefault="00587C7F">
      <w:pPr>
        <w:spacing w:before="40" w:after="4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3600"/>
        <w:gridCol w:w="2880"/>
      </w:tblGrid>
      <w:tr w:rsidR="00587C7F" w14:paraId="05E18766" w14:textId="77777777">
        <w:trPr>
          <w:tblHeader/>
        </w:trPr>
        <w:tc>
          <w:tcPr>
            <w:tcW w:w="2880" w:type="dxa"/>
            <w:tcBorders>
              <w:top w:val="single" w:sz="1" w:space="0" w:color="C0C0C0"/>
              <w:left w:val="single" w:sz="1" w:space="0" w:color="C0C0C0"/>
              <w:bottom w:val="single" w:sz="1" w:space="0" w:color="C0C0C0"/>
              <w:right w:val="single" w:sz="1" w:space="0" w:color="C0C0C0"/>
            </w:tcBorders>
            <w:shd w:val="clear" w:color="auto" w:fill="2E75B6"/>
            <w:tcMar>
              <w:top w:w="80" w:type="dxa"/>
              <w:left w:w="120" w:type="dxa"/>
              <w:bottom w:w="80" w:type="dxa"/>
              <w:right w:w="120" w:type="dxa"/>
            </w:tcMar>
            <w:vAlign w:val="center"/>
          </w:tcPr>
          <w:p w14:paraId="0C453ED8" w14:textId="77777777" w:rsidR="00587C7F" w:rsidRDefault="00615B75">
            <w:pPr>
              <w:jc w:val="center"/>
            </w:pPr>
            <w:r>
              <w:rPr>
                <w:b/>
                <w:bCs/>
                <w:color w:val="FFFFFF"/>
                <w:sz w:val="16"/>
                <w:szCs w:val="16"/>
              </w:rPr>
              <w:t>Source</w:t>
            </w:r>
          </w:p>
        </w:tc>
        <w:tc>
          <w:tcPr>
            <w:tcW w:w="3600" w:type="dxa"/>
            <w:tcBorders>
              <w:top w:val="single" w:sz="1" w:space="0" w:color="C0C0C0"/>
              <w:left w:val="single" w:sz="1" w:space="0" w:color="C0C0C0"/>
              <w:bottom w:val="single" w:sz="1" w:space="0" w:color="C0C0C0"/>
              <w:right w:val="single" w:sz="1" w:space="0" w:color="C0C0C0"/>
            </w:tcBorders>
            <w:shd w:val="clear" w:color="auto" w:fill="2E75B6"/>
            <w:tcMar>
              <w:top w:w="80" w:type="dxa"/>
              <w:left w:w="120" w:type="dxa"/>
              <w:bottom w:w="80" w:type="dxa"/>
              <w:right w:w="120" w:type="dxa"/>
            </w:tcMar>
            <w:vAlign w:val="center"/>
          </w:tcPr>
          <w:p w14:paraId="5788916D" w14:textId="77777777" w:rsidR="00587C7F" w:rsidRDefault="00615B75">
            <w:pPr>
              <w:jc w:val="center"/>
            </w:pPr>
            <w:r>
              <w:rPr>
                <w:b/>
                <w:bCs/>
                <w:color w:val="FFFFFF"/>
                <w:sz w:val="16"/>
                <w:szCs w:val="16"/>
              </w:rPr>
              <w:t>What it provides</w:t>
            </w:r>
          </w:p>
        </w:tc>
        <w:tc>
          <w:tcPr>
            <w:tcW w:w="2880" w:type="dxa"/>
            <w:tcBorders>
              <w:top w:val="single" w:sz="1" w:space="0" w:color="C0C0C0"/>
              <w:left w:val="single" w:sz="1" w:space="0" w:color="C0C0C0"/>
              <w:bottom w:val="single" w:sz="1" w:space="0" w:color="C0C0C0"/>
              <w:right w:val="single" w:sz="1" w:space="0" w:color="C0C0C0"/>
            </w:tcBorders>
            <w:shd w:val="clear" w:color="auto" w:fill="2E75B6"/>
            <w:tcMar>
              <w:top w:w="80" w:type="dxa"/>
              <w:left w:w="120" w:type="dxa"/>
              <w:bottom w:w="80" w:type="dxa"/>
              <w:right w:w="120" w:type="dxa"/>
            </w:tcMar>
            <w:vAlign w:val="center"/>
          </w:tcPr>
          <w:p w14:paraId="2D3FDBD7" w14:textId="77777777" w:rsidR="00587C7F" w:rsidRDefault="00615B75">
            <w:pPr>
              <w:jc w:val="center"/>
            </w:pPr>
            <w:r>
              <w:rPr>
                <w:b/>
                <w:bCs/>
                <w:color w:val="FFFFFF"/>
                <w:sz w:val="16"/>
                <w:szCs w:val="16"/>
              </w:rPr>
              <w:t>Where used</w:t>
            </w:r>
          </w:p>
        </w:tc>
      </w:tr>
      <w:tr w:rsidR="00587C7F" w14:paraId="284B3184" w14:textId="77777777">
        <w:tc>
          <w:tcPr>
            <w:tcW w:w="28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381401B0" w14:textId="77777777" w:rsidR="00587C7F" w:rsidRDefault="00615B75">
            <w:r>
              <w:rPr>
                <w:sz w:val="18"/>
                <w:szCs w:val="18"/>
              </w:rPr>
              <w:t>UN Comtrade HS-2022 (accessed via WITS portal, March 2026)</w:t>
            </w:r>
          </w:p>
        </w:tc>
        <w:tc>
          <w:tcPr>
            <w:tcW w:w="36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7291882A" w14:textId="77777777" w:rsidR="00587C7F" w:rsidRDefault="00615B75">
            <w:pPr>
              <w:jc w:val="center"/>
            </w:pPr>
            <w:r>
              <w:rPr>
                <w:sz w:val="18"/>
                <w:szCs w:val="18"/>
              </w:rPr>
              <w:t>Annual bilateral trade flows in USD and tonnes for steel (HS 72), cement (HS 2523), fertilisers (HS 28, 31), and aluminium (HS 76). Used to calculate each country’s EU export share and total export share.</w:t>
            </w:r>
          </w:p>
        </w:tc>
        <w:tc>
          <w:tcPr>
            <w:tcW w:w="28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54219B2F" w14:textId="77777777" w:rsidR="00587C7F" w:rsidRDefault="00615B75">
            <w:pPr>
              <w:jc w:val="center"/>
            </w:pPr>
            <w:r>
              <w:rPr>
                <w:sz w:val="18"/>
                <w:szCs w:val="18"/>
              </w:rPr>
              <w:t>exe (EU export share), ext (total export share)</w:t>
            </w:r>
          </w:p>
        </w:tc>
      </w:tr>
      <w:tr w:rsidR="00587C7F" w14:paraId="55C1EAEE" w14:textId="77777777">
        <w:tc>
          <w:tcPr>
            <w:tcW w:w="28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67B76DD1" w14:textId="77777777" w:rsidR="00587C7F" w:rsidRDefault="00615B75">
            <w:r>
              <w:rPr>
                <w:sz w:val="18"/>
                <w:szCs w:val="18"/>
              </w:rPr>
              <w:t>Eurostat COMEXT</w:t>
            </w:r>
          </w:p>
        </w:tc>
        <w:tc>
          <w:tcPr>
            <w:tcW w:w="36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02FCD51A" w14:textId="77777777" w:rsidR="00587C7F" w:rsidRDefault="00615B75">
            <w:pPr>
              <w:jc w:val="center"/>
            </w:pPr>
            <w:r>
              <w:rPr>
                <w:sz w:val="18"/>
                <w:szCs w:val="18"/>
              </w:rPr>
              <w:t>EU import statistics by origin country and CN code. Cross-check for Comtrade EU trade volumes.</w:t>
            </w:r>
          </w:p>
        </w:tc>
        <w:tc>
          <w:tcPr>
            <w:tcW w:w="28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388808AF" w14:textId="77777777" w:rsidR="00587C7F" w:rsidRDefault="00615B75">
            <w:pPr>
              <w:jc w:val="center"/>
            </w:pPr>
            <w:r>
              <w:rPr>
                <w:sz w:val="18"/>
                <w:szCs w:val="18"/>
              </w:rPr>
              <w:t>Cross-validation</w:t>
            </w:r>
          </w:p>
        </w:tc>
      </w:tr>
      <w:tr w:rsidR="00587C7F" w14:paraId="04654F50" w14:textId="77777777">
        <w:tc>
          <w:tcPr>
            <w:tcW w:w="28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0B5E96A3" w14:textId="77777777" w:rsidR="00587C7F" w:rsidRDefault="00615B75">
            <w:r>
              <w:rPr>
                <w:sz w:val="18"/>
                <w:szCs w:val="18"/>
              </w:rPr>
              <w:t>World Steel Association — Steel Trade Monitor</w:t>
            </w:r>
          </w:p>
        </w:tc>
        <w:tc>
          <w:tcPr>
            <w:tcW w:w="36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46C5AD74" w14:textId="77777777" w:rsidR="00587C7F" w:rsidRDefault="00615B75">
            <w:pPr>
              <w:jc w:val="center"/>
            </w:pPr>
            <w:r>
              <w:rPr>
                <w:sz w:val="18"/>
                <w:szCs w:val="18"/>
              </w:rPr>
              <w:t>Monthly and annual steel trade data disaggregated by product form and route. Used to split steel exports between DRI-EAF, scrap-EAF, and BF-BOF output.</w:t>
            </w:r>
          </w:p>
        </w:tc>
        <w:tc>
          <w:tcPr>
            <w:tcW w:w="28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289C047F" w14:textId="77777777" w:rsidR="00587C7F" w:rsidRDefault="00615B75">
            <w:pPr>
              <w:jc w:val="center"/>
            </w:pPr>
            <w:r>
              <w:rPr>
                <w:sz w:val="18"/>
                <w:szCs w:val="18"/>
              </w:rPr>
              <w:t>Trade share split for steel sub-routes</w:t>
            </w:r>
          </w:p>
        </w:tc>
      </w:tr>
    </w:tbl>
    <w:p w14:paraId="3DA05501" w14:textId="77777777" w:rsidR="00587C7F" w:rsidRDefault="00587C7F">
      <w:pPr>
        <w:spacing w:before="40" w:after="40"/>
      </w:pPr>
    </w:p>
    <w:p w14:paraId="4AE9CFE5" w14:textId="77777777" w:rsidR="00587C7F" w:rsidRDefault="00615B75">
      <w:pPr>
        <w:pStyle w:val="Heading2"/>
        <w:pBdr>
          <w:bottom w:val="single" w:sz="4" w:space="2" w:color="2E75B6"/>
        </w:pBdr>
      </w:pPr>
      <w:r>
        <w:t>F.  EU regulatory inputs</w:t>
      </w:r>
    </w:p>
    <w:p w14:paraId="06D95771" w14:textId="77777777" w:rsidR="00587C7F" w:rsidRDefault="00587C7F">
      <w:pPr>
        <w:spacing w:before="40" w:after="4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3600"/>
        <w:gridCol w:w="2880"/>
      </w:tblGrid>
      <w:tr w:rsidR="00587C7F" w14:paraId="6A5542C1" w14:textId="77777777">
        <w:trPr>
          <w:tblHeader/>
        </w:trPr>
        <w:tc>
          <w:tcPr>
            <w:tcW w:w="2880" w:type="dxa"/>
            <w:tcBorders>
              <w:top w:val="single" w:sz="1" w:space="0" w:color="C0C0C0"/>
              <w:left w:val="single" w:sz="1" w:space="0" w:color="C0C0C0"/>
              <w:bottom w:val="single" w:sz="1" w:space="0" w:color="C0C0C0"/>
              <w:right w:val="single" w:sz="1" w:space="0" w:color="C0C0C0"/>
            </w:tcBorders>
            <w:shd w:val="clear" w:color="auto" w:fill="2E75B6"/>
            <w:tcMar>
              <w:top w:w="80" w:type="dxa"/>
              <w:left w:w="120" w:type="dxa"/>
              <w:bottom w:w="80" w:type="dxa"/>
              <w:right w:w="120" w:type="dxa"/>
            </w:tcMar>
            <w:vAlign w:val="center"/>
          </w:tcPr>
          <w:p w14:paraId="5AFC35F5" w14:textId="77777777" w:rsidR="00587C7F" w:rsidRDefault="00615B75">
            <w:pPr>
              <w:jc w:val="center"/>
            </w:pPr>
            <w:r>
              <w:rPr>
                <w:b/>
                <w:bCs/>
                <w:color w:val="FFFFFF"/>
                <w:sz w:val="16"/>
                <w:szCs w:val="16"/>
              </w:rPr>
              <w:t>Source</w:t>
            </w:r>
          </w:p>
        </w:tc>
        <w:tc>
          <w:tcPr>
            <w:tcW w:w="3600" w:type="dxa"/>
            <w:tcBorders>
              <w:top w:val="single" w:sz="1" w:space="0" w:color="C0C0C0"/>
              <w:left w:val="single" w:sz="1" w:space="0" w:color="C0C0C0"/>
              <w:bottom w:val="single" w:sz="1" w:space="0" w:color="C0C0C0"/>
              <w:right w:val="single" w:sz="1" w:space="0" w:color="C0C0C0"/>
            </w:tcBorders>
            <w:shd w:val="clear" w:color="auto" w:fill="2E75B6"/>
            <w:tcMar>
              <w:top w:w="80" w:type="dxa"/>
              <w:left w:w="120" w:type="dxa"/>
              <w:bottom w:w="80" w:type="dxa"/>
              <w:right w:w="120" w:type="dxa"/>
            </w:tcMar>
            <w:vAlign w:val="center"/>
          </w:tcPr>
          <w:p w14:paraId="18AEE2C8" w14:textId="77777777" w:rsidR="00587C7F" w:rsidRDefault="00615B75">
            <w:pPr>
              <w:jc w:val="center"/>
            </w:pPr>
            <w:r>
              <w:rPr>
                <w:b/>
                <w:bCs/>
                <w:color w:val="FFFFFF"/>
                <w:sz w:val="16"/>
                <w:szCs w:val="16"/>
              </w:rPr>
              <w:t>What it provides</w:t>
            </w:r>
          </w:p>
        </w:tc>
        <w:tc>
          <w:tcPr>
            <w:tcW w:w="2880" w:type="dxa"/>
            <w:tcBorders>
              <w:top w:val="single" w:sz="1" w:space="0" w:color="C0C0C0"/>
              <w:left w:val="single" w:sz="1" w:space="0" w:color="C0C0C0"/>
              <w:bottom w:val="single" w:sz="1" w:space="0" w:color="C0C0C0"/>
              <w:right w:val="single" w:sz="1" w:space="0" w:color="C0C0C0"/>
            </w:tcBorders>
            <w:shd w:val="clear" w:color="auto" w:fill="2E75B6"/>
            <w:tcMar>
              <w:top w:w="80" w:type="dxa"/>
              <w:left w:w="120" w:type="dxa"/>
              <w:bottom w:w="80" w:type="dxa"/>
              <w:right w:w="120" w:type="dxa"/>
            </w:tcMar>
            <w:vAlign w:val="center"/>
          </w:tcPr>
          <w:p w14:paraId="083EBFEB" w14:textId="77777777" w:rsidR="00587C7F" w:rsidRDefault="00615B75">
            <w:pPr>
              <w:jc w:val="center"/>
            </w:pPr>
            <w:r>
              <w:rPr>
                <w:b/>
                <w:bCs/>
                <w:color w:val="FFFFFF"/>
                <w:sz w:val="16"/>
                <w:szCs w:val="16"/>
              </w:rPr>
              <w:t>Where used</w:t>
            </w:r>
          </w:p>
        </w:tc>
      </w:tr>
      <w:tr w:rsidR="00587C7F" w14:paraId="6CEEA93F" w14:textId="77777777">
        <w:tc>
          <w:tcPr>
            <w:tcW w:w="28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63EEE2A4" w14:textId="77777777" w:rsidR="00587C7F" w:rsidRDefault="00615B75">
            <w:r>
              <w:rPr>
                <w:sz w:val="18"/>
                <w:szCs w:val="18"/>
              </w:rPr>
              <w:t>Commission Implementing Regulation (EU) 2025/2620 of 16 December 2025 (OJ L 2025/2620)</w:t>
            </w:r>
          </w:p>
        </w:tc>
        <w:tc>
          <w:tcPr>
            <w:tcW w:w="36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5E79A96F" w14:textId="77777777" w:rsidR="00587C7F" w:rsidRDefault="00615B75">
            <w:pPr>
              <w:jc w:val="center"/>
            </w:pPr>
            <w:r>
              <w:rPr>
                <w:sz w:val="18"/>
                <w:szCs w:val="18"/>
              </w:rPr>
              <w:t>CBAM benchmarks (free allocation equivalents) for all covered products, Columns A and B. Column A applies with actual verified data; Column B with default values.</w:t>
            </w:r>
          </w:p>
        </w:tc>
        <w:tc>
          <w:tcPr>
            <w:tcW w:w="28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7C65EAD3" w14:textId="77777777" w:rsidR="00587C7F" w:rsidRDefault="00615B75">
            <w:pPr>
              <w:jc w:val="center"/>
            </w:pPr>
            <w:r>
              <w:rPr>
                <w:sz w:val="18"/>
                <w:szCs w:val="18"/>
              </w:rPr>
              <w:t>bnk (benchmark) in input_data; ef_benchmarks sheet</w:t>
            </w:r>
          </w:p>
        </w:tc>
      </w:tr>
      <w:tr w:rsidR="00587C7F" w14:paraId="7AAEB1E9" w14:textId="77777777">
        <w:tc>
          <w:tcPr>
            <w:tcW w:w="28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1ADFB4D3" w14:textId="77777777" w:rsidR="00587C7F" w:rsidRDefault="00615B75">
            <w:r>
              <w:rPr>
                <w:sz w:val="18"/>
                <w:szCs w:val="18"/>
              </w:rPr>
              <w:lastRenderedPageBreak/>
              <w:t>Commission Implementing Regulation (EU) 2025/2621 of 16 December 2025 (OJ L 2025/2621)</w:t>
            </w:r>
          </w:p>
        </w:tc>
        <w:tc>
          <w:tcPr>
            <w:tcW w:w="36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1328BB87" w14:textId="77777777" w:rsidR="00587C7F" w:rsidRDefault="00615B75">
            <w:pPr>
              <w:jc w:val="center"/>
            </w:pPr>
            <w:r>
              <w:rPr>
                <w:sz w:val="18"/>
                <w:szCs w:val="18"/>
              </w:rPr>
              <w:t>Country-specific default embedded emission values (SEE) for all covered products. In force 1 Jan 2026. XLS version published February 2026.</w:t>
            </w:r>
          </w:p>
        </w:tc>
        <w:tc>
          <w:tcPr>
            <w:tcW w:w="28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1CAED85A" w14:textId="77777777" w:rsidR="00587C7F" w:rsidRDefault="00615B75">
            <w:pPr>
              <w:jc w:val="center"/>
            </w:pPr>
            <w:r>
              <w:rPr>
                <w:sz w:val="18"/>
                <w:szCs w:val="18"/>
              </w:rPr>
              <w:t>dfv (default value) in input_data; ref_data sheet section B</w:t>
            </w:r>
          </w:p>
        </w:tc>
      </w:tr>
      <w:tr w:rsidR="00587C7F" w14:paraId="27C2ACBE" w14:textId="77777777">
        <w:tc>
          <w:tcPr>
            <w:tcW w:w="28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1AEC20D9" w14:textId="77777777" w:rsidR="00587C7F" w:rsidRDefault="00615B75">
            <w:r>
              <w:rPr>
                <w:sz w:val="18"/>
                <w:szCs w:val="18"/>
              </w:rPr>
              <w:t>Commission Implementing Regulation (EU) 2025/2547</w:t>
            </w:r>
          </w:p>
        </w:tc>
        <w:tc>
          <w:tcPr>
            <w:tcW w:w="36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6FB4D934" w14:textId="77777777" w:rsidR="00587C7F" w:rsidRDefault="00615B75">
            <w:pPr>
              <w:jc w:val="center"/>
            </w:pPr>
            <w:r>
              <w:rPr>
                <w:sz w:val="18"/>
                <w:szCs w:val="18"/>
              </w:rPr>
              <w:t>Calculation methods for embedded direct and indirect emissions.</w:t>
            </w:r>
          </w:p>
        </w:tc>
        <w:tc>
          <w:tcPr>
            <w:tcW w:w="28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07FD9ED3" w14:textId="77777777" w:rsidR="00587C7F" w:rsidRDefault="00615B75">
            <w:pPr>
              <w:jc w:val="center"/>
            </w:pPr>
            <w:r>
              <w:rPr>
                <w:sz w:val="18"/>
                <w:szCs w:val="18"/>
              </w:rPr>
              <w:t>Methodology reference</w:t>
            </w:r>
          </w:p>
        </w:tc>
      </w:tr>
      <w:tr w:rsidR="00587C7F" w14:paraId="2B84E86D" w14:textId="77777777">
        <w:tc>
          <w:tcPr>
            <w:tcW w:w="28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7269AF51" w14:textId="77777777" w:rsidR="00587C7F" w:rsidRDefault="00615B75">
            <w:r>
              <w:rPr>
                <w:sz w:val="18"/>
                <w:szCs w:val="18"/>
              </w:rPr>
              <w:t>Regulation (EU) 2023/956 as amended by Regulation (EU) 2025/2083</w:t>
            </w:r>
          </w:p>
        </w:tc>
        <w:tc>
          <w:tcPr>
            <w:tcW w:w="36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5B779C67" w14:textId="77777777" w:rsidR="00587C7F" w:rsidRDefault="00615B75">
            <w:pPr>
              <w:jc w:val="center"/>
            </w:pPr>
            <w:r>
              <w:rPr>
                <w:sz w:val="18"/>
                <w:szCs w:val="18"/>
              </w:rPr>
              <w:t>CBAM Regulation: covered sectors, CBAM factor schedule, Article 9 crediting, S2 scope (Annex II).</w:t>
            </w:r>
          </w:p>
        </w:tc>
        <w:tc>
          <w:tcPr>
            <w:tcW w:w="28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16B7FD80" w14:textId="77777777" w:rsidR="00587C7F" w:rsidRDefault="00615B75">
            <w:pPr>
              <w:jc w:val="center"/>
            </w:pPr>
            <w:r>
              <w:rPr>
                <w:sz w:val="18"/>
                <w:szCs w:val="18"/>
              </w:rPr>
              <w:t>cbf (CBAM factor), act (active flag), cs2 (S2 scope)</w:t>
            </w:r>
          </w:p>
        </w:tc>
      </w:tr>
      <w:tr w:rsidR="00587C7F" w14:paraId="0E933AD1" w14:textId="77777777">
        <w:tc>
          <w:tcPr>
            <w:tcW w:w="28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24D557AB" w14:textId="77777777" w:rsidR="00587C7F" w:rsidRDefault="00615B75">
            <w:r>
              <w:rPr>
                <w:sz w:val="18"/>
                <w:szCs w:val="18"/>
              </w:rPr>
              <w:t>EU ETS price: ICE EUA front-month futures (daily close, May 2026); World Bank Carbon Pricing Dashboard</w:t>
            </w:r>
          </w:p>
        </w:tc>
        <w:tc>
          <w:tcPr>
            <w:tcW w:w="36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27910C32" w14:textId="77777777" w:rsidR="00587C7F" w:rsidRDefault="00615B75">
            <w:pPr>
              <w:jc w:val="center"/>
            </w:pPr>
            <w:r>
              <w:rPr>
                <w:sz w:val="18"/>
                <w:szCs w:val="18"/>
              </w:rPr>
              <w:t>EU ETS allowance price in EUR/tCO₂ converted to USD at 1.10 USD/EUR. Used as the reference price in the CBAM obligation calculation.</w:t>
            </w:r>
          </w:p>
        </w:tc>
        <w:tc>
          <w:tcPr>
            <w:tcW w:w="28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028DA22D" w14:textId="77777777" w:rsidR="00587C7F" w:rsidRDefault="00615B75">
            <w:pPr>
              <w:jc w:val="center"/>
            </w:pPr>
            <w:r>
              <w:rPr>
                <w:sz w:val="18"/>
                <w:szCs w:val="18"/>
              </w:rPr>
              <w:t>ets (ETS price series) in input_data</w:t>
            </w:r>
          </w:p>
        </w:tc>
      </w:tr>
    </w:tbl>
    <w:p w14:paraId="41442CAF" w14:textId="77777777" w:rsidR="00587C7F" w:rsidRDefault="00587C7F">
      <w:pPr>
        <w:spacing w:before="40" w:after="40"/>
      </w:pPr>
    </w:p>
    <w:p w14:paraId="6F730E5D" w14:textId="77777777" w:rsidR="00587C7F" w:rsidRDefault="00615B75">
      <w:pPr>
        <w:pStyle w:val="Heading2"/>
        <w:pBdr>
          <w:bottom w:val="single" w:sz="4" w:space="2" w:color="2E75B6"/>
        </w:pBdr>
      </w:pPr>
      <w:r>
        <w:t>G.  Macroeconomic inputs</w:t>
      </w:r>
    </w:p>
    <w:p w14:paraId="2BFAE8FE" w14:textId="77777777" w:rsidR="00587C7F" w:rsidRDefault="00587C7F">
      <w:pPr>
        <w:spacing w:before="40" w:after="4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3600"/>
        <w:gridCol w:w="2880"/>
      </w:tblGrid>
      <w:tr w:rsidR="00587C7F" w14:paraId="78A76972" w14:textId="77777777">
        <w:trPr>
          <w:tblHeader/>
        </w:trPr>
        <w:tc>
          <w:tcPr>
            <w:tcW w:w="2880" w:type="dxa"/>
            <w:tcBorders>
              <w:top w:val="single" w:sz="1" w:space="0" w:color="C0C0C0"/>
              <w:left w:val="single" w:sz="1" w:space="0" w:color="C0C0C0"/>
              <w:bottom w:val="single" w:sz="1" w:space="0" w:color="C0C0C0"/>
              <w:right w:val="single" w:sz="1" w:space="0" w:color="C0C0C0"/>
            </w:tcBorders>
            <w:shd w:val="clear" w:color="auto" w:fill="2E75B6"/>
            <w:tcMar>
              <w:top w:w="80" w:type="dxa"/>
              <w:left w:w="120" w:type="dxa"/>
              <w:bottom w:w="80" w:type="dxa"/>
              <w:right w:w="120" w:type="dxa"/>
            </w:tcMar>
            <w:vAlign w:val="center"/>
          </w:tcPr>
          <w:p w14:paraId="53C91EA1" w14:textId="77777777" w:rsidR="00587C7F" w:rsidRDefault="00615B75">
            <w:pPr>
              <w:jc w:val="center"/>
            </w:pPr>
            <w:r>
              <w:rPr>
                <w:b/>
                <w:bCs/>
                <w:color w:val="FFFFFF"/>
                <w:sz w:val="16"/>
                <w:szCs w:val="16"/>
              </w:rPr>
              <w:t>Source</w:t>
            </w:r>
          </w:p>
        </w:tc>
        <w:tc>
          <w:tcPr>
            <w:tcW w:w="3600" w:type="dxa"/>
            <w:tcBorders>
              <w:top w:val="single" w:sz="1" w:space="0" w:color="C0C0C0"/>
              <w:left w:val="single" w:sz="1" w:space="0" w:color="C0C0C0"/>
              <w:bottom w:val="single" w:sz="1" w:space="0" w:color="C0C0C0"/>
              <w:right w:val="single" w:sz="1" w:space="0" w:color="C0C0C0"/>
            </w:tcBorders>
            <w:shd w:val="clear" w:color="auto" w:fill="2E75B6"/>
            <w:tcMar>
              <w:top w:w="80" w:type="dxa"/>
              <w:left w:w="120" w:type="dxa"/>
              <w:bottom w:w="80" w:type="dxa"/>
              <w:right w:w="120" w:type="dxa"/>
            </w:tcMar>
            <w:vAlign w:val="center"/>
          </w:tcPr>
          <w:p w14:paraId="65A8F5D4" w14:textId="77777777" w:rsidR="00587C7F" w:rsidRDefault="00615B75">
            <w:pPr>
              <w:jc w:val="center"/>
            </w:pPr>
            <w:r>
              <w:rPr>
                <w:b/>
                <w:bCs/>
                <w:color w:val="FFFFFF"/>
                <w:sz w:val="16"/>
                <w:szCs w:val="16"/>
              </w:rPr>
              <w:t>What it provides</w:t>
            </w:r>
          </w:p>
        </w:tc>
        <w:tc>
          <w:tcPr>
            <w:tcW w:w="2880" w:type="dxa"/>
            <w:tcBorders>
              <w:top w:val="single" w:sz="1" w:space="0" w:color="C0C0C0"/>
              <w:left w:val="single" w:sz="1" w:space="0" w:color="C0C0C0"/>
              <w:bottom w:val="single" w:sz="1" w:space="0" w:color="C0C0C0"/>
              <w:right w:val="single" w:sz="1" w:space="0" w:color="C0C0C0"/>
            </w:tcBorders>
            <w:shd w:val="clear" w:color="auto" w:fill="2E75B6"/>
            <w:tcMar>
              <w:top w:w="80" w:type="dxa"/>
              <w:left w:w="120" w:type="dxa"/>
              <w:bottom w:w="80" w:type="dxa"/>
              <w:right w:w="120" w:type="dxa"/>
            </w:tcMar>
            <w:vAlign w:val="center"/>
          </w:tcPr>
          <w:p w14:paraId="1DEBC313" w14:textId="77777777" w:rsidR="00587C7F" w:rsidRDefault="00615B75">
            <w:pPr>
              <w:jc w:val="center"/>
            </w:pPr>
            <w:r>
              <w:rPr>
                <w:b/>
                <w:bCs/>
                <w:color w:val="FFFFFF"/>
                <w:sz w:val="16"/>
                <w:szCs w:val="16"/>
              </w:rPr>
              <w:t>Where used</w:t>
            </w:r>
          </w:p>
        </w:tc>
      </w:tr>
      <w:tr w:rsidR="00587C7F" w14:paraId="35C306AB" w14:textId="77777777">
        <w:tc>
          <w:tcPr>
            <w:tcW w:w="28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4985276F" w14:textId="77777777" w:rsidR="00587C7F" w:rsidRDefault="00615B75">
            <w:r>
              <w:rPr>
                <w:sz w:val="18"/>
                <w:szCs w:val="18"/>
              </w:rPr>
              <w:t>IMF World Economic Outlook Database, April 2026</w:t>
            </w:r>
          </w:p>
        </w:tc>
        <w:tc>
          <w:tcPr>
            <w:tcW w:w="36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1446B241" w14:textId="77777777" w:rsidR="00587C7F" w:rsidRDefault="00615B75">
            <w:pPr>
              <w:jc w:val="center"/>
            </w:pPr>
            <w:r>
              <w:rPr>
                <w:sz w:val="18"/>
                <w:szCs w:val="18"/>
              </w:rPr>
              <w:t>GDP growth rate projections for Egypt, Albania, Uzbekistan, Azerbaijan, and India to 2030. Extended to 2035 using IMF long-run convergence assumptions.</w:t>
            </w:r>
          </w:p>
        </w:tc>
        <w:tc>
          <w:tcPr>
            <w:tcW w:w="28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773134C9" w14:textId="77777777" w:rsidR="00587C7F" w:rsidRDefault="00615B75">
            <w:pPr>
              <w:jc w:val="center"/>
            </w:pPr>
            <w:r>
              <w:rPr>
                <w:sz w:val="18"/>
                <w:szCs w:val="18"/>
              </w:rPr>
              <w:t>grw (GDP growth rate), used to scale production forward from base year</w:t>
            </w:r>
          </w:p>
        </w:tc>
      </w:tr>
      <w:tr w:rsidR="00587C7F" w14:paraId="0AA8E26A" w14:textId="77777777">
        <w:tc>
          <w:tcPr>
            <w:tcW w:w="28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15E3AD82" w14:textId="77777777" w:rsidR="00587C7F" w:rsidRDefault="00615B75">
            <w:r>
              <w:rPr>
                <w:sz w:val="18"/>
                <w:szCs w:val="18"/>
              </w:rPr>
              <w:t>World Bank Commodity Markets Outlook, April 2026</w:t>
            </w:r>
          </w:p>
        </w:tc>
        <w:tc>
          <w:tcPr>
            <w:tcW w:w="36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5A841078" w14:textId="77777777" w:rsidR="00587C7F" w:rsidRDefault="00615B75">
            <w:pPr>
              <w:jc w:val="center"/>
            </w:pPr>
            <w:r>
              <w:rPr>
                <w:sz w:val="18"/>
                <w:szCs w:val="18"/>
              </w:rPr>
              <w:t>Commodity price assumptions for steel, cement, fertilisers, and aluminium (USD/tonne). Used in Section 5 price impact calculations.</w:t>
            </w:r>
          </w:p>
        </w:tc>
        <w:tc>
          <w:tcPr>
            <w:tcW w:w="28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vAlign w:val="center"/>
          </w:tcPr>
          <w:p w14:paraId="1778A6EF" w14:textId="77777777" w:rsidR="00587C7F" w:rsidRDefault="00615B75">
            <w:pPr>
              <w:jc w:val="center"/>
            </w:pPr>
            <w:r>
              <w:rPr>
                <w:sz w:val="18"/>
                <w:szCs w:val="18"/>
              </w:rPr>
              <w:t>ppx (product price) in input_data</w:t>
            </w:r>
          </w:p>
        </w:tc>
      </w:tr>
      <w:tr w:rsidR="00587C7F" w14:paraId="79F9DAE4" w14:textId="77777777">
        <w:tc>
          <w:tcPr>
            <w:tcW w:w="28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0C02A9D8" w14:textId="77777777" w:rsidR="00587C7F" w:rsidRDefault="00615B75">
            <w:r>
              <w:rPr>
                <w:sz w:val="18"/>
                <w:szCs w:val="18"/>
              </w:rPr>
              <w:t>IMF Exchange Rate database</w:t>
            </w:r>
          </w:p>
        </w:tc>
        <w:tc>
          <w:tcPr>
            <w:tcW w:w="36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5D3A72D2" w14:textId="77777777" w:rsidR="00587C7F" w:rsidRDefault="00615B75">
            <w:pPr>
              <w:jc w:val="center"/>
            </w:pPr>
            <w:r>
              <w:rPr>
                <w:sz w:val="18"/>
                <w:szCs w:val="18"/>
              </w:rPr>
              <w:t>USD/EUR exchange rate. Used to convert ETS prices from EUR to USD.</w:t>
            </w:r>
          </w:p>
        </w:tc>
        <w:tc>
          <w:tcPr>
            <w:tcW w:w="28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vAlign w:val="center"/>
          </w:tcPr>
          <w:p w14:paraId="2653DAB3" w14:textId="77777777" w:rsidR="00587C7F" w:rsidRDefault="00615B75">
            <w:pPr>
              <w:jc w:val="center"/>
            </w:pPr>
            <w:r>
              <w:rPr>
                <w:sz w:val="18"/>
                <w:szCs w:val="18"/>
              </w:rPr>
              <w:t>fxr (FX rate) in input_data</w:t>
            </w:r>
          </w:p>
        </w:tc>
      </w:tr>
    </w:tbl>
    <w:p w14:paraId="014F632E" w14:textId="77777777" w:rsidR="00587C7F" w:rsidRDefault="00587C7F">
      <w:pPr>
        <w:spacing w:before="40" w:after="40"/>
      </w:pPr>
    </w:p>
    <w:p w14:paraId="5D9C830C" w14:textId="77777777" w:rsidR="00587C7F" w:rsidRDefault="00615B75">
      <w:pPr>
        <w:pStyle w:val="Heading2"/>
        <w:pBdr>
          <w:bottom w:val="single" w:sz="4" w:space="2" w:color="2E75B6"/>
        </w:pBdr>
      </w:pPr>
      <w:r>
        <w:t>H.  Egypt facility data</w:t>
      </w:r>
    </w:p>
    <w:p w14:paraId="585C4B0F" w14:textId="77777777" w:rsidR="00587C7F" w:rsidRDefault="00615B75">
      <w:pPr>
        <w:spacing w:before="60" w:after="60"/>
      </w:pPr>
      <w:r>
        <w:t>The egypt_facilities tab contains plant-level data for Egypt's main industrial installations in CBAM-covered sectors. Sources include:</w:t>
      </w:r>
    </w:p>
    <w:p w14:paraId="67B872BC" w14:textId="77777777" w:rsidR="00587C7F" w:rsidRDefault="00615B75">
      <w:pPr>
        <w:pStyle w:val="ListParagraph"/>
        <w:numPr>
          <w:ilvl w:val="0"/>
          <w:numId w:val="2"/>
        </w:numPr>
        <w:spacing w:before="40" w:after="40"/>
      </w:pPr>
      <w:r>
        <w:rPr>
          <w:b/>
          <w:bCs/>
        </w:rPr>
        <w:t>Ezz Steel</w:t>
      </w:r>
      <w:r>
        <w:t xml:space="preserve"> (Al-Dikheila and Suez: DRI-EAF route): facility sustainability reports 2023; World Bank Egypt Industrial Decarbonisation Assessment 2024.</w:t>
      </w:r>
    </w:p>
    <w:p w14:paraId="2A1692E7" w14:textId="77777777" w:rsidR="00587C7F" w:rsidRDefault="00615B75">
      <w:pPr>
        <w:pStyle w:val="ListParagraph"/>
        <w:numPr>
          <w:ilvl w:val="0"/>
          <w:numId w:val="2"/>
        </w:numPr>
        <w:spacing w:before="40" w:after="40"/>
      </w:pPr>
      <w:r>
        <w:rPr>
          <w:b/>
          <w:bCs/>
        </w:rPr>
        <w:t>Helwan Portland Cement and other Egyptian cement plants:</w:t>
      </w:r>
      <w:r>
        <w:t xml:space="preserve"> Cement industry sectoral data from the Egyptian Cement Export Council and Cimsa/LafargeHolcim operating data.</w:t>
      </w:r>
    </w:p>
    <w:p w14:paraId="3F0E8461" w14:textId="77777777" w:rsidR="00587C7F" w:rsidRDefault="00615B75">
      <w:pPr>
        <w:pStyle w:val="ListParagraph"/>
        <w:numPr>
          <w:ilvl w:val="0"/>
          <w:numId w:val="2"/>
        </w:numPr>
        <w:spacing w:before="40" w:after="40"/>
      </w:pPr>
      <w:r>
        <w:rPr>
          <w:b/>
          <w:bCs/>
        </w:rPr>
        <w:t>Abu Qir Fertilisers and KIMA:</w:t>
      </w:r>
      <w:r>
        <w:t xml:space="preserve"> company disclosures; Egyptian Fertilisers Company production data; IFA member data portal.</w:t>
      </w:r>
    </w:p>
    <w:p w14:paraId="2AF95CA0" w14:textId="77777777" w:rsidR="00587C7F" w:rsidRDefault="00615B75">
      <w:pPr>
        <w:pStyle w:val="ListParagraph"/>
        <w:numPr>
          <w:ilvl w:val="0"/>
          <w:numId w:val="2"/>
        </w:numPr>
        <w:spacing w:before="40" w:after="40"/>
      </w:pPr>
      <w:r>
        <w:rPr>
          <w:b/>
          <w:bCs/>
        </w:rPr>
        <w:t>Egyptalum (Nag Hammadi):</w:t>
      </w:r>
      <w:r>
        <w:t xml:space="preserve"> IAI country report; facility-level electricity consumption from EETC (Egyptian Electricity Transmission Company) records cited in World Bank ESMAP reports.</w:t>
      </w:r>
    </w:p>
    <w:p w14:paraId="3B63225E" w14:textId="77777777" w:rsidR="00587C7F" w:rsidRDefault="00615B75">
      <w:pPr>
        <w:spacing w:before="60" w:after="60"/>
      </w:pPr>
      <w:r>
        <w:t>Facility data is stored in the egypt_facilities tab for reference but is not yet directly wired into the main model calculations. Integration with the main model is planned for v1.1.</w:t>
      </w:r>
    </w:p>
    <w:p w14:paraId="652A4B7C" w14:textId="77777777" w:rsidR="00587C7F" w:rsidRDefault="00587C7F">
      <w:pPr>
        <w:spacing w:before="40" w:after="40"/>
      </w:pPr>
    </w:p>
    <w:p w14:paraId="0EFFF8C2" w14:textId="77777777" w:rsidR="00CD141B" w:rsidRDefault="00CD141B">
      <w:pPr>
        <w:rPr>
          <w:b/>
          <w:bCs/>
          <w:color w:val="1F4E79"/>
          <w:sz w:val="26"/>
          <w:szCs w:val="26"/>
        </w:rPr>
      </w:pPr>
      <w:r>
        <w:br w:type="page"/>
      </w:r>
    </w:p>
    <w:p w14:paraId="229EBDFF" w14:textId="5E80D1DD" w:rsidR="00587C7F" w:rsidRDefault="00615B75">
      <w:pPr>
        <w:pStyle w:val="Heading2"/>
        <w:pBdr>
          <w:bottom w:val="single" w:sz="4" w:space="2" w:color="2E75B6"/>
        </w:pBdr>
      </w:pPr>
      <w:r>
        <w:lastRenderedPageBreak/>
        <w:t>I.  Limitations of the data</w:t>
      </w:r>
    </w:p>
    <w:p w14:paraId="3EEBB355" w14:textId="77777777" w:rsidR="00587C7F" w:rsidRDefault="00615B75">
      <w:pPr>
        <w:pBdr>
          <w:left w:val="single" w:sz="14" w:space="4" w:color="C00000"/>
        </w:pBdr>
        <w:shd w:val="clear" w:color="auto" w:fill="FFE6E6"/>
        <w:spacing w:before="100" w:after="100"/>
        <w:ind w:left="360" w:right="360"/>
      </w:pPr>
      <w:r>
        <w:rPr>
          <w:b/>
          <w:bCs/>
          <w:color w:val="1F4E79"/>
        </w:rPr>
        <w:t xml:space="preserve">Important caveat  </w:t>
      </w:r>
      <w:r>
        <w:t>All input data involves estimation and cross-referencing across sources with different methodologies, reference years, and levels of disaggregation. Users should treat the model as an order-of-magnitude tool for policy analysis, not a precise audit of individual producer emissions.</w:t>
      </w:r>
    </w:p>
    <w:p w14:paraId="734B9998" w14:textId="77777777" w:rsidR="00587C7F" w:rsidRDefault="00587C7F">
      <w:pPr>
        <w:spacing w:before="40" w:after="40"/>
      </w:pPr>
    </w:p>
    <w:p w14:paraId="365054A1" w14:textId="77777777" w:rsidR="00587C7F" w:rsidRDefault="00615B75">
      <w:pPr>
        <w:pStyle w:val="ListParagraph"/>
        <w:numPr>
          <w:ilvl w:val="0"/>
          <w:numId w:val="2"/>
        </w:numPr>
        <w:spacing w:before="40" w:after="40"/>
      </w:pPr>
      <w:r>
        <w:rPr>
          <w:b/>
          <w:bCs/>
        </w:rPr>
        <w:t>Vintage differences:</w:t>
      </w:r>
      <w:r>
        <w:t xml:space="preserve"> IEA World Energy Balances data is typically 2–3 years lagged. The most recent full-year data in the 2024 edition covers 2022. Production base years and energy intensities therefore reflect 2022 conditions, projected forward.</w:t>
      </w:r>
    </w:p>
    <w:p w14:paraId="42CB7A6E" w14:textId="77777777" w:rsidR="00587C7F" w:rsidRDefault="00615B75">
      <w:pPr>
        <w:pStyle w:val="ListParagraph"/>
        <w:numPr>
          <w:ilvl w:val="0"/>
          <w:numId w:val="2"/>
        </w:numPr>
        <w:spacing w:before="40" w:after="40"/>
      </w:pPr>
      <w:r>
        <w:rPr>
          <w:b/>
          <w:bCs/>
        </w:rPr>
        <w:t>Route-level granularity:</w:t>
      </w:r>
      <w:r>
        <w:t xml:space="preserve"> For Albania, Uzbekistan, and Azerbaijan, production route splits within steel (EAF vs BOF) are estimated from company-level information and may not match national statistics.</w:t>
      </w:r>
    </w:p>
    <w:p w14:paraId="1324B4EA" w14:textId="77777777" w:rsidR="00587C7F" w:rsidRDefault="00615B75">
      <w:pPr>
        <w:pStyle w:val="ListParagraph"/>
        <w:numPr>
          <w:ilvl w:val="0"/>
          <w:numId w:val="2"/>
        </w:numPr>
        <w:spacing w:before="40" w:after="40"/>
      </w:pPr>
      <w:r>
        <w:rPr>
          <w:b/>
          <w:bCs/>
        </w:rPr>
        <w:t>Fertiliser chain complexity:</w:t>
      </w:r>
      <w:r>
        <w:t xml:space="preserve"> The ammonia-urea-AN chain involves several co-production steps. The model treats each as a separate entity with its own energy intensity; in practice, many plants produce multiple products from shared ammonia feedstock.</w:t>
      </w:r>
    </w:p>
    <w:p w14:paraId="023D3E84" w14:textId="77777777" w:rsidR="00587C7F" w:rsidRDefault="00615B75">
      <w:pPr>
        <w:pStyle w:val="ListParagraph"/>
        <w:numPr>
          <w:ilvl w:val="0"/>
          <w:numId w:val="2"/>
        </w:numPr>
        <w:spacing w:before="40" w:after="40"/>
      </w:pPr>
      <w:r>
        <w:rPr>
          <w:b/>
          <w:bCs/>
        </w:rPr>
        <w:t>N₂O abatement:</w:t>
      </w:r>
      <w:r>
        <w:t xml:space="preserve"> The ammonium nitrate N₂O factor (2.5 tCO₂e/t) is a midpoint assumption. Actual values depend heavily on whether N₂O abatement catalysts are installed (range: 0.3–5.0 tCO₂e/t). This is the largest single source of model uncertainty for any fertiliser-producing country.</w:t>
      </w:r>
    </w:p>
    <w:p w14:paraId="029408B3" w14:textId="77777777" w:rsidR="00587C7F" w:rsidRDefault="00615B75">
      <w:pPr>
        <w:pStyle w:val="ListParagraph"/>
        <w:numPr>
          <w:ilvl w:val="0"/>
          <w:numId w:val="2"/>
        </w:numPr>
        <w:spacing w:before="40" w:after="40"/>
      </w:pPr>
      <w:r>
        <w:rPr>
          <w:b/>
          <w:bCs/>
        </w:rPr>
        <w:t>PFC factors for aluminium:</w:t>
      </w:r>
      <w:r>
        <w:t xml:space="preserve"> PFC emissions from Hall–Héroult cells depend on anode effect frequency and duration, which varies by smelter age and operational practice. The model uses 0.70 tCO₂e/t as an intermediate value.</w:t>
      </w:r>
    </w:p>
    <w:p w14:paraId="041E7E18" w14:textId="77777777" w:rsidR="00587C7F" w:rsidRDefault="00587C7F">
      <w:pPr>
        <w:spacing w:before="40" w:after="40"/>
      </w:pPr>
    </w:p>
    <w:p w14:paraId="20D818A3" w14:textId="77777777" w:rsidR="00587C7F" w:rsidRDefault="00615B75">
      <w:pPr>
        <w:spacing w:before="60" w:after="60"/>
      </w:pPr>
      <w:r>
        <w:rPr>
          <w:i/>
          <w:iCs/>
          <w:color w:val="595959"/>
        </w:rPr>
        <w:t>Full source references: IPCC 2006 Guidelines for National Greenhouse Gas Inventories, Volume 2 (EGRD 2006); IPCC AR6 Working Group I, Annex II (2021); Regulation (EU) 2023/956 (OJ L 130, 16.5.2023); IR 2025/2620 and IR 2025/2621 (OJ L, 22.12.2025); IEA World Energy Balances 2024; WSA Steel Statistical Yearbook 2024; IAI World Aluminium Statistics; UN Comtrade HS-2022; IMF WEO April 2026.</w:t>
      </w:r>
    </w:p>
    <w:sectPr w:rsidR="00587C7F">
      <w:headerReference w:type="default" r:id="rId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3D88FD" w14:textId="77777777" w:rsidR="00615B75" w:rsidRDefault="00615B75">
      <w:r>
        <w:separator/>
      </w:r>
    </w:p>
  </w:endnote>
  <w:endnote w:type="continuationSeparator" w:id="0">
    <w:p w14:paraId="37011456" w14:textId="77777777" w:rsidR="00615B75" w:rsidRDefault="00615B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FAEC1E" w14:textId="77777777" w:rsidR="00615B75" w:rsidRDefault="00615B75">
      <w:r>
        <w:separator/>
      </w:r>
    </w:p>
  </w:footnote>
  <w:footnote w:type="continuationSeparator" w:id="0">
    <w:p w14:paraId="7FCFFA5E" w14:textId="77777777" w:rsidR="00615B75" w:rsidRDefault="00615B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12DF7" w14:textId="5869D719" w:rsidR="00587C7F" w:rsidRDefault="004A09B6">
    <w:pPr>
      <w:pBdr>
        <w:bottom w:val="single" w:sz="4" w:space="2" w:color="2E75B6"/>
      </w:pBdr>
    </w:pPr>
    <w:r>
      <w:rPr>
        <w:color w:val="808080"/>
        <w:sz w:val="16"/>
        <w:szCs w:val="16"/>
      </w:rPr>
      <w:t>CBAM</w:t>
    </w:r>
    <w:r w:rsidR="00615B75">
      <w:rPr>
        <w:color w:val="808080"/>
        <w:sz w:val="16"/>
        <w:szCs w:val="16"/>
      </w:rPr>
      <w:t xml:space="preserve"> Policy Dashboard v1.0  —  User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437769"/>
    <w:multiLevelType w:val="hybridMultilevel"/>
    <w:tmpl w:val="18363BBC"/>
    <w:lvl w:ilvl="0" w:tplc="F4481AE6">
      <w:start w:val="1"/>
      <w:numFmt w:val="bullet"/>
      <w:lvlText w:val="●"/>
      <w:lvlJc w:val="left"/>
      <w:pPr>
        <w:ind w:left="720" w:hanging="360"/>
      </w:pPr>
    </w:lvl>
    <w:lvl w:ilvl="1" w:tplc="32D435C2">
      <w:start w:val="1"/>
      <w:numFmt w:val="bullet"/>
      <w:lvlText w:val="○"/>
      <w:lvlJc w:val="left"/>
      <w:pPr>
        <w:ind w:left="1440" w:hanging="360"/>
      </w:pPr>
    </w:lvl>
    <w:lvl w:ilvl="2" w:tplc="E17CF2CC">
      <w:start w:val="1"/>
      <w:numFmt w:val="bullet"/>
      <w:lvlText w:val="■"/>
      <w:lvlJc w:val="left"/>
      <w:pPr>
        <w:ind w:left="2160" w:hanging="360"/>
      </w:pPr>
    </w:lvl>
    <w:lvl w:ilvl="3" w:tplc="2A3A3A82">
      <w:start w:val="1"/>
      <w:numFmt w:val="bullet"/>
      <w:lvlText w:val="●"/>
      <w:lvlJc w:val="left"/>
      <w:pPr>
        <w:ind w:left="2880" w:hanging="360"/>
      </w:pPr>
    </w:lvl>
    <w:lvl w:ilvl="4" w:tplc="E8629118">
      <w:start w:val="1"/>
      <w:numFmt w:val="bullet"/>
      <w:lvlText w:val="○"/>
      <w:lvlJc w:val="left"/>
      <w:pPr>
        <w:ind w:left="3600" w:hanging="360"/>
      </w:pPr>
    </w:lvl>
    <w:lvl w:ilvl="5" w:tplc="D0AE19E4">
      <w:start w:val="1"/>
      <w:numFmt w:val="bullet"/>
      <w:lvlText w:val="■"/>
      <w:lvlJc w:val="left"/>
      <w:pPr>
        <w:ind w:left="4320" w:hanging="360"/>
      </w:pPr>
    </w:lvl>
    <w:lvl w:ilvl="6" w:tplc="815C0EA6">
      <w:start w:val="1"/>
      <w:numFmt w:val="bullet"/>
      <w:lvlText w:val="●"/>
      <w:lvlJc w:val="left"/>
      <w:pPr>
        <w:ind w:left="5040" w:hanging="360"/>
      </w:pPr>
    </w:lvl>
    <w:lvl w:ilvl="7" w:tplc="6DEC8EE0">
      <w:start w:val="1"/>
      <w:numFmt w:val="bullet"/>
      <w:lvlText w:val="●"/>
      <w:lvlJc w:val="left"/>
      <w:pPr>
        <w:ind w:left="5760" w:hanging="360"/>
      </w:pPr>
    </w:lvl>
    <w:lvl w:ilvl="8" w:tplc="CD86332C">
      <w:start w:val="1"/>
      <w:numFmt w:val="bullet"/>
      <w:lvlText w:val="●"/>
      <w:lvlJc w:val="left"/>
      <w:pPr>
        <w:ind w:left="6480" w:hanging="360"/>
      </w:pPr>
    </w:lvl>
  </w:abstractNum>
  <w:abstractNum w:abstractNumId="1" w15:restartNumberingAfterBreak="0">
    <w:nsid w:val="74A238D0"/>
    <w:multiLevelType w:val="hybridMultilevel"/>
    <w:tmpl w:val="68086ACA"/>
    <w:lvl w:ilvl="0" w:tplc="50B211CE">
      <w:start w:val="1"/>
      <w:numFmt w:val="bullet"/>
      <w:lvlText w:val="•"/>
      <w:lvlJc w:val="left"/>
      <w:pPr>
        <w:ind w:left="720" w:hanging="360"/>
      </w:pPr>
    </w:lvl>
    <w:lvl w:ilvl="1" w:tplc="6F14DC36">
      <w:start w:val="1"/>
      <w:numFmt w:val="bullet"/>
      <w:lvlText w:val="◦"/>
      <w:lvlJc w:val="left"/>
      <w:pPr>
        <w:ind w:left="1080" w:hanging="360"/>
      </w:pPr>
    </w:lvl>
    <w:lvl w:ilvl="2" w:tplc="80BC42F2">
      <w:numFmt w:val="decimal"/>
      <w:lvlText w:val=""/>
      <w:lvlJc w:val="left"/>
    </w:lvl>
    <w:lvl w:ilvl="3" w:tplc="B894ACA8">
      <w:numFmt w:val="decimal"/>
      <w:lvlText w:val=""/>
      <w:lvlJc w:val="left"/>
    </w:lvl>
    <w:lvl w:ilvl="4" w:tplc="5B1474B6">
      <w:numFmt w:val="decimal"/>
      <w:lvlText w:val=""/>
      <w:lvlJc w:val="left"/>
    </w:lvl>
    <w:lvl w:ilvl="5" w:tplc="FEEC61E2">
      <w:numFmt w:val="decimal"/>
      <w:lvlText w:val=""/>
      <w:lvlJc w:val="left"/>
    </w:lvl>
    <w:lvl w:ilvl="6" w:tplc="70D2A4EC">
      <w:numFmt w:val="decimal"/>
      <w:lvlText w:val=""/>
      <w:lvlJc w:val="left"/>
    </w:lvl>
    <w:lvl w:ilvl="7" w:tplc="6EA674AC">
      <w:numFmt w:val="decimal"/>
      <w:lvlText w:val=""/>
      <w:lvlJc w:val="left"/>
    </w:lvl>
    <w:lvl w:ilvl="8" w:tplc="4E4AE25C">
      <w:numFmt w:val="decimal"/>
      <w:lvlText w:val=""/>
      <w:lvlJc w:val="left"/>
    </w:lvl>
  </w:abstractNum>
  <w:num w:numId="1" w16cid:durableId="1257711369">
    <w:abstractNumId w:val="0"/>
    <w:lvlOverride w:ilvl="0">
      <w:startOverride w:val="1"/>
    </w:lvlOverride>
  </w:num>
  <w:num w:numId="2" w16cid:durableId="32043080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7C7F"/>
    <w:rsid w:val="000453F6"/>
    <w:rsid w:val="003951A7"/>
    <w:rsid w:val="004A09B6"/>
    <w:rsid w:val="00587C7F"/>
    <w:rsid w:val="00615B75"/>
    <w:rsid w:val="006F0F27"/>
    <w:rsid w:val="00B9227B"/>
    <w:rsid w:val="00CD14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F2FDD"/>
  <w15:docId w15:val="{80872D6F-0FA5-4186-9A4B-32BA5CE627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FFFFFF"/>
      <w:sz w:val="32"/>
      <w:szCs w:val="32"/>
    </w:rPr>
  </w:style>
  <w:style w:type="paragraph" w:styleId="Heading2">
    <w:name w:val="heading 2"/>
    <w:uiPriority w:val="9"/>
    <w:unhideWhenUsed/>
    <w:qFormat/>
    <w:pPr>
      <w:spacing w:before="220" w:after="80"/>
      <w:outlineLvl w:val="1"/>
    </w:pPr>
    <w:rPr>
      <w:b/>
      <w:bCs/>
      <w:color w:val="1F4E79"/>
      <w:sz w:val="26"/>
      <w:szCs w:val="26"/>
    </w:rPr>
  </w:style>
  <w:style w:type="paragraph" w:styleId="Heading3">
    <w:name w:val="heading 3"/>
    <w:uiPriority w:val="9"/>
    <w:unhideWhenUsed/>
    <w:qFormat/>
    <w:pPr>
      <w:spacing w:before="160" w:after="60"/>
      <w:outlineLvl w:val="2"/>
    </w:pPr>
    <w:rPr>
      <w:b/>
      <w:bCs/>
      <w:color w:val="2E75B6"/>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A09B6"/>
    <w:pPr>
      <w:tabs>
        <w:tab w:val="center" w:pos="4680"/>
        <w:tab w:val="right" w:pos="9360"/>
      </w:tabs>
    </w:pPr>
  </w:style>
  <w:style w:type="character" w:customStyle="1" w:styleId="HeaderChar">
    <w:name w:val="Header Char"/>
    <w:basedOn w:val="DefaultParagraphFont"/>
    <w:link w:val="Header"/>
    <w:uiPriority w:val="99"/>
    <w:rsid w:val="004A09B6"/>
  </w:style>
  <w:style w:type="paragraph" w:styleId="Footer">
    <w:name w:val="footer"/>
    <w:basedOn w:val="Normal"/>
    <w:link w:val="FooterChar"/>
    <w:uiPriority w:val="99"/>
    <w:unhideWhenUsed/>
    <w:rsid w:val="004A09B6"/>
    <w:pPr>
      <w:tabs>
        <w:tab w:val="center" w:pos="4680"/>
        <w:tab w:val="right" w:pos="9360"/>
      </w:tabs>
    </w:pPr>
  </w:style>
  <w:style w:type="character" w:customStyle="1" w:styleId="FooterChar">
    <w:name w:val="Footer Char"/>
    <w:basedOn w:val="DefaultParagraphFont"/>
    <w:link w:val="Footer"/>
    <w:uiPriority w:val="99"/>
    <w:rsid w:val="004A09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18</Pages>
  <Words>4718</Words>
  <Characters>26893</Characters>
  <Application>Microsoft Office Word</Application>
  <DocSecurity>0</DocSecurity>
  <Lines>224</Lines>
  <Paragraphs>63</Paragraphs>
  <ScaleCrop>false</ScaleCrop>
  <Company>WBG</Company>
  <LinksUpToDate>false</LinksUpToDate>
  <CharactersWithSpaces>31548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Stephen Stretton</cp:lastModifiedBy>
  <cp:revision>6</cp:revision>
  <dcterms:created xsi:type="dcterms:W3CDTF">2026-05-21T00:33:00Z</dcterms:created>
  <dcterms:modified xsi:type="dcterms:W3CDTF">2026-05-21T14:26:00Z</dcterms:modified>
</cp:coreProperties>
</file>