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1A6CA" w14:textId="77777777" w:rsidR="00CF796C" w:rsidRDefault="00314939">
      <w:pPr>
        <w:spacing w:after="40"/>
      </w:pPr>
      <w:r>
        <w:rPr>
          <w:b/>
          <w:bCs/>
          <w:color w:val="B8860B"/>
          <w:spacing w:val="60"/>
          <w:sz w:val="18"/>
          <w:szCs w:val="18"/>
        </w:rPr>
        <w:t>WORKING PAPER · SUMMARY</w:t>
      </w:r>
    </w:p>
    <w:p w14:paraId="63E1A6CB" w14:textId="77777777" w:rsidR="00CF796C" w:rsidRDefault="00314939">
      <w:pPr>
        <w:pStyle w:val="Heading1"/>
        <w:spacing w:after="40"/>
      </w:pPr>
      <w:r>
        <w:rPr>
          <w:sz w:val="40"/>
          <w:szCs w:val="40"/>
        </w:rPr>
        <w:t>Excise, Externalities and Pathways</w:t>
      </w:r>
    </w:p>
    <w:p w14:paraId="63E1A6CC" w14:textId="77777777" w:rsidR="00CF796C" w:rsidRDefault="00314939">
      <w:pPr>
        <w:spacing w:after="160" w:line="276" w:lineRule="auto"/>
      </w:pPr>
      <w:r>
        <w:rPr>
          <w:i/>
          <w:iCs/>
          <w:color w:val="5C667A"/>
          <w:sz w:val="22"/>
          <w:szCs w:val="22"/>
        </w:rPr>
        <w:t>A three-part diagnostic for country fiscal teams — and its fiscal bottom line</w:t>
      </w:r>
    </w:p>
    <w:p w14:paraId="63E1A6CD" w14:textId="77777777" w:rsidR="00CF796C" w:rsidRDefault="00314939">
      <w:pPr>
        <w:spacing w:after="120" w:line="276" w:lineRule="auto"/>
      </w:pPr>
      <w:r>
        <w:rPr>
          <w:b/>
          <w:bCs/>
          <w:color w:val="1F1F2E"/>
        </w:rPr>
        <w:t xml:space="preserve">The problem. </w:t>
      </w:r>
      <w:r>
        <w:rPr>
          <w:color w:val="1F1F2E"/>
        </w:rPr>
        <w:t>Finance ministries set excise and fuel-tax rates on revenue and political grounds; externality reasoning arrives late, if at all. The analytical tools exist — excise schedules, CPAT, the Climate and Health Program, IMF Getting Energy Prices Right — but sit in separate silos at the wrong unit of analysis. No single product brings them together for a country team to act on.</w:t>
      </w:r>
    </w:p>
    <w:p w14:paraId="63E1A6CE" w14:textId="77777777" w:rsidR="00CF796C" w:rsidRDefault="00314939">
      <w:pPr>
        <w:spacing w:after="160" w:line="276" w:lineRule="auto"/>
      </w:pPr>
      <w:r>
        <w:rPr>
          <w:b/>
          <w:bCs/>
          <w:color w:val="1F1F2E"/>
        </w:rPr>
        <w:t xml:space="preserve">The proposal. </w:t>
      </w:r>
      <w:r>
        <w:rPr>
          <w:color w:val="1F1F2E"/>
        </w:rPr>
        <w:t xml:space="preserve">A recurring Excise-Externality-Pathways Diagnostic in three parts. It is not a new model and needs no new modelling capacity — it is a synthesis layer. Its headline output is fiscal: what excises raise now, what better design could raise, and the social costs that revenue also addresses. It covers all excises but concentrates on six priority categories — fuel, vehicle, tobacco, alcohol, sugar-sweetened beverages and gambling — and feeds the PFR Visualization tool with </w:t>
      </w:r>
      <w:proofErr w:type="spellStart"/>
      <w:r>
        <w:rPr>
          <w:color w:val="1F1F2E"/>
        </w:rPr>
        <w:t>standardised</w:t>
      </w:r>
      <w:proofErr w:type="spellEnd"/>
      <w:r>
        <w:rPr>
          <w:color w:val="1F1F2E"/>
        </w:rPr>
        <w:t xml:space="preserve"> data.</w:t>
      </w:r>
    </w:p>
    <w:p w14:paraId="63E1A6CF" w14:textId="77777777" w:rsidR="00CF796C" w:rsidRDefault="00314939">
      <w:pPr>
        <w:pStyle w:val="Heading2"/>
      </w:pPr>
      <w:r>
        <w:t>The three parts — one fiscal question in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400"/>
        <w:gridCol w:w="4860"/>
      </w:tblGrid>
      <w:tr w:rsidR="00CF796C" w14:paraId="63E1A6D3" w14:textId="77777777">
        <w:trPr>
          <w:tblHeader/>
        </w:trPr>
        <w:tc>
          <w:tcPr>
            <w:tcW w:w="1100" w:type="dxa"/>
            <w:tcBorders>
              <w:top w:val="single" w:sz="4" w:space="0" w:color="C8CFE0"/>
              <w:left w:val="single" w:sz="4" w:space="0" w:color="C8CFE0"/>
              <w:bottom w:val="single" w:sz="4" w:space="0" w:color="C8CFE0"/>
              <w:right w:val="single" w:sz="4" w:space="0" w:color="C8CFE0"/>
            </w:tcBorders>
            <w:shd w:val="clear" w:color="auto" w:fill="1E2761"/>
            <w:tcMar>
              <w:top w:w="60" w:type="dxa"/>
              <w:left w:w="110" w:type="dxa"/>
              <w:bottom w:w="60" w:type="dxa"/>
              <w:right w:w="110" w:type="dxa"/>
            </w:tcMar>
            <w:vAlign w:val="center"/>
          </w:tcPr>
          <w:p w14:paraId="63E1A6D0" w14:textId="77777777" w:rsidR="00CF796C" w:rsidRDefault="00314939">
            <w:pPr>
              <w:jc w:val="center"/>
            </w:pPr>
            <w:r>
              <w:rPr>
                <w:b/>
                <w:bCs/>
                <w:color w:val="FFFFFF"/>
                <w:sz w:val="18"/>
                <w:szCs w:val="18"/>
              </w:rPr>
              <w:t>Part</w:t>
            </w:r>
          </w:p>
        </w:tc>
        <w:tc>
          <w:tcPr>
            <w:tcW w:w="3400" w:type="dxa"/>
            <w:tcBorders>
              <w:top w:val="single" w:sz="4" w:space="0" w:color="C8CFE0"/>
              <w:left w:val="single" w:sz="4" w:space="0" w:color="C8CFE0"/>
              <w:bottom w:val="single" w:sz="4" w:space="0" w:color="C8CFE0"/>
              <w:right w:val="single" w:sz="4" w:space="0" w:color="C8CFE0"/>
            </w:tcBorders>
            <w:shd w:val="clear" w:color="auto" w:fill="1E2761"/>
            <w:tcMar>
              <w:top w:w="60" w:type="dxa"/>
              <w:left w:w="110" w:type="dxa"/>
              <w:bottom w:w="60" w:type="dxa"/>
              <w:right w:w="110" w:type="dxa"/>
            </w:tcMar>
            <w:vAlign w:val="center"/>
          </w:tcPr>
          <w:p w14:paraId="63E1A6D1" w14:textId="77777777" w:rsidR="00CF796C" w:rsidRDefault="00314939">
            <w:r>
              <w:rPr>
                <w:b/>
                <w:bCs/>
                <w:color w:val="FFFFFF"/>
                <w:sz w:val="18"/>
                <w:szCs w:val="18"/>
              </w:rPr>
              <w:t>What it asks</w:t>
            </w:r>
          </w:p>
        </w:tc>
        <w:tc>
          <w:tcPr>
            <w:tcW w:w="4860" w:type="dxa"/>
            <w:tcBorders>
              <w:top w:val="single" w:sz="4" w:space="0" w:color="C8CFE0"/>
              <w:left w:val="single" w:sz="4" w:space="0" w:color="C8CFE0"/>
              <w:bottom w:val="single" w:sz="4" w:space="0" w:color="C8CFE0"/>
              <w:right w:val="single" w:sz="4" w:space="0" w:color="C8CFE0"/>
            </w:tcBorders>
            <w:shd w:val="clear" w:color="auto" w:fill="1E2761"/>
            <w:tcMar>
              <w:top w:w="60" w:type="dxa"/>
              <w:left w:w="110" w:type="dxa"/>
              <w:bottom w:w="60" w:type="dxa"/>
              <w:right w:w="110" w:type="dxa"/>
            </w:tcMar>
            <w:vAlign w:val="center"/>
          </w:tcPr>
          <w:p w14:paraId="63E1A6D2" w14:textId="77777777" w:rsidR="00CF796C" w:rsidRDefault="00314939">
            <w:r>
              <w:rPr>
                <w:b/>
                <w:bCs/>
                <w:color w:val="FFFFFF"/>
                <w:sz w:val="18"/>
                <w:szCs w:val="18"/>
              </w:rPr>
              <w:t>The fiscal bottom line</w:t>
            </w:r>
          </w:p>
        </w:tc>
      </w:tr>
      <w:tr w:rsidR="00CF796C" w14:paraId="63E1A6D7" w14:textId="77777777">
        <w:tc>
          <w:tcPr>
            <w:tcW w:w="11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D4" w14:textId="77777777" w:rsidR="00CF796C" w:rsidRDefault="00314939">
            <w:pPr>
              <w:jc w:val="center"/>
            </w:pPr>
            <w:r>
              <w:rPr>
                <w:b/>
                <w:bCs/>
                <w:color w:val="1E2761"/>
                <w:sz w:val="22"/>
                <w:szCs w:val="22"/>
              </w:rPr>
              <w:t>A</w:t>
            </w:r>
          </w:p>
        </w:tc>
        <w:tc>
          <w:tcPr>
            <w:tcW w:w="34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D5" w14:textId="77777777" w:rsidR="00CF796C" w:rsidRDefault="00314939">
            <w:r>
              <w:rPr>
                <w:b/>
                <w:bCs/>
                <w:color w:val="1F1F2E"/>
              </w:rPr>
              <w:t xml:space="preserve">Excise Diagnostic. </w:t>
            </w:r>
            <w:r>
              <w:rPr>
                <w:color w:val="1F1F2E"/>
              </w:rPr>
              <w:t>Is each instrument set correctly?</w:t>
            </w:r>
          </w:p>
        </w:tc>
        <w:tc>
          <w:tcPr>
            <w:tcW w:w="486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D6" w14:textId="77777777" w:rsidR="00CF796C" w:rsidRDefault="00314939">
            <w:r>
              <w:rPr>
                <w:sz w:val="18"/>
                <w:szCs w:val="18"/>
              </w:rPr>
              <w:t>What every excise line raises now, and where erosion, gaps and anomalies are leaking revenue.</w:t>
            </w:r>
          </w:p>
        </w:tc>
      </w:tr>
      <w:tr w:rsidR="00CF796C" w14:paraId="63E1A6DB" w14:textId="77777777">
        <w:tc>
          <w:tcPr>
            <w:tcW w:w="11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D8" w14:textId="77777777" w:rsidR="00CF796C" w:rsidRDefault="00314939">
            <w:pPr>
              <w:jc w:val="center"/>
            </w:pPr>
            <w:r>
              <w:rPr>
                <w:b/>
                <w:bCs/>
                <w:color w:val="1E2761"/>
                <w:sz w:val="22"/>
                <w:szCs w:val="22"/>
              </w:rPr>
              <w:t>B</w:t>
            </w:r>
          </w:p>
        </w:tc>
        <w:tc>
          <w:tcPr>
            <w:tcW w:w="34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D9" w14:textId="77777777" w:rsidR="00CF796C" w:rsidRDefault="00314939">
            <w:r>
              <w:rPr>
                <w:b/>
                <w:bCs/>
                <w:color w:val="1F1F2E"/>
              </w:rPr>
              <w:t xml:space="preserve">Externality Diagnostic. </w:t>
            </w:r>
            <w:r>
              <w:rPr>
                <w:color w:val="1F1F2E"/>
              </w:rPr>
              <w:t>Does the system price the externalities that matter?</w:t>
            </w:r>
          </w:p>
        </w:tc>
        <w:tc>
          <w:tcPr>
            <w:tcW w:w="486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DA" w14:textId="77777777" w:rsidR="00CF796C" w:rsidRDefault="00314939">
            <w:r>
              <w:rPr>
                <w:sz w:val="18"/>
                <w:szCs w:val="18"/>
              </w:rPr>
              <w:t>The revenue left on the table where external costs are underpriced — the implicit subsidy — and what closing the gap would yield.</w:t>
            </w:r>
          </w:p>
        </w:tc>
      </w:tr>
      <w:tr w:rsidR="00CF796C" w14:paraId="63E1A6DF" w14:textId="77777777">
        <w:tc>
          <w:tcPr>
            <w:tcW w:w="11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DC" w14:textId="77777777" w:rsidR="00CF796C" w:rsidRDefault="00314939">
            <w:pPr>
              <w:jc w:val="center"/>
            </w:pPr>
            <w:r>
              <w:rPr>
                <w:b/>
                <w:bCs/>
                <w:color w:val="1E2761"/>
                <w:sz w:val="22"/>
                <w:szCs w:val="22"/>
              </w:rPr>
              <w:t>C</w:t>
            </w:r>
          </w:p>
        </w:tc>
        <w:tc>
          <w:tcPr>
            <w:tcW w:w="34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DD" w14:textId="77777777" w:rsidR="00CF796C" w:rsidRDefault="00314939">
            <w:r>
              <w:rPr>
                <w:b/>
                <w:bCs/>
                <w:color w:val="1F1F2E"/>
              </w:rPr>
              <w:t xml:space="preserve">Policy Pathways. </w:t>
            </w:r>
            <w:r>
              <w:rPr>
                <w:color w:val="1F1F2E"/>
              </w:rPr>
              <w:t>What to do, and in what order?</w:t>
            </w:r>
          </w:p>
        </w:tc>
        <w:tc>
          <w:tcPr>
            <w:tcW w:w="486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DE" w14:textId="77777777" w:rsidR="00CF796C" w:rsidRDefault="00314939">
            <w:r>
              <w:rPr>
                <w:sz w:val="18"/>
                <w:szCs w:val="18"/>
              </w:rPr>
              <w:t>A sequenced reform calendar with a revenue trajectory a ministry can budget against.</w:t>
            </w:r>
          </w:p>
        </w:tc>
      </w:tr>
    </w:tbl>
    <w:p w14:paraId="63E1A6E0" w14:textId="77777777" w:rsidR="00CF796C" w:rsidRDefault="00CF796C">
      <w:pPr>
        <w:spacing w:after="80" w:line="276" w:lineRule="auto"/>
      </w:pPr>
    </w:p>
    <w:p w14:paraId="63E1A6E1" w14:textId="77777777" w:rsidR="00CF796C" w:rsidRDefault="00314939">
      <w:pPr>
        <w:pStyle w:val="Heading2"/>
      </w:pPr>
      <w:r>
        <w:t>The key questions — and the climate–health link</w:t>
      </w:r>
    </w:p>
    <w:p w14:paraId="63E1A6E2" w14:textId="77777777" w:rsidR="00CF796C" w:rsidRDefault="00314939">
      <w:pPr>
        <w:spacing w:after="120" w:line="276" w:lineRule="auto"/>
      </w:pPr>
      <w:r>
        <w:rPr>
          <w:color w:val="1F1F2E"/>
        </w:rPr>
        <w:t xml:space="preserve">The diagnostic is </w:t>
      </w:r>
      <w:proofErr w:type="spellStart"/>
      <w:r>
        <w:rPr>
          <w:color w:val="1F1F2E"/>
        </w:rPr>
        <w:t>organised</w:t>
      </w:r>
      <w:proofErr w:type="spellEnd"/>
      <w:r>
        <w:rPr>
          <w:color w:val="1F1F2E"/>
        </w:rPr>
        <w:t xml:space="preserve"> around </w:t>
      </w:r>
      <w:r>
        <w:rPr>
          <w:b/>
          <w:bCs/>
          <w:color w:val="1F1F2E"/>
        </w:rPr>
        <w:t>28 key questions</w:t>
      </w:r>
      <w:r>
        <w:rPr>
          <w:color w:val="1F1F2E"/>
        </w:rPr>
        <w:t xml:space="preserve">. The crucial point: </w:t>
      </w:r>
      <w:r>
        <w:rPr>
          <w:b/>
          <w:bCs/>
          <w:color w:val="1F1F2E"/>
        </w:rPr>
        <w:t>20 of the 28 are inherited from the climate and health programs’ existing capacities</w:t>
      </w:r>
      <w:r>
        <w:rPr>
          <w:color w:val="1F1F2E"/>
        </w:rPr>
        <w:t xml:space="preserve"> (CPAT, the Climate &amp; Health Program, IMF GEPR). The diagnostic </w:t>
      </w:r>
      <w:proofErr w:type="spellStart"/>
      <w:r>
        <w:rPr>
          <w:color w:val="1F1F2E"/>
        </w:rPr>
        <w:t>harmonises</w:t>
      </w:r>
      <w:proofErr w:type="spellEnd"/>
      <w:r>
        <w:rPr>
          <w:color w:val="1F1F2E"/>
        </w:rPr>
        <w:t xml:space="preserve"> them onto one valuation spine — a single value of statistical life, one carbon shadow price, one accident-cost set — rather than reinventing them. Eight questions, mostly the Part A schedule reads and the Part C sequencing, are added by the diagnostic. Eight are answerable in a simplified (“Easy”) version from the schedule alone; sixteen need the comprehensive treatment.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80"/>
        <w:gridCol w:w="1180"/>
        <w:gridCol w:w="5500"/>
      </w:tblGrid>
      <w:tr w:rsidR="00CF796C" w14:paraId="63E1A6E7" w14:textId="77777777">
        <w:trPr>
          <w:tblHeader/>
        </w:trPr>
        <w:tc>
          <w:tcPr>
            <w:tcW w:w="1500" w:type="dxa"/>
            <w:tcBorders>
              <w:top w:val="single" w:sz="4" w:space="0" w:color="C8CFE0"/>
              <w:left w:val="single" w:sz="4" w:space="0" w:color="C8CFE0"/>
              <w:bottom w:val="single" w:sz="4" w:space="0" w:color="C8CFE0"/>
              <w:right w:val="single" w:sz="4" w:space="0" w:color="C8CFE0"/>
            </w:tcBorders>
            <w:shd w:val="clear" w:color="auto" w:fill="1E2761"/>
            <w:tcMar>
              <w:top w:w="60" w:type="dxa"/>
              <w:left w:w="110" w:type="dxa"/>
              <w:bottom w:w="60" w:type="dxa"/>
              <w:right w:w="110" w:type="dxa"/>
            </w:tcMar>
            <w:vAlign w:val="center"/>
          </w:tcPr>
          <w:p w14:paraId="63E1A6E3" w14:textId="77777777" w:rsidR="00CF796C" w:rsidRDefault="00314939">
            <w:r>
              <w:rPr>
                <w:b/>
                <w:bCs/>
                <w:color w:val="FFFFFF"/>
                <w:sz w:val="18"/>
                <w:szCs w:val="18"/>
              </w:rPr>
              <w:t>Group (Q)</w:t>
            </w:r>
          </w:p>
        </w:tc>
        <w:tc>
          <w:tcPr>
            <w:tcW w:w="1180" w:type="dxa"/>
            <w:tcBorders>
              <w:top w:val="single" w:sz="4" w:space="0" w:color="C8CFE0"/>
              <w:left w:val="single" w:sz="4" w:space="0" w:color="C8CFE0"/>
              <w:bottom w:val="single" w:sz="4" w:space="0" w:color="C8CFE0"/>
              <w:right w:val="single" w:sz="4" w:space="0" w:color="C8CFE0"/>
            </w:tcBorders>
            <w:shd w:val="clear" w:color="auto" w:fill="1E2761"/>
            <w:tcMar>
              <w:top w:w="60" w:type="dxa"/>
              <w:left w:w="110" w:type="dxa"/>
              <w:bottom w:w="60" w:type="dxa"/>
              <w:right w:w="110" w:type="dxa"/>
            </w:tcMar>
            <w:vAlign w:val="center"/>
          </w:tcPr>
          <w:p w14:paraId="63E1A6E4" w14:textId="77777777" w:rsidR="00CF796C" w:rsidRDefault="00314939">
            <w:pPr>
              <w:jc w:val="center"/>
            </w:pPr>
            <w:r>
              <w:rPr>
                <w:b/>
                <w:bCs/>
                <w:color w:val="FFFFFF"/>
                <w:sz w:val="18"/>
                <w:szCs w:val="18"/>
              </w:rPr>
              <w:t>Origin</w:t>
            </w:r>
          </w:p>
        </w:tc>
        <w:tc>
          <w:tcPr>
            <w:tcW w:w="1180" w:type="dxa"/>
            <w:tcBorders>
              <w:top w:val="single" w:sz="4" w:space="0" w:color="C8CFE0"/>
              <w:left w:val="single" w:sz="4" w:space="0" w:color="C8CFE0"/>
              <w:bottom w:val="single" w:sz="4" w:space="0" w:color="C8CFE0"/>
              <w:right w:val="single" w:sz="4" w:space="0" w:color="C8CFE0"/>
            </w:tcBorders>
            <w:shd w:val="clear" w:color="auto" w:fill="1E2761"/>
            <w:tcMar>
              <w:top w:w="60" w:type="dxa"/>
              <w:left w:w="110" w:type="dxa"/>
              <w:bottom w:w="60" w:type="dxa"/>
              <w:right w:w="110" w:type="dxa"/>
            </w:tcMar>
            <w:vAlign w:val="center"/>
          </w:tcPr>
          <w:p w14:paraId="63E1A6E5" w14:textId="77777777" w:rsidR="00CF796C" w:rsidRDefault="00314939">
            <w:pPr>
              <w:jc w:val="center"/>
            </w:pPr>
            <w:r>
              <w:rPr>
                <w:b/>
                <w:bCs/>
                <w:color w:val="FFFFFF"/>
                <w:sz w:val="18"/>
                <w:szCs w:val="18"/>
              </w:rPr>
              <w:t>Version</w:t>
            </w:r>
          </w:p>
        </w:tc>
        <w:tc>
          <w:tcPr>
            <w:tcW w:w="5500" w:type="dxa"/>
            <w:tcBorders>
              <w:top w:val="single" w:sz="4" w:space="0" w:color="C8CFE0"/>
              <w:left w:val="single" w:sz="4" w:space="0" w:color="C8CFE0"/>
              <w:bottom w:val="single" w:sz="4" w:space="0" w:color="C8CFE0"/>
              <w:right w:val="single" w:sz="4" w:space="0" w:color="C8CFE0"/>
            </w:tcBorders>
            <w:shd w:val="clear" w:color="auto" w:fill="1E2761"/>
            <w:tcMar>
              <w:top w:w="60" w:type="dxa"/>
              <w:left w:w="110" w:type="dxa"/>
              <w:bottom w:w="60" w:type="dxa"/>
              <w:right w:w="110" w:type="dxa"/>
            </w:tcMar>
            <w:vAlign w:val="center"/>
          </w:tcPr>
          <w:p w14:paraId="63E1A6E6" w14:textId="77777777" w:rsidR="00CF796C" w:rsidRDefault="00314939">
            <w:r>
              <w:rPr>
                <w:b/>
                <w:bCs/>
                <w:color w:val="FFFFFF"/>
                <w:sz w:val="18"/>
                <w:szCs w:val="18"/>
              </w:rPr>
              <w:t>What it covers</w:t>
            </w:r>
          </w:p>
        </w:tc>
      </w:tr>
      <w:tr w:rsidR="00CF796C" w14:paraId="63E1A6EC" w14:textId="77777777">
        <w:tc>
          <w:tcPr>
            <w:tcW w:w="15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E8" w14:textId="77777777" w:rsidR="00CF796C" w:rsidRDefault="00314939">
            <w:r>
              <w:rPr>
                <w:b/>
                <w:bCs/>
                <w:color w:val="1E2761"/>
                <w:sz w:val="18"/>
                <w:szCs w:val="18"/>
              </w:rPr>
              <w:t>A · Q1–Q7</w:t>
            </w:r>
          </w:p>
        </w:tc>
        <w:tc>
          <w:tcPr>
            <w:tcW w:w="118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E9" w14:textId="77777777" w:rsidR="00CF796C" w:rsidRDefault="00314939">
            <w:pPr>
              <w:jc w:val="center"/>
            </w:pPr>
            <w:r>
              <w:rPr>
                <w:color w:val="5C667A"/>
                <w:sz w:val="18"/>
                <w:szCs w:val="18"/>
              </w:rPr>
              <w:t>Mixed</w:t>
            </w:r>
          </w:p>
        </w:tc>
        <w:tc>
          <w:tcPr>
            <w:tcW w:w="118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EA" w14:textId="77777777" w:rsidR="00CF796C" w:rsidRDefault="00314939">
            <w:pPr>
              <w:jc w:val="center"/>
            </w:pPr>
            <w:r>
              <w:rPr>
                <w:b/>
                <w:bCs/>
                <w:color w:val="1F1F2E"/>
                <w:sz w:val="18"/>
                <w:szCs w:val="18"/>
              </w:rPr>
              <w:t>Mostly Easy</w:t>
            </w:r>
          </w:p>
        </w:tc>
        <w:tc>
          <w:tcPr>
            <w:tcW w:w="55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EB" w14:textId="77777777" w:rsidR="00CF796C" w:rsidRDefault="00314939">
            <w:r>
              <w:rPr>
                <w:sz w:val="18"/>
                <w:szCs w:val="18"/>
              </w:rPr>
              <w:t>Coverage, structure, intensity, benchmarking, erosion, coherence, price tracking — read from the schedule.</w:t>
            </w:r>
          </w:p>
        </w:tc>
      </w:tr>
      <w:tr w:rsidR="00CF796C" w14:paraId="63E1A6F1" w14:textId="77777777">
        <w:tc>
          <w:tcPr>
            <w:tcW w:w="15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ED" w14:textId="77777777" w:rsidR="00CF796C" w:rsidRDefault="00314939">
            <w:r>
              <w:rPr>
                <w:b/>
                <w:bCs/>
                <w:color w:val="1E2761"/>
                <w:sz w:val="18"/>
                <w:szCs w:val="18"/>
              </w:rPr>
              <w:t>B · Q8–Q14</w:t>
            </w:r>
          </w:p>
        </w:tc>
        <w:tc>
          <w:tcPr>
            <w:tcW w:w="118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EE" w14:textId="77777777" w:rsidR="00CF796C" w:rsidRDefault="00314939">
            <w:pPr>
              <w:jc w:val="center"/>
            </w:pPr>
            <w:r>
              <w:rPr>
                <w:color w:val="1F1F2E"/>
                <w:sz w:val="18"/>
                <w:szCs w:val="18"/>
              </w:rPr>
              <w:t>Spec</w:t>
            </w:r>
          </w:p>
        </w:tc>
        <w:tc>
          <w:tcPr>
            <w:tcW w:w="118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EF" w14:textId="77777777" w:rsidR="00CF796C" w:rsidRDefault="00314939">
            <w:pPr>
              <w:jc w:val="center"/>
            </w:pPr>
            <w:r>
              <w:rPr>
                <w:b/>
                <w:bCs/>
                <w:color w:val="8A5A00"/>
                <w:sz w:val="18"/>
                <w:szCs w:val="18"/>
              </w:rPr>
              <w:t>Comp.</w:t>
            </w:r>
          </w:p>
        </w:tc>
        <w:tc>
          <w:tcPr>
            <w:tcW w:w="55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F0" w14:textId="77777777" w:rsidR="00CF796C" w:rsidRDefault="00314939">
            <w:r>
              <w:rPr>
                <w:sz w:val="18"/>
                <w:szCs w:val="18"/>
              </w:rPr>
              <w:t>Joint benchmarking, tax per unit of harmful content, share of price from excise, tax gaps vs social cost, consumption, disease burden, affordability.</w:t>
            </w:r>
          </w:p>
        </w:tc>
      </w:tr>
      <w:tr w:rsidR="00CF796C" w14:paraId="63E1A6F6" w14:textId="77777777">
        <w:tc>
          <w:tcPr>
            <w:tcW w:w="15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F2" w14:textId="77777777" w:rsidR="00CF796C" w:rsidRDefault="00314939">
            <w:r>
              <w:rPr>
                <w:b/>
                <w:bCs/>
                <w:color w:val="1E2761"/>
                <w:sz w:val="18"/>
                <w:szCs w:val="18"/>
              </w:rPr>
              <w:t>B · Q15–Q21</w:t>
            </w:r>
          </w:p>
        </w:tc>
        <w:tc>
          <w:tcPr>
            <w:tcW w:w="118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F3" w14:textId="77777777" w:rsidR="00CF796C" w:rsidRDefault="00314939">
            <w:pPr>
              <w:jc w:val="center"/>
            </w:pPr>
            <w:r>
              <w:rPr>
                <w:color w:val="1F1F2E"/>
                <w:sz w:val="18"/>
                <w:szCs w:val="18"/>
              </w:rPr>
              <w:t>Spec</w:t>
            </w:r>
          </w:p>
        </w:tc>
        <w:tc>
          <w:tcPr>
            <w:tcW w:w="118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F4" w14:textId="77777777" w:rsidR="00CF796C" w:rsidRDefault="00314939">
            <w:pPr>
              <w:jc w:val="center"/>
            </w:pPr>
            <w:r>
              <w:rPr>
                <w:b/>
                <w:bCs/>
                <w:color w:val="1F1F2E"/>
                <w:sz w:val="18"/>
                <w:szCs w:val="18"/>
              </w:rPr>
              <w:t>Both / Comp.</w:t>
            </w:r>
          </w:p>
        </w:tc>
        <w:tc>
          <w:tcPr>
            <w:tcW w:w="55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F5" w14:textId="77777777" w:rsidR="00CF796C" w:rsidRDefault="00314939">
            <w:r>
              <w:rPr>
                <w:sz w:val="18"/>
                <w:szCs w:val="18"/>
              </w:rPr>
              <w:t>Reform effects — revenue, prices, product use, disease averted, distributional incidence, macro, informality — from CPAT and health-program modules.</w:t>
            </w:r>
          </w:p>
        </w:tc>
      </w:tr>
      <w:tr w:rsidR="00CF796C" w14:paraId="63E1A6FB" w14:textId="77777777">
        <w:tc>
          <w:tcPr>
            <w:tcW w:w="15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F7" w14:textId="77777777" w:rsidR="00CF796C" w:rsidRDefault="00314939">
            <w:r>
              <w:rPr>
                <w:b/>
                <w:bCs/>
                <w:color w:val="1E2761"/>
                <w:sz w:val="18"/>
                <w:szCs w:val="18"/>
              </w:rPr>
              <w:t>B · Q22–Q23</w:t>
            </w:r>
          </w:p>
        </w:tc>
        <w:tc>
          <w:tcPr>
            <w:tcW w:w="118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F8" w14:textId="77777777" w:rsidR="00CF796C" w:rsidRDefault="00314939">
            <w:pPr>
              <w:jc w:val="center"/>
            </w:pPr>
            <w:r>
              <w:rPr>
                <w:color w:val="1F1F2E"/>
                <w:sz w:val="18"/>
                <w:szCs w:val="18"/>
              </w:rPr>
              <w:t>Spec</w:t>
            </w:r>
          </w:p>
        </w:tc>
        <w:tc>
          <w:tcPr>
            <w:tcW w:w="118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F9" w14:textId="77777777" w:rsidR="00CF796C" w:rsidRDefault="00314939">
            <w:pPr>
              <w:jc w:val="center"/>
            </w:pPr>
            <w:r>
              <w:rPr>
                <w:b/>
                <w:bCs/>
                <w:color w:val="1E6F4C"/>
                <w:sz w:val="18"/>
                <w:szCs w:val="18"/>
              </w:rPr>
              <w:t>Easy</w:t>
            </w:r>
          </w:p>
        </w:tc>
        <w:tc>
          <w:tcPr>
            <w:tcW w:w="55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FA" w14:textId="77777777" w:rsidR="00CF796C" w:rsidRDefault="00314939">
            <w:r>
              <w:rPr>
                <w:sz w:val="18"/>
                <w:szCs w:val="18"/>
              </w:rPr>
              <w:t>Design: specific vs ad valorem; indexation of specific rates.</w:t>
            </w:r>
          </w:p>
        </w:tc>
      </w:tr>
      <w:tr w:rsidR="00CF796C" w14:paraId="63E1A700" w14:textId="77777777">
        <w:tc>
          <w:tcPr>
            <w:tcW w:w="15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FC" w14:textId="77777777" w:rsidR="00CF796C" w:rsidRDefault="00314939">
            <w:r>
              <w:rPr>
                <w:b/>
                <w:bCs/>
                <w:color w:val="1E2761"/>
                <w:sz w:val="18"/>
                <w:szCs w:val="18"/>
              </w:rPr>
              <w:t>C · Q24–Q28</w:t>
            </w:r>
          </w:p>
        </w:tc>
        <w:tc>
          <w:tcPr>
            <w:tcW w:w="118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FD" w14:textId="77777777" w:rsidR="00CF796C" w:rsidRDefault="00314939">
            <w:pPr>
              <w:jc w:val="center"/>
            </w:pPr>
            <w:r>
              <w:rPr>
                <w:color w:val="5C667A"/>
                <w:sz w:val="18"/>
                <w:szCs w:val="18"/>
              </w:rPr>
              <w:t>Added</w:t>
            </w:r>
          </w:p>
        </w:tc>
        <w:tc>
          <w:tcPr>
            <w:tcW w:w="118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FE" w14:textId="77777777" w:rsidR="00CF796C" w:rsidRDefault="00314939">
            <w:pPr>
              <w:jc w:val="center"/>
            </w:pPr>
            <w:r>
              <w:rPr>
                <w:b/>
                <w:bCs/>
                <w:color w:val="1F1F2E"/>
                <w:sz w:val="18"/>
                <w:szCs w:val="18"/>
              </w:rPr>
              <w:t>Mixed</w:t>
            </w:r>
          </w:p>
        </w:tc>
        <w:tc>
          <w:tcPr>
            <w:tcW w:w="5500" w:type="dxa"/>
            <w:tcBorders>
              <w:top w:val="single" w:sz="4" w:space="0" w:color="C8CFE0"/>
              <w:left w:val="single" w:sz="4" w:space="0" w:color="C8CFE0"/>
              <w:bottom w:val="single" w:sz="4" w:space="0" w:color="C8CFE0"/>
              <w:right w:val="single" w:sz="4" w:space="0" w:color="C8CFE0"/>
            </w:tcBorders>
            <w:tcMar>
              <w:top w:w="60" w:type="dxa"/>
              <w:left w:w="110" w:type="dxa"/>
              <w:bottom w:w="60" w:type="dxa"/>
              <w:right w:w="110" w:type="dxa"/>
            </w:tcMar>
            <w:vAlign w:val="center"/>
          </w:tcPr>
          <w:p w14:paraId="63E1A6FF" w14:textId="77777777" w:rsidR="00CF796C" w:rsidRDefault="00314939">
            <w:r>
              <w:rPr>
                <w:sz w:val="18"/>
                <w:szCs w:val="18"/>
              </w:rPr>
              <w:t>Sequencing, tractability, compensation, framing, comparators.</w:t>
            </w:r>
          </w:p>
        </w:tc>
      </w:tr>
    </w:tbl>
    <w:p w14:paraId="63E1A701" w14:textId="77777777" w:rsidR="00CF796C" w:rsidRDefault="00314939">
      <w:pPr>
        <w:spacing w:after="160" w:line="276" w:lineRule="auto"/>
      </w:pPr>
      <w:r>
        <w:rPr>
          <w:b/>
          <w:bCs/>
          <w:i/>
          <w:iCs/>
          <w:color w:val="5C667A"/>
          <w:sz w:val="16"/>
          <w:szCs w:val="16"/>
        </w:rPr>
        <w:t xml:space="preserve">Origin: </w:t>
      </w:r>
      <w:r>
        <w:rPr>
          <w:i/>
          <w:iCs/>
          <w:color w:val="5C667A"/>
          <w:sz w:val="16"/>
          <w:szCs w:val="16"/>
        </w:rPr>
        <w:t xml:space="preserve">“Spec” = from the climate/health programs’ capacities; “Added” = introduced by the diagnostic. </w:t>
      </w:r>
      <w:r>
        <w:rPr>
          <w:b/>
          <w:bCs/>
          <w:i/>
          <w:iCs/>
          <w:color w:val="5C667A"/>
          <w:sz w:val="16"/>
          <w:szCs w:val="16"/>
        </w:rPr>
        <w:t xml:space="preserve">Version: </w:t>
      </w:r>
      <w:r>
        <w:rPr>
          <w:b/>
          <w:bCs/>
          <w:i/>
          <w:iCs/>
          <w:color w:val="1E6F4C"/>
          <w:sz w:val="16"/>
          <w:szCs w:val="16"/>
        </w:rPr>
        <w:t>Easy</w:t>
      </w:r>
      <w:r>
        <w:rPr>
          <w:i/>
          <w:iCs/>
          <w:color w:val="5C667A"/>
          <w:sz w:val="16"/>
          <w:szCs w:val="16"/>
        </w:rPr>
        <w:t xml:space="preserve"> = schedule alone; </w:t>
      </w:r>
      <w:r>
        <w:rPr>
          <w:b/>
          <w:bCs/>
          <w:i/>
          <w:iCs/>
          <w:color w:val="8A5A00"/>
          <w:sz w:val="16"/>
          <w:szCs w:val="16"/>
        </w:rPr>
        <w:t>Comp.</w:t>
      </w:r>
      <w:r>
        <w:rPr>
          <w:i/>
          <w:iCs/>
          <w:color w:val="5C667A"/>
          <w:sz w:val="16"/>
          <w:szCs w:val="16"/>
        </w:rPr>
        <w:t xml:space="preserve"> = full data + integration; </w:t>
      </w:r>
      <w:r>
        <w:rPr>
          <w:b/>
          <w:bCs/>
          <w:i/>
          <w:iCs/>
          <w:color w:val="1F1F2E"/>
          <w:sz w:val="16"/>
          <w:szCs w:val="16"/>
        </w:rPr>
        <w:t>Both</w:t>
      </w:r>
      <w:r>
        <w:rPr>
          <w:i/>
          <w:iCs/>
          <w:color w:val="5C667A"/>
          <w:sz w:val="16"/>
          <w:szCs w:val="16"/>
        </w:rPr>
        <w:t xml:space="preserve"> = core, deepened in the comprehensive version. Full mapping in the working paper’s master table (executive summary) and Appendix D.</w:t>
      </w:r>
    </w:p>
    <w:p w14:paraId="63E1A702" w14:textId="77777777" w:rsidR="00CF796C" w:rsidRDefault="00314939">
      <w:pPr>
        <w:pStyle w:val="Heading2"/>
      </w:pPr>
      <w:r>
        <w:lastRenderedPageBreak/>
        <w:t>What the pilots show</w:t>
      </w:r>
    </w:p>
    <w:p w14:paraId="63E1A703" w14:textId="77777777" w:rsidR="00CF796C" w:rsidRDefault="00314939">
      <w:pPr>
        <w:spacing w:after="120" w:line="276" w:lineRule="auto"/>
      </w:pPr>
      <w:r>
        <w:rPr>
          <w:b/>
          <w:bCs/>
          <w:color w:val="1F1F2E"/>
        </w:rPr>
        <w:t xml:space="preserve">Part A (Uganda, Sierra Leone). </w:t>
      </w:r>
      <w:r>
        <w:rPr>
          <w:color w:val="1F1F2E"/>
        </w:rPr>
        <w:t>Priority-sector excise raises ~1.5–1.7% of GDP in Uganda against ~0.7–0.9% in Sierra Leone, the gap mostly fuel. Three revenue-relevant anomalies surface that are invisible on the schedule: Sierra Leone’s wine excise reads as essentially zero (un-redenominated since 2022); Uganda’s kerosene rate has eroded below 5% of pump price since 2018; and both countries show an erosion-and-restoration cycle that indexation would fix.</w:t>
      </w:r>
    </w:p>
    <w:p w14:paraId="63E1A704" w14:textId="77777777" w:rsidR="00CF796C" w:rsidRDefault="00314939">
      <w:pPr>
        <w:spacing w:after="120" w:line="276" w:lineRule="auto"/>
      </w:pPr>
      <w:r>
        <w:rPr>
          <w:b/>
          <w:bCs/>
          <w:color w:val="1F1F2E"/>
        </w:rPr>
        <w:t xml:space="preserve">Part B (Tier 2 worked example). </w:t>
      </w:r>
      <w:r>
        <w:rPr>
          <w:color w:val="1F1F2E"/>
        </w:rPr>
        <w:t>Implicit subsidies — undercharged external costs — of ~USD 410m a year exceed direct fuel-tax revenue of ~USD 320m, driven by local air pollution (43%) and accidents (31%); diesel is substantially undertaxed. Closing two-thirds of the diesel gap over three years raises ~USD 230m a year (≈+70% of fuel-tax revenue, approaching 1% of GDP), and with 30% recycled into a per-household transfer the bottom quintile is better off.</w:t>
      </w:r>
    </w:p>
    <w:p w14:paraId="63E1A705" w14:textId="77777777" w:rsidR="00CF796C" w:rsidRDefault="00314939">
      <w:pPr>
        <w:spacing w:after="160" w:line="276" w:lineRule="auto"/>
      </w:pPr>
      <w:r>
        <w:rPr>
          <w:b/>
          <w:bCs/>
          <w:color w:val="1F1F2E"/>
        </w:rPr>
        <w:t xml:space="preserve">Part C. </w:t>
      </w:r>
      <w:r>
        <w:rPr>
          <w:color w:val="1F1F2E"/>
        </w:rPr>
        <w:t>Sequences these into a three-year package with one anchor reform a year, grounded in comparators (Rwanda, Ghana, Kenya raised diesel tax in steps without disruption when paired with social protection) and framed on health and road safety — which polls better than climate in most LICs and is the larger share of the gap.</w:t>
      </w:r>
    </w:p>
    <w:p w14:paraId="63E1A706" w14:textId="77777777" w:rsidR="00CF796C" w:rsidRDefault="00314939">
      <w:pPr>
        <w:pStyle w:val="Heading2"/>
      </w:pPr>
      <w:r>
        <w:t>Next steps</w:t>
      </w:r>
    </w:p>
    <w:p w14:paraId="63E1A707" w14:textId="77777777" w:rsidR="00CF796C" w:rsidRDefault="00314939">
      <w:pPr>
        <w:spacing w:after="120" w:line="276" w:lineRule="auto"/>
      </w:pPr>
      <w:r>
        <w:rPr>
          <w:b/>
          <w:bCs/>
          <w:color w:val="1F1F2E"/>
        </w:rPr>
        <w:t xml:space="preserve">Start with a simplified Part A. </w:t>
      </w:r>
      <w:r>
        <w:rPr>
          <w:color w:val="1F1F2E"/>
        </w:rPr>
        <w:t>It needs no new modelling, parameters or cross-team data — a fixed template and parameter sheet, a minimum-viable diagnostic answering the schedule-only questions (Q1–Q3, Q5), reusing the two pilots, with output surfaced through a light dashboard or the PFR Visualization tool. A third country should be reproducible in two to three weeks.</w:t>
      </w:r>
    </w:p>
    <w:p w14:paraId="63E1A708" w14:textId="4DE531A8" w:rsidR="00CF796C" w:rsidRDefault="00314939">
      <w:pPr>
        <w:spacing w:after="80" w:line="276" w:lineRule="auto"/>
      </w:pPr>
      <w:r>
        <w:rPr>
          <w:b/>
          <w:bCs/>
          <w:color w:val="1F1F2E"/>
        </w:rPr>
        <w:t xml:space="preserve">Build Part B into existing processes. </w:t>
      </w:r>
      <w:r>
        <w:rPr>
          <w:color w:val="1F1F2E"/>
        </w:rPr>
        <w:t xml:space="preserve">Part B is not a quick rollout: its value is </w:t>
      </w:r>
      <w:r w:rsidR="00FF2AE9">
        <w:rPr>
          <w:color w:val="1F1F2E"/>
        </w:rPr>
        <w:t>harmonizing</w:t>
      </w:r>
      <w:r>
        <w:rPr>
          <w:color w:val="1F1F2E"/>
        </w:rPr>
        <w:t xml:space="preserve"> CPAT, the Climate &amp; Health Program and IMF GEPR onto one spine, which is an institutional task. Agree the valuation spine across teams, connect the input pipelines, settle the equity and tooling questions, and sequence Part B behind a Part A pilot — Tier 1 (Colombia or Chile) and Tier 2 (Uganda).</w:t>
      </w:r>
    </w:p>
    <w:p w14:paraId="63E1A709" w14:textId="77777777" w:rsidR="00CF796C" w:rsidRDefault="00314939">
      <w:pPr>
        <w:spacing w:line="276" w:lineRule="auto"/>
        <w:rPr>
          <w:i/>
          <w:iCs/>
          <w:color w:val="1E2761"/>
        </w:rPr>
      </w:pPr>
      <w:r>
        <w:rPr>
          <w:i/>
          <w:iCs/>
          <w:color w:val="1E2761"/>
        </w:rPr>
        <w:t>The diagnostic does not require new institutional architecture. It sits between existing products as a synthesis layer — producing, in two to three weeks, a draft a country team can act on.</w:t>
      </w:r>
    </w:p>
    <w:p w14:paraId="52BD2FD6" w14:textId="77777777" w:rsidR="008E6F6F" w:rsidRDefault="00AC58FC" w:rsidP="008E6F6F">
      <w:pPr>
        <w:pStyle w:val="Heading2"/>
      </w:pPr>
      <w:r>
        <w:t xml:space="preserve">Appendix: </w:t>
      </w:r>
      <w:r w:rsidR="008E6F6F" w:rsidRPr="008E6F6F">
        <w:t>Prompts (Using Claude Opus 4.7)</w:t>
      </w:r>
    </w:p>
    <w:p w14:paraId="745E187E" w14:textId="5AB623B2" w:rsidR="0057734D" w:rsidRPr="0057734D" w:rsidRDefault="0057734D" w:rsidP="0057734D">
      <w:r>
        <w:t xml:space="preserve">See: </w:t>
      </w:r>
      <w:hyperlink r:id="rId7" w:history="1">
        <w:r w:rsidRPr="00FD7714">
          <w:rPr>
            <w:rStyle w:val="Hyperlink"/>
          </w:rPr>
          <w:t>https://claude.ai/share/</w:t>
        </w:r>
      </w:hyperlink>
      <w:hyperlink r:id="rId8" w:history="1">
        <w:r w:rsidRPr="0057734D">
          <w:rPr>
            <w:u w:val="single"/>
          </w:rPr>
          <w:t>237eaeb7-3e36-47e8-9236-277adb0da18b</w:t>
        </w:r>
      </w:hyperlink>
      <w:r>
        <w:t xml:space="preserve"> </w:t>
      </w:r>
      <w:r w:rsidRPr="0057734D">
        <w:t xml:space="preserve"> </w:t>
      </w:r>
    </w:p>
    <w:p w14:paraId="1F4DF0E0" w14:textId="4E744CB3" w:rsidR="00AC58FC" w:rsidRPr="00AC58FC" w:rsidRDefault="00AC58FC" w:rsidP="00AC58FC">
      <w:pPr>
        <w:numPr>
          <w:ilvl w:val="0"/>
          <w:numId w:val="2"/>
        </w:numPr>
        <w:spacing w:line="276" w:lineRule="auto"/>
      </w:pPr>
      <w:r w:rsidRPr="00AC58FC">
        <w:t xml:space="preserve">For Uganda, give a detailed representation of Excise starting point (2020) and Excise changes in 2020-2026, and end point (feel free to choose the last finance act). Give a concise description of the starting point across different sectors of excises, and then the changes and </w:t>
      </w:r>
      <w:r w:rsidR="002A7B69" w:rsidRPr="00AC58FC">
        <w:t>then</w:t>
      </w:r>
      <w:r w:rsidRPr="00AC58FC">
        <w:t xml:space="preserve"> the final point. Summarize this in a table at the end.</w:t>
      </w:r>
    </w:p>
    <w:p w14:paraId="0C1E8FFA" w14:textId="77777777" w:rsidR="00AC58FC" w:rsidRPr="00AC58FC" w:rsidRDefault="00AC58FC" w:rsidP="00AC58FC">
      <w:pPr>
        <w:numPr>
          <w:ilvl w:val="0"/>
          <w:numId w:val="2"/>
        </w:numPr>
        <w:spacing w:line="276" w:lineRule="auto"/>
      </w:pPr>
      <w:r w:rsidRPr="00AC58FC">
        <w:t xml:space="preserve">"Same for Sierra Leone" </w:t>
      </w:r>
    </w:p>
    <w:p w14:paraId="0B86320E" w14:textId="77777777" w:rsidR="00AC58FC" w:rsidRPr="00AC58FC" w:rsidRDefault="00AC58FC" w:rsidP="00AC58FC">
      <w:pPr>
        <w:numPr>
          <w:ilvl w:val="0"/>
          <w:numId w:val="2"/>
        </w:numPr>
        <w:spacing w:line="276" w:lineRule="auto"/>
      </w:pPr>
      <w:r w:rsidRPr="00AC58FC">
        <w:t>"OK could you give me a typology of excises. Start with env/energy related taxes and health related then others. Give the main categories."</w:t>
      </w:r>
    </w:p>
    <w:p w14:paraId="363AFA75" w14:textId="324994B5" w:rsidR="00AC58FC" w:rsidRPr="00AC58FC" w:rsidRDefault="00AC58FC" w:rsidP="00AC58FC">
      <w:pPr>
        <w:numPr>
          <w:ilvl w:val="0"/>
          <w:numId w:val="2"/>
        </w:numPr>
        <w:spacing w:line="276" w:lineRule="auto"/>
      </w:pPr>
      <w:r w:rsidRPr="00AC58FC">
        <w:t>"Construct a table for the current rates for Uganda, and a second one for Sierra Leone. Give consistent columns. Also include 'recent changes' in addition to the cross-cutting dimensions above."</w:t>
      </w:r>
    </w:p>
    <w:p w14:paraId="0FA73D43" w14:textId="77777777" w:rsidR="00AC58FC" w:rsidRPr="00AC58FC" w:rsidRDefault="00AC58FC" w:rsidP="00AC58FC">
      <w:pPr>
        <w:numPr>
          <w:ilvl w:val="0"/>
          <w:numId w:val="2"/>
        </w:numPr>
        <w:spacing w:line="276" w:lineRule="auto"/>
      </w:pPr>
      <w:r w:rsidRPr="00AC58FC">
        <w:t>"Now give me a paper 'Excise diagnostic'. Introduce what it is, what it is for (this section — quite short) and then give appendix which is the diagnostic for Uganda and Sierra Leone. Then give as a second appendix the recent changes."</w:t>
      </w:r>
    </w:p>
    <w:p w14:paraId="1DE5F641" w14:textId="73E84FC8" w:rsidR="00AC58FC" w:rsidRPr="00AC58FC" w:rsidRDefault="00AC58FC" w:rsidP="00AC58FC">
      <w:pPr>
        <w:numPr>
          <w:ilvl w:val="0"/>
          <w:numId w:val="2"/>
        </w:numPr>
        <w:spacing w:line="276" w:lineRule="auto"/>
      </w:pPr>
      <w:r w:rsidRPr="00AC58FC">
        <w:t>"Could you provide a summary section that now scales up this into some measure that is comparable, e.g. for a few priority sectors (energy/veh</w:t>
      </w:r>
      <w:r w:rsidR="002A7B69">
        <w:t>icle</w:t>
      </w:r>
      <w:r w:rsidRPr="00AC58FC">
        <w:t xml:space="preserve"> and health) % of GDP, $/standardized unit, and % of value?“ [Button selection] Add new section to existing docx</w:t>
      </w:r>
    </w:p>
    <w:p w14:paraId="68EA1117" w14:textId="17EA39CC" w:rsidR="00AC58FC" w:rsidRDefault="00AC58FC" w:rsidP="0057734D">
      <w:pPr>
        <w:numPr>
          <w:ilvl w:val="0"/>
          <w:numId w:val="2"/>
        </w:numPr>
        <w:spacing w:line="276" w:lineRule="auto"/>
      </w:pPr>
      <w:r w:rsidRPr="00AC58FC">
        <w:t>"Could you reorder this and put the systematic part into the main text. Please make it fully consistent — make sure there's a methodology part if needed.“ [Button selection] "What is it, three measures, methodology, results, conclusion, appendices (as you wish)"</w:t>
      </w:r>
    </w:p>
    <w:sectPr w:rsidR="00AC58FC">
      <w:footerReference w:type="even" r:id="rId9"/>
      <w:footerReference w:type="default" r:id="rId10"/>
      <w:footerReference w:type="first" r:id="rId11"/>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C19C6" w14:textId="77777777" w:rsidR="00666F8B" w:rsidRDefault="00666F8B">
      <w:r>
        <w:separator/>
      </w:r>
    </w:p>
  </w:endnote>
  <w:endnote w:type="continuationSeparator" w:id="0">
    <w:p w14:paraId="6EA854AC" w14:textId="77777777" w:rsidR="00666F8B" w:rsidRDefault="00666F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CAE79" w14:textId="500D63B5" w:rsidR="0069655B" w:rsidRDefault="0069655B">
    <w:pPr>
      <w:pStyle w:val="Footer"/>
    </w:pPr>
    <w:r>
      <w:rPr>
        <w:noProof/>
      </w:rPr>
      <mc:AlternateContent>
        <mc:Choice Requires="wps">
          <w:drawing>
            <wp:anchor distT="0" distB="0" distL="0" distR="0" simplePos="0" relativeHeight="251659264" behindDoc="0" locked="0" layoutInCell="1" allowOverlap="1" wp14:anchorId="2CB6F59D" wp14:editId="7E9DA664">
              <wp:simplePos x="635" y="635"/>
              <wp:positionH relativeFrom="page">
                <wp:align>right</wp:align>
              </wp:positionH>
              <wp:positionV relativeFrom="page">
                <wp:align>bottom</wp:align>
              </wp:positionV>
              <wp:extent cx="1172210" cy="345440"/>
              <wp:effectExtent l="0" t="0" r="0" b="0"/>
              <wp:wrapNone/>
              <wp:docPr id="1138552998"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6BF7AC27" w14:textId="17945785" w:rsidR="0069655B" w:rsidRPr="0069655B" w:rsidRDefault="0069655B" w:rsidP="0069655B">
                          <w:pPr>
                            <w:rPr>
                              <w:rFonts w:ascii="Aptos" w:eastAsia="Aptos" w:hAnsi="Aptos" w:cs="Aptos"/>
                              <w:noProof/>
                              <w:color w:val="000000"/>
                            </w:rPr>
                          </w:pPr>
                          <w:r w:rsidRPr="0069655B">
                            <w:rPr>
                              <w:rFonts w:ascii="Aptos" w:eastAsia="Aptos" w:hAnsi="Aptos" w:cs="Aptos"/>
                              <w:noProof/>
                              <w:color w:val="00000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CB6F59D" id="_x0000_t202" coordsize="21600,21600" o:spt="202" path="m,l,21600r21600,l21600,xe">
              <v:stroke joinstyle="miter"/>
              <v:path gradientshapeok="t" o:connecttype="rect"/>
            </v:shapetype>
            <v:shape id="Text Box 2" o:spid="_x0000_s1026" type="#_x0000_t202" alt="Official Use Only" style="position:absolute;margin-left:41.1pt;margin-top:0;width:92.3pt;height:27.2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" filled="f" stroked="f">
              <v:textbox style="mso-fit-shape-to-text:t" inset="0,0,20pt,15pt">
                <w:txbxContent>
                  <w:p w14:paraId="6BF7AC27" w14:textId="17945785" w:rsidR="0069655B" w:rsidRPr="0069655B" w:rsidRDefault="0069655B" w:rsidP="0069655B">
                    <w:pPr>
                      <w:rPr>
                        <w:rFonts w:ascii="Aptos" w:eastAsia="Aptos" w:hAnsi="Aptos" w:cs="Aptos"/>
                        <w:noProof/>
                        <w:color w:val="000000"/>
                      </w:rPr>
                    </w:pPr>
                    <w:r w:rsidRPr="0069655B">
                      <w:rPr>
                        <w:rFonts w:ascii="Aptos" w:eastAsia="Aptos" w:hAnsi="Aptos" w:cs="Aptos"/>
                        <w:noProof/>
                        <w:color w:val="00000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A70A" w14:textId="414B8920" w:rsidR="00CF796C" w:rsidRDefault="0069655B">
    <w:pPr>
      <w:jc w:val="center"/>
    </w:pPr>
    <w:r>
      <w:rPr>
        <w:noProof/>
        <w:color w:val="5C667A"/>
        <w:sz w:val="16"/>
        <w:szCs w:val="16"/>
      </w:rPr>
      <mc:AlternateContent>
        <mc:Choice Requires="wps">
          <w:drawing>
            <wp:anchor distT="0" distB="0" distL="0" distR="0" simplePos="0" relativeHeight="251660288" behindDoc="0" locked="0" layoutInCell="1" allowOverlap="1" wp14:anchorId="09D85C9B" wp14:editId="13B04337">
              <wp:simplePos x="635" y="635"/>
              <wp:positionH relativeFrom="page">
                <wp:align>right</wp:align>
              </wp:positionH>
              <wp:positionV relativeFrom="page">
                <wp:align>bottom</wp:align>
              </wp:positionV>
              <wp:extent cx="1172210" cy="345440"/>
              <wp:effectExtent l="0" t="0" r="0" b="0"/>
              <wp:wrapNone/>
              <wp:docPr id="646889750"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74989BAE" w14:textId="1D99669D" w:rsidR="0069655B" w:rsidRPr="0069655B" w:rsidRDefault="0069655B" w:rsidP="0069655B">
                          <w:pPr>
                            <w:rPr>
                              <w:rFonts w:ascii="Aptos" w:eastAsia="Aptos" w:hAnsi="Aptos" w:cs="Aptos"/>
                              <w:noProof/>
                              <w:color w:val="000000"/>
                            </w:rPr>
                          </w:pPr>
                          <w:r w:rsidRPr="0069655B">
                            <w:rPr>
                              <w:rFonts w:ascii="Aptos" w:eastAsia="Aptos" w:hAnsi="Aptos" w:cs="Aptos"/>
                              <w:noProof/>
                              <w:color w:val="00000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9D85C9B" id="_x0000_t202" coordsize="21600,21600" o:spt="202" path="m,l,21600r21600,l21600,xe">
              <v:stroke joinstyle="miter"/>
              <v:path gradientshapeok="t" o:connecttype="rect"/>
            </v:shapetype>
            <v:shape id="Text Box 3" o:spid="_x0000_s1027" type="#_x0000_t202" alt="Official Use Only" style="position:absolute;left:0;text-align:left;margin-left:41.1pt;margin-top:0;width:92.3pt;height:27.2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" filled="f" stroked="f">
              <v:textbox style="mso-fit-shape-to-text:t" inset="0,0,20pt,15pt">
                <w:txbxContent>
                  <w:p w14:paraId="74989BAE" w14:textId="1D99669D" w:rsidR="0069655B" w:rsidRPr="0069655B" w:rsidRDefault="0069655B" w:rsidP="0069655B">
                    <w:pPr>
                      <w:rPr>
                        <w:rFonts w:ascii="Aptos" w:eastAsia="Aptos" w:hAnsi="Aptos" w:cs="Aptos"/>
                        <w:noProof/>
                        <w:color w:val="000000"/>
                      </w:rPr>
                    </w:pPr>
                    <w:r w:rsidRPr="0069655B">
                      <w:rPr>
                        <w:rFonts w:ascii="Aptos" w:eastAsia="Aptos" w:hAnsi="Aptos" w:cs="Aptos"/>
                        <w:noProof/>
                        <w:color w:val="000000"/>
                      </w:rPr>
                      <w:t>Official Use Only</w:t>
                    </w:r>
                  </w:p>
                </w:txbxContent>
              </v:textbox>
              <w10:wrap anchorx="page" anchory="page"/>
            </v:shape>
          </w:pict>
        </mc:Fallback>
      </mc:AlternateContent>
    </w:r>
    <w:r>
      <w:rPr>
        <w:color w:val="5C667A"/>
        <w:sz w:val="16"/>
        <w:szCs w:val="16"/>
      </w:rPr>
      <w:t xml:space="preserve">Excise, Externalities and Pathways — Summary  ·  Page </w:t>
    </w:r>
    <w:r>
      <w:rPr>
        <w:color w:val="5C667A"/>
        <w:sz w:val="16"/>
        <w:szCs w:val="16"/>
      </w:rPr>
      <w:fldChar w:fldCharType="begin"/>
    </w:r>
    <w:r>
      <w:rPr>
        <w:color w:val="5C667A"/>
        <w:sz w:val="16"/>
        <w:szCs w:val="16"/>
      </w:rPr>
      <w:instrText>PAGE</w:instrText>
    </w:r>
    <w:r>
      <w:rPr>
        <w:color w:val="5C667A"/>
        <w:sz w:val="16"/>
        <w:szCs w:val="16"/>
      </w:rPr>
      <w:fldChar w:fldCharType="separate"/>
    </w:r>
    <w:r>
      <w:rPr>
        <w:noProof/>
        <w:color w:val="5C667A"/>
        <w:sz w:val="16"/>
        <w:szCs w:val="16"/>
      </w:rPr>
      <w:t>1</w:t>
    </w:r>
    <w:r>
      <w:rPr>
        <w:color w:val="5C667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EA37E" w14:textId="035CFD4D" w:rsidR="0069655B" w:rsidRDefault="0069655B">
    <w:pPr>
      <w:pStyle w:val="Footer"/>
    </w:pPr>
    <w:r>
      <w:rPr>
        <w:noProof/>
      </w:rPr>
      <mc:AlternateContent>
        <mc:Choice Requires="wps">
          <w:drawing>
            <wp:anchor distT="0" distB="0" distL="0" distR="0" simplePos="0" relativeHeight="251658240" behindDoc="0" locked="0" layoutInCell="1" allowOverlap="1" wp14:anchorId="216E13DE" wp14:editId="35E09335">
              <wp:simplePos x="635" y="635"/>
              <wp:positionH relativeFrom="page">
                <wp:align>right</wp:align>
              </wp:positionH>
              <wp:positionV relativeFrom="page">
                <wp:align>bottom</wp:align>
              </wp:positionV>
              <wp:extent cx="1172210" cy="345440"/>
              <wp:effectExtent l="0" t="0" r="0" b="0"/>
              <wp:wrapNone/>
              <wp:docPr id="915924777"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6E39218F" w14:textId="20C95414" w:rsidR="0069655B" w:rsidRPr="0069655B" w:rsidRDefault="0069655B" w:rsidP="0069655B">
                          <w:pPr>
                            <w:rPr>
                              <w:rFonts w:ascii="Aptos" w:eastAsia="Aptos" w:hAnsi="Aptos" w:cs="Aptos"/>
                              <w:noProof/>
                              <w:color w:val="000000"/>
                            </w:rPr>
                          </w:pPr>
                          <w:r w:rsidRPr="0069655B">
                            <w:rPr>
                              <w:rFonts w:ascii="Aptos" w:eastAsia="Aptos" w:hAnsi="Aptos" w:cs="Aptos"/>
                              <w:noProof/>
                              <w:color w:val="00000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16E13DE" id="_x0000_t202" coordsize="21600,21600" o:spt="202" path="m,l,21600r21600,l21600,xe">
              <v:stroke joinstyle="miter"/>
              <v:path gradientshapeok="t" o:connecttype="rect"/>
            </v:shapetype>
            <v:shape id="Text Box 1" o:spid="_x0000_s1028" type="#_x0000_t202" alt="Official Use Only" style="position:absolute;margin-left:41.1pt;margin-top:0;width:92.3pt;height:27.2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" filled="f" stroked="f">
              <v:textbox style="mso-fit-shape-to-text:t" inset="0,0,20pt,15pt">
                <w:txbxContent>
                  <w:p w14:paraId="6E39218F" w14:textId="20C95414" w:rsidR="0069655B" w:rsidRPr="0069655B" w:rsidRDefault="0069655B" w:rsidP="0069655B">
                    <w:pPr>
                      <w:rPr>
                        <w:rFonts w:ascii="Aptos" w:eastAsia="Aptos" w:hAnsi="Aptos" w:cs="Aptos"/>
                        <w:noProof/>
                        <w:color w:val="000000"/>
                      </w:rPr>
                    </w:pPr>
                    <w:r w:rsidRPr="0069655B">
                      <w:rPr>
                        <w:rFonts w:ascii="Aptos" w:eastAsia="Aptos" w:hAnsi="Aptos" w:cs="Aptos"/>
                        <w:noProof/>
                        <w:color w:val="00000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A7CE7" w14:textId="77777777" w:rsidR="00666F8B" w:rsidRDefault="00666F8B">
      <w:r>
        <w:separator/>
      </w:r>
    </w:p>
  </w:footnote>
  <w:footnote w:type="continuationSeparator" w:id="0">
    <w:p w14:paraId="7A0332CC" w14:textId="77777777" w:rsidR="00666F8B" w:rsidRDefault="00666F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C5666"/>
    <w:multiLevelType w:val="hybridMultilevel"/>
    <w:tmpl w:val="C49C2FB6"/>
    <w:lvl w:ilvl="0" w:tplc="C78867BA">
      <w:start w:val="1"/>
      <w:numFmt w:val="decimal"/>
      <w:lvlText w:val="%1."/>
      <w:lvlJc w:val="left"/>
      <w:pPr>
        <w:tabs>
          <w:tab w:val="num" w:pos="720"/>
        </w:tabs>
        <w:ind w:left="720" w:hanging="360"/>
      </w:pPr>
    </w:lvl>
    <w:lvl w:ilvl="1" w:tplc="A8508BA2" w:tentative="1">
      <w:start w:val="1"/>
      <w:numFmt w:val="decimal"/>
      <w:lvlText w:val="%2."/>
      <w:lvlJc w:val="left"/>
      <w:pPr>
        <w:tabs>
          <w:tab w:val="num" w:pos="1440"/>
        </w:tabs>
        <w:ind w:left="1440" w:hanging="360"/>
      </w:pPr>
    </w:lvl>
    <w:lvl w:ilvl="2" w:tplc="33C2EADC" w:tentative="1">
      <w:start w:val="1"/>
      <w:numFmt w:val="decimal"/>
      <w:lvlText w:val="%3."/>
      <w:lvlJc w:val="left"/>
      <w:pPr>
        <w:tabs>
          <w:tab w:val="num" w:pos="2160"/>
        </w:tabs>
        <w:ind w:left="2160" w:hanging="360"/>
      </w:pPr>
    </w:lvl>
    <w:lvl w:ilvl="3" w:tplc="A9F6D412" w:tentative="1">
      <w:start w:val="1"/>
      <w:numFmt w:val="decimal"/>
      <w:lvlText w:val="%4."/>
      <w:lvlJc w:val="left"/>
      <w:pPr>
        <w:tabs>
          <w:tab w:val="num" w:pos="2880"/>
        </w:tabs>
        <w:ind w:left="2880" w:hanging="360"/>
      </w:pPr>
    </w:lvl>
    <w:lvl w:ilvl="4" w:tplc="53A8D6DE" w:tentative="1">
      <w:start w:val="1"/>
      <w:numFmt w:val="decimal"/>
      <w:lvlText w:val="%5."/>
      <w:lvlJc w:val="left"/>
      <w:pPr>
        <w:tabs>
          <w:tab w:val="num" w:pos="3600"/>
        </w:tabs>
        <w:ind w:left="3600" w:hanging="360"/>
      </w:pPr>
    </w:lvl>
    <w:lvl w:ilvl="5" w:tplc="AEB01782" w:tentative="1">
      <w:start w:val="1"/>
      <w:numFmt w:val="decimal"/>
      <w:lvlText w:val="%6."/>
      <w:lvlJc w:val="left"/>
      <w:pPr>
        <w:tabs>
          <w:tab w:val="num" w:pos="4320"/>
        </w:tabs>
        <w:ind w:left="4320" w:hanging="360"/>
      </w:pPr>
    </w:lvl>
    <w:lvl w:ilvl="6" w:tplc="3F54F0E2" w:tentative="1">
      <w:start w:val="1"/>
      <w:numFmt w:val="decimal"/>
      <w:lvlText w:val="%7."/>
      <w:lvlJc w:val="left"/>
      <w:pPr>
        <w:tabs>
          <w:tab w:val="num" w:pos="5040"/>
        </w:tabs>
        <w:ind w:left="5040" w:hanging="360"/>
      </w:pPr>
    </w:lvl>
    <w:lvl w:ilvl="7" w:tplc="8EC8225E" w:tentative="1">
      <w:start w:val="1"/>
      <w:numFmt w:val="decimal"/>
      <w:lvlText w:val="%8."/>
      <w:lvlJc w:val="left"/>
      <w:pPr>
        <w:tabs>
          <w:tab w:val="num" w:pos="5760"/>
        </w:tabs>
        <w:ind w:left="5760" w:hanging="360"/>
      </w:pPr>
    </w:lvl>
    <w:lvl w:ilvl="8" w:tplc="F550CA64" w:tentative="1">
      <w:start w:val="1"/>
      <w:numFmt w:val="decimal"/>
      <w:lvlText w:val="%9."/>
      <w:lvlJc w:val="left"/>
      <w:pPr>
        <w:tabs>
          <w:tab w:val="num" w:pos="6480"/>
        </w:tabs>
        <w:ind w:left="6480" w:hanging="360"/>
      </w:pPr>
    </w:lvl>
  </w:abstractNum>
  <w:abstractNum w:abstractNumId="1" w15:restartNumberingAfterBreak="0">
    <w:nsid w:val="56B35C37"/>
    <w:multiLevelType w:val="hybridMultilevel"/>
    <w:tmpl w:val="E8D6DFAA"/>
    <w:lvl w:ilvl="0" w:tplc="1DBAC256">
      <w:start w:val="1"/>
      <w:numFmt w:val="decimal"/>
      <w:lvlText w:val="%1."/>
      <w:lvlJc w:val="left"/>
      <w:pPr>
        <w:tabs>
          <w:tab w:val="num" w:pos="720"/>
        </w:tabs>
        <w:ind w:left="720" w:hanging="360"/>
      </w:pPr>
    </w:lvl>
    <w:lvl w:ilvl="1" w:tplc="ED2AF464" w:tentative="1">
      <w:start w:val="1"/>
      <w:numFmt w:val="decimal"/>
      <w:lvlText w:val="%2."/>
      <w:lvlJc w:val="left"/>
      <w:pPr>
        <w:tabs>
          <w:tab w:val="num" w:pos="1440"/>
        </w:tabs>
        <w:ind w:left="1440" w:hanging="360"/>
      </w:pPr>
    </w:lvl>
    <w:lvl w:ilvl="2" w:tplc="320EAD80" w:tentative="1">
      <w:start w:val="1"/>
      <w:numFmt w:val="decimal"/>
      <w:lvlText w:val="%3."/>
      <w:lvlJc w:val="left"/>
      <w:pPr>
        <w:tabs>
          <w:tab w:val="num" w:pos="2160"/>
        </w:tabs>
        <w:ind w:left="2160" w:hanging="360"/>
      </w:pPr>
    </w:lvl>
    <w:lvl w:ilvl="3" w:tplc="877E7DDA" w:tentative="1">
      <w:start w:val="1"/>
      <w:numFmt w:val="decimal"/>
      <w:lvlText w:val="%4."/>
      <w:lvlJc w:val="left"/>
      <w:pPr>
        <w:tabs>
          <w:tab w:val="num" w:pos="2880"/>
        </w:tabs>
        <w:ind w:left="2880" w:hanging="360"/>
      </w:pPr>
    </w:lvl>
    <w:lvl w:ilvl="4" w:tplc="A8766246" w:tentative="1">
      <w:start w:val="1"/>
      <w:numFmt w:val="decimal"/>
      <w:lvlText w:val="%5."/>
      <w:lvlJc w:val="left"/>
      <w:pPr>
        <w:tabs>
          <w:tab w:val="num" w:pos="3600"/>
        </w:tabs>
        <w:ind w:left="3600" w:hanging="360"/>
      </w:pPr>
    </w:lvl>
    <w:lvl w:ilvl="5" w:tplc="6E52C6DC" w:tentative="1">
      <w:start w:val="1"/>
      <w:numFmt w:val="decimal"/>
      <w:lvlText w:val="%6."/>
      <w:lvlJc w:val="left"/>
      <w:pPr>
        <w:tabs>
          <w:tab w:val="num" w:pos="4320"/>
        </w:tabs>
        <w:ind w:left="4320" w:hanging="360"/>
      </w:pPr>
    </w:lvl>
    <w:lvl w:ilvl="6" w:tplc="888002DA" w:tentative="1">
      <w:start w:val="1"/>
      <w:numFmt w:val="decimal"/>
      <w:lvlText w:val="%7."/>
      <w:lvlJc w:val="left"/>
      <w:pPr>
        <w:tabs>
          <w:tab w:val="num" w:pos="5040"/>
        </w:tabs>
        <w:ind w:left="5040" w:hanging="360"/>
      </w:pPr>
    </w:lvl>
    <w:lvl w:ilvl="7" w:tplc="B4082C82" w:tentative="1">
      <w:start w:val="1"/>
      <w:numFmt w:val="decimal"/>
      <w:lvlText w:val="%8."/>
      <w:lvlJc w:val="left"/>
      <w:pPr>
        <w:tabs>
          <w:tab w:val="num" w:pos="5760"/>
        </w:tabs>
        <w:ind w:left="5760" w:hanging="360"/>
      </w:pPr>
    </w:lvl>
    <w:lvl w:ilvl="8" w:tplc="00D2D1E2" w:tentative="1">
      <w:start w:val="1"/>
      <w:numFmt w:val="decimal"/>
      <w:lvlText w:val="%9."/>
      <w:lvlJc w:val="left"/>
      <w:pPr>
        <w:tabs>
          <w:tab w:val="num" w:pos="6480"/>
        </w:tabs>
        <w:ind w:left="6480" w:hanging="360"/>
      </w:pPr>
    </w:lvl>
  </w:abstractNum>
  <w:abstractNum w:abstractNumId="2" w15:restartNumberingAfterBreak="0">
    <w:nsid w:val="62C740C4"/>
    <w:multiLevelType w:val="hybridMultilevel"/>
    <w:tmpl w:val="78A02D76"/>
    <w:lvl w:ilvl="0" w:tplc="7068D48E">
      <w:start w:val="1"/>
      <w:numFmt w:val="bullet"/>
      <w:lvlText w:val="●"/>
      <w:lvlJc w:val="left"/>
      <w:pPr>
        <w:ind w:left="720" w:hanging="360"/>
      </w:pPr>
    </w:lvl>
    <w:lvl w:ilvl="1" w:tplc="C24EAC2E">
      <w:start w:val="1"/>
      <w:numFmt w:val="bullet"/>
      <w:lvlText w:val="○"/>
      <w:lvlJc w:val="left"/>
      <w:pPr>
        <w:ind w:left="1440" w:hanging="360"/>
      </w:pPr>
    </w:lvl>
    <w:lvl w:ilvl="2" w:tplc="F2FEAE26">
      <w:start w:val="1"/>
      <w:numFmt w:val="bullet"/>
      <w:lvlText w:val="■"/>
      <w:lvlJc w:val="left"/>
      <w:pPr>
        <w:ind w:left="2160" w:hanging="360"/>
      </w:pPr>
    </w:lvl>
    <w:lvl w:ilvl="3" w:tplc="921C9E66">
      <w:start w:val="1"/>
      <w:numFmt w:val="bullet"/>
      <w:lvlText w:val="●"/>
      <w:lvlJc w:val="left"/>
      <w:pPr>
        <w:ind w:left="2880" w:hanging="360"/>
      </w:pPr>
    </w:lvl>
    <w:lvl w:ilvl="4" w:tplc="183E4572">
      <w:start w:val="1"/>
      <w:numFmt w:val="bullet"/>
      <w:lvlText w:val="○"/>
      <w:lvlJc w:val="left"/>
      <w:pPr>
        <w:ind w:left="3600" w:hanging="360"/>
      </w:pPr>
    </w:lvl>
    <w:lvl w:ilvl="5" w:tplc="72D82EB0">
      <w:start w:val="1"/>
      <w:numFmt w:val="bullet"/>
      <w:lvlText w:val="■"/>
      <w:lvlJc w:val="left"/>
      <w:pPr>
        <w:ind w:left="4320" w:hanging="360"/>
      </w:pPr>
    </w:lvl>
    <w:lvl w:ilvl="6" w:tplc="7CD0A616">
      <w:start w:val="1"/>
      <w:numFmt w:val="bullet"/>
      <w:lvlText w:val="●"/>
      <w:lvlJc w:val="left"/>
      <w:pPr>
        <w:ind w:left="5040" w:hanging="360"/>
      </w:pPr>
    </w:lvl>
    <w:lvl w:ilvl="7" w:tplc="062ADFF0">
      <w:start w:val="1"/>
      <w:numFmt w:val="bullet"/>
      <w:lvlText w:val="●"/>
      <w:lvlJc w:val="left"/>
      <w:pPr>
        <w:ind w:left="5760" w:hanging="360"/>
      </w:pPr>
    </w:lvl>
    <w:lvl w:ilvl="8" w:tplc="9C2E190C">
      <w:start w:val="1"/>
      <w:numFmt w:val="bullet"/>
      <w:lvlText w:val="●"/>
      <w:lvlJc w:val="left"/>
      <w:pPr>
        <w:ind w:left="6480" w:hanging="360"/>
      </w:pPr>
    </w:lvl>
  </w:abstractNum>
  <w:num w:numId="1" w16cid:durableId="173037078">
    <w:abstractNumId w:val="2"/>
    <w:lvlOverride w:ilvl="0">
      <w:startOverride w:val="1"/>
    </w:lvlOverride>
  </w:num>
  <w:num w:numId="2" w16cid:durableId="558706251">
    <w:abstractNumId w:val="1"/>
  </w:num>
  <w:num w:numId="3" w16cid:durableId="246882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96C"/>
    <w:rsid w:val="001B62C3"/>
    <w:rsid w:val="001E244D"/>
    <w:rsid w:val="002A7B69"/>
    <w:rsid w:val="00314939"/>
    <w:rsid w:val="003500A1"/>
    <w:rsid w:val="0057734D"/>
    <w:rsid w:val="005F13A8"/>
    <w:rsid w:val="00666F8B"/>
    <w:rsid w:val="0069655B"/>
    <w:rsid w:val="00803529"/>
    <w:rsid w:val="008D0A61"/>
    <w:rsid w:val="008E6F6F"/>
    <w:rsid w:val="00AC58FC"/>
    <w:rsid w:val="00C4124F"/>
    <w:rsid w:val="00C4722D"/>
    <w:rsid w:val="00CF796C"/>
    <w:rsid w:val="00E77B20"/>
    <w:rsid w:val="00FF2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1A6CA"/>
  <w15:docId w15:val="{4C933FB7-A5DC-4CC1-9EBA-38103C55F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rFonts w:ascii="Georgia" w:eastAsia="Georgia" w:hAnsi="Georgia" w:cs="Georgia"/>
      <w:b/>
      <w:bCs/>
      <w:color w:val="1E2761"/>
      <w:sz w:val="30"/>
      <w:szCs w:val="30"/>
    </w:rPr>
  </w:style>
  <w:style w:type="paragraph" w:styleId="Heading2">
    <w:name w:val="heading 2"/>
    <w:uiPriority w:val="9"/>
    <w:unhideWhenUsed/>
    <w:qFormat/>
    <w:pPr>
      <w:keepNext/>
      <w:spacing w:before="160" w:after="80"/>
      <w:outlineLvl w:val="1"/>
    </w:pPr>
    <w:rPr>
      <w:rFonts w:ascii="Georgia" w:eastAsia="Georgia" w:hAnsi="Georgia" w:cs="Georgia"/>
      <w:b/>
      <w:bCs/>
      <w:color w:val="1E2761"/>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69655B"/>
    <w:pPr>
      <w:tabs>
        <w:tab w:val="center" w:pos="4680"/>
        <w:tab w:val="right" w:pos="9360"/>
      </w:tabs>
    </w:pPr>
  </w:style>
  <w:style w:type="character" w:customStyle="1" w:styleId="FooterChar">
    <w:name w:val="Footer Char"/>
    <w:basedOn w:val="DefaultParagraphFont"/>
    <w:link w:val="Footer"/>
    <w:uiPriority w:val="99"/>
    <w:rsid w:val="0069655B"/>
  </w:style>
  <w:style w:type="paragraph" w:styleId="NormalWeb">
    <w:name w:val="Normal (Web)"/>
    <w:basedOn w:val="Normal"/>
    <w:uiPriority w:val="99"/>
    <w:semiHidden/>
    <w:unhideWhenUsed/>
    <w:rsid w:val="008E6F6F"/>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5773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laude.ai/share/237eaeb7-3e36-47e8-9236-277adb0da18b"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laude.ai/shar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1134</Words>
  <Characters>6058</Characters>
  <Application>Microsoft Office Word</Application>
  <DocSecurity>0</DocSecurity>
  <Lines>126</Lines>
  <Paragraphs>74</Paragraphs>
  <ScaleCrop>false</ScaleCrop>
  <Company>WBG</Company>
  <LinksUpToDate>false</LinksUpToDate>
  <CharactersWithSpaces>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Stephen John Stretton</cp:lastModifiedBy>
  <cp:revision>8</cp:revision>
  <dcterms:created xsi:type="dcterms:W3CDTF">2026-05-21T19:52:00Z</dcterms:created>
  <dcterms:modified xsi:type="dcterms:W3CDTF">2026-06-02T18:47:00Z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3697e729,43dcf0a6,268ec116</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2026-05-27T13:48:34Z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3fd1abfb-a1f3-4dbe-b8c2-0e71c19889ce</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