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6BAD" w14:textId="77777777" w:rsidR="007F4BED" w:rsidRDefault="00000000">
      <w:pPr>
        <w:spacing w:after="80"/>
      </w:pPr>
      <w:r>
        <w:rPr>
          <w:i/>
          <w:iCs/>
          <w:color w:val="595959"/>
        </w:rPr>
        <w:t>Working Paper</w:t>
      </w:r>
    </w:p>
    <w:p w14:paraId="7E536BAE" w14:textId="77777777" w:rsidR="007F4BED" w:rsidRDefault="00000000">
      <w:pPr>
        <w:spacing w:after="360"/>
      </w:pPr>
      <w:proofErr w:type="gramStart"/>
      <w:r>
        <w:rPr>
          <w:b/>
          <w:bCs/>
          <w:sz w:val="36"/>
          <w:szCs w:val="36"/>
        </w:rPr>
        <w:t xml:space="preserve">A </w:t>
      </w:r>
      <w:proofErr w:type="spellStart"/>
      <w:r>
        <w:rPr>
          <w:b/>
          <w:bCs/>
          <w:sz w:val="36"/>
          <w:szCs w:val="36"/>
        </w:rPr>
        <w:t>Standardised</w:t>
      </w:r>
      <w:proofErr w:type="spellEnd"/>
      <w:proofErr w:type="gramEnd"/>
      <w:r>
        <w:rPr>
          <w:b/>
          <w:bCs/>
          <w:sz w:val="36"/>
          <w:szCs w:val="36"/>
        </w:rPr>
        <w:t xml:space="preserve"> Fuel and Vehicle Tax Diagnostic for Developing Countries</w:t>
      </w:r>
    </w:p>
    <w:p w14:paraId="7E536BAF" w14:textId="77777777" w:rsidR="007F4BED" w:rsidRDefault="00000000">
      <w:pPr>
        <w:spacing w:after="80"/>
      </w:pPr>
      <w:r>
        <w:rPr>
          <w:i/>
          <w:iCs/>
          <w:color w:val="595959"/>
          <w:sz w:val="24"/>
          <w:szCs w:val="24"/>
        </w:rPr>
        <w:t>Integrating CPAT, health analysis, and externality valuation in a UK-style appraisal format</w:t>
      </w:r>
    </w:p>
    <w:p w14:paraId="7E536BB0" w14:textId="77777777" w:rsidR="007F4BED" w:rsidRDefault="00000000">
      <w:pPr>
        <w:spacing w:after="480"/>
      </w:pPr>
      <w:r>
        <w:rPr>
          <w:color w:val="808080"/>
          <w:sz w:val="20"/>
          <w:szCs w:val="20"/>
        </w:rPr>
        <w:t>Draft for discussion. April 2026.</w:t>
      </w:r>
    </w:p>
    <w:p w14:paraId="7E536BB1" w14:textId="77777777" w:rsidR="007F4BED" w:rsidRDefault="00000000">
      <w:pPr>
        <w:pStyle w:val="Heading2"/>
      </w:pPr>
      <w:r>
        <w:t>Summary</w:t>
      </w:r>
    </w:p>
    <w:p w14:paraId="7E536BB2" w14:textId="77777777" w:rsidR="007F4BED" w:rsidRDefault="00000000">
      <w:pPr>
        <w:spacing w:before="80" w:after="120" w:line="300" w:lineRule="auto"/>
        <w:jc w:val="both"/>
      </w:pPr>
      <w:r>
        <w:t>Fuel and vehicle taxes are the largest single instrument by which most developing countries either correct or distort transport-sector externalities. They simultaneously affect carbon emissions, local air pollution, road accidents, congestion, road damage, and household welfare. The analytical tools to assess them well already exist, but they sit in different silos: CPAT does macro and incidence; health colleagues do mortality and morbidity; transport teams do project-level CBA; and tax teams do revenue. No single product brings the parts together for a country team to use.</w:t>
      </w:r>
    </w:p>
    <w:p w14:paraId="7E536BB3" w14:textId="77777777" w:rsidR="007F4BED" w:rsidRDefault="00000000">
      <w:pPr>
        <w:spacing w:before="80" w:after="120" w:line="300" w:lineRule="auto"/>
        <w:jc w:val="both"/>
      </w:pPr>
      <w:r>
        <w:t xml:space="preserve">This paper proposes a simplified UK-style diagnostic report that takes outputs from CPAT and from the World Bank Climate and Health Program as inputs, applies a </w:t>
      </w:r>
      <w:proofErr w:type="spellStart"/>
      <w:r>
        <w:t>standardised</w:t>
      </w:r>
      <w:proofErr w:type="spellEnd"/>
      <w:r>
        <w:t xml:space="preserve"> externality-valuation spine drawn from the EU CE Delft Handbook and the Parry-Heine framework, and produces a country report with a fixed structure. The report is calibrated for developing-country data realities. It is not a new model and does not require new modelling capacity. It is a synthesis layer.</w:t>
      </w:r>
    </w:p>
    <w:p w14:paraId="7E536BB4" w14:textId="77777777" w:rsidR="007F4BED" w:rsidRDefault="00000000">
      <w:pPr>
        <w:spacing w:before="80" w:after="120" w:line="300" w:lineRule="auto"/>
        <w:jc w:val="both"/>
      </w:pPr>
      <w:r>
        <w:t xml:space="preserve">We propose two tiers — a fuller version for capable LMICs and UMICs and a streamlined version for LICs — sharing a common spine. We document existing international and national </w:t>
      </w:r>
      <w:proofErr w:type="gramStart"/>
      <w:r>
        <w:t>practice</w:t>
      </w:r>
      <w:proofErr w:type="gramEnd"/>
      <w:r>
        <w:t>, identify what each contributes and where the gaps are, and provide a draft worked example.</w:t>
      </w:r>
    </w:p>
    <w:p w14:paraId="7E536BB5" w14:textId="77777777" w:rsidR="007F4BED" w:rsidRDefault="00000000">
      <w:pPr>
        <w:pStyle w:val="Heading1"/>
      </w:pPr>
      <w:r>
        <w:t>1. Why a synthesis layer is needed</w:t>
      </w:r>
    </w:p>
    <w:p w14:paraId="7E536BB6" w14:textId="77777777" w:rsidR="007F4BED" w:rsidRDefault="00000000">
      <w:pPr>
        <w:spacing w:before="80" w:after="120" w:line="300" w:lineRule="auto"/>
        <w:jc w:val="both"/>
      </w:pPr>
      <w:r>
        <w:t xml:space="preserve">A finance ministry in a developing country setting fuel and vehicle tax rates faces the following question: what should our rates be, given what we know about carbon </w:t>
      </w:r>
      <w:proofErr w:type="gramStart"/>
      <w:r>
        <w:t>damages</w:t>
      </w:r>
      <w:proofErr w:type="gramEnd"/>
      <w:r>
        <w:t>, local pollution mortality, road accidents, congestion, revenue needs, distributional incidence, and international norms? The question is well-defined. The answer requires data and judgement that span at least four ministries.</w:t>
      </w:r>
    </w:p>
    <w:p w14:paraId="7E536BB7" w14:textId="77777777" w:rsidR="007F4BED" w:rsidRDefault="00000000">
      <w:pPr>
        <w:spacing w:before="80" w:after="120" w:line="300" w:lineRule="auto"/>
        <w:jc w:val="both"/>
      </w:pPr>
      <w:r>
        <w:t xml:space="preserve">The current state of play. CPAT produces high-quality estimates of mitigation, revenue, household incidence, and macroeconomic effects of carbon-pricing and fuel-subsidy reforms across roughly two hundred countries. The Climate and Health Program </w:t>
      </w:r>
      <w:proofErr w:type="gramStart"/>
      <w:r>
        <w:t>produces</w:t>
      </w:r>
      <w:proofErr w:type="gramEnd"/>
      <w:r>
        <w:t xml:space="preserve"> vulnerability assessments, mortality estimates, and best-buy guidance. The IMF Getting Energy Prices Right work produces global estimates of corrective </w:t>
      </w:r>
      <w:proofErr w:type="gramStart"/>
      <w:r>
        <w:t>fuel-tax</w:t>
      </w:r>
      <w:proofErr w:type="gramEnd"/>
      <w:r>
        <w:t xml:space="preserve"> rates. Country transport teams produce project-level CBA with their own values. Tax-policy teams produce revenue projections and tax-expenditure inventories.</w:t>
      </w:r>
    </w:p>
    <w:p w14:paraId="7E536BB8" w14:textId="77777777" w:rsidR="007F4BED" w:rsidRDefault="00000000">
      <w:pPr>
        <w:spacing w:before="80" w:after="120" w:line="300" w:lineRule="auto"/>
        <w:jc w:val="both"/>
      </w:pPr>
      <w:r>
        <w:lastRenderedPageBreak/>
        <w:t xml:space="preserve">None of these is the report a finance minister can read and act on. CPAT is a model, not a report. The Climate and Health Program outputs are </w:t>
      </w:r>
      <w:proofErr w:type="gramStart"/>
      <w:r>
        <w:t>sector-specific</w:t>
      </w:r>
      <w:proofErr w:type="gramEnd"/>
      <w:r>
        <w:t xml:space="preserve">. Project CBA is at the wrong unit of analysis. International benchmark estimates lack the country-specific texture needed to defend a reform politically. The result is that fuel-tax decisions in most developing countries are made on revenue and political grounds, with </w:t>
      </w:r>
      <w:proofErr w:type="gramStart"/>
      <w:r>
        <w:t>externality</w:t>
      </w:r>
      <w:proofErr w:type="gramEnd"/>
      <w:r>
        <w:t xml:space="preserve"> reasoning, when it appears at all, brought in late and selectively.</w:t>
      </w:r>
    </w:p>
    <w:p w14:paraId="7E536BB9" w14:textId="77777777" w:rsidR="007F4BED" w:rsidRDefault="00000000">
      <w:pPr>
        <w:spacing w:before="80" w:after="120" w:line="300" w:lineRule="auto"/>
        <w:jc w:val="both"/>
      </w:pPr>
      <w:r>
        <w:t xml:space="preserve">What a synthesis layer adds. The proposed Fuel and Vehicle Tax Diagnostic (FVTD) is a standard report — fixed structure, fixed valuation parameters, fixed comparator </w:t>
      </w:r>
      <w:proofErr w:type="gramStart"/>
      <w:r>
        <w:t>group — that</w:t>
      </w:r>
      <w:proofErr w:type="gramEnd"/>
      <w:r>
        <w:t xml:space="preserve"> ingests CPAT and health-team outputs as inputs and produces a single coherent assessment. It does not generate new estimates where existing tools already do. It </w:t>
      </w:r>
      <w:proofErr w:type="spellStart"/>
      <w:r>
        <w:t>harmonises</w:t>
      </w:r>
      <w:proofErr w:type="spellEnd"/>
      <w:r>
        <w:t>, presents, and benchmarks. The discipline is its main contribution: a single value of statistical life, a single carbon shadow price, a single set of accident-cost parameters, applied consistently across all the sectoral inputs in a single country.</w:t>
      </w:r>
    </w:p>
    <w:p w14:paraId="7E536BBA" w14:textId="77777777" w:rsidR="007F4BED" w:rsidRDefault="00000000">
      <w:pPr>
        <w:pStyle w:val="Heading1"/>
      </w:pPr>
      <w:r>
        <w:t>2. Existing international work</w:t>
      </w:r>
    </w:p>
    <w:p w14:paraId="7E536BBB" w14:textId="77777777" w:rsidR="007F4BED" w:rsidRDefault="00000000">
      <w:pPr>
        <w:spacing w:before="80" w:after="120" w:line="300" w:lineRule="auto"/>
        <w:jc w:val="both"/>
      </w:pPr>
      <w:r>
        <w:t>Four bodies of international work form the analytical foundation.</w:t>
      </w:r>
    </w:p>
    <w:p w14:paraId="7E536BBC" w14:textId="77777777" w:rsidR="007F4BED" w:rsidRDefault="00000000">
      <w:pPr>
        <w:pStyle w:val="Heading2"/>
      </w:pPr>
      <w:r>
        <w:t>2.1 The IMF Getting Energy Prices Right framework</w:t>
      </w:r>
    </w:p>
    <w:p w14:paraId="7E536BBD" w14:textId="77777777" w:rsidR="007F4BED" w:rsidRDefault="00000000">
      <w:pPr>
        <w:spacing w:before="80" w:after="120" w:line="300" w:lineRule="auto"/>
        <w:jc w:val="both"/>
      </w:pPr>
      <w:r>
        <w:t xml:space="preserve">Parry, Heine, Li and Lis (2014) developed the most influential cross-country framework for assessing externality-corrective fuel taxes. Its operational form is the corrective fuel tax equals carbon damages plus local air pollution </w:t>
      </w:r>
      <w:proofErr w:type="gramStart"/>
      <w:r>
        <w:t>damages</w:t>
      </w:r>
      <w:proofErr w:type="gramEnd"/>
      <w:r>
        <w:t xml:space="preserve"> plus congestion plus accidents plus road damage, with each term measured per </w:t>
      </w:r>
      <w:proofErr w:type="spellStart"/>
      <w:r>
        <w:t>litre</w:t>
      </w:r>
      <w:proofErr w:type="spellEnd"/>
      <w:r>
        <w:t xml:space="preserve"> of fuel and adjusted for the share of </w:t>
      </w:r>
      <w:proofErr w:type="spellStart"/>
      <w:r>
        <w:t>behavioural</w:t>
      </w:r>
      <w:proofErr w:type="spellEnd"/>
      <w:r>
        <w:t xml:space="preserve"> response on the mileage versus fuel-economy margin. The IMF publishes country estimates regularly, most recently in the Black-Parry-Vernon-Zhunussova fossil-fuel subsidy updates. The framework is the single most useful global benchmark.</w:t>
      </w:r>
    </w:p>
    <w:p w14:paraId="7E536BBE" w14:textId="77777777" w:rsidR="007F4BED" w:rsidRDefault="00000000">
      <w:pPr>
        <w:spacing w:before="80" w:after="120" w:line="300" w:lineRule="auto"/>
        <w:jc w:val="both"/>
      </w:pPr>
      <w:r>
        <w:t>Strengths: full country coverage, transparent methodology, regular updates, integrated with the IMF implicit-subsidy concept. Weaknesses: necessarily uses pooled or extrapolated parameters in countries with thin local data; the headline corrective-tax number masks substantial uncertainty; not designed as a country-engagement document but as a global comparative exercise.</w:t>
      </w:r>
    </w:p>
    <w:p w14:paraId="7E536BBF" w14:textId="77777777" w:rsidR="007F4BED" w:rsidRDefault="00000000">
      <w:pPr>
        <w:pStyle w:val="Heading2"/>
      </w:pPr>
      <w:r>
        <w:t>2.2 The CE Delft Handbook on External Costs of Transport</w:t>
      </w:r>
    </w:p>
    <w:p w14:paraId="7E536BC0" w14:textId="77777777" w:rsidR="007F4BED" w:rsidRDefault="00000000">
      <w:pPr>
        <w:spacing w:before="80" w:after="120" w:line="300" w:lineRule="auto"/>
        <w:jc w:val="both"/>
      </w:pPr>
      <w:r>
        <w:t>The European Commission Handbook on External Costs of Transport, originally produced in 2008 by CE Delft and updated in 2019, is the most detailed methodological reference in existence. It covers all transport modes; provides recommended values for VSL, accidents, air pollution, climate, noise, congestion and infrastructure costs; and gives explicit guidance on value-transfer to non-EU contexts. EU member states reference it in national appraisal frameworks.</w:t>
      </w:r>
    </w:p>
    <w:p w14:paraId="7E536BC1" w14:textId="77777777" w:rsidR="007F4BED" w:rsidRDefault="00000000">
      <w:pPr>
        <w:spacing w:before="80" w:after="120" w:line="300" w:lineRule="auto"/>
        <w:jc w:val="both"/>
      </w:pPr>
      <w:r>
        <w:t xml:space="preserve">Strengths: </w:t>
      </w:r>
      <w:proofErr w:type="spellStart"/>
      <w:r>
        <w:t>rigour</w:t>
      </w:r>
      <w:proofErr w:type="spellEnd"/>
      <w:r>
        <w:t>, comprehensiveness, regular updates, official endorsement. Weaknesses: calibrated for European conditions; the value-transfer guidance to LICs is light; not aimed at fuel-tax assessment specifically.</w:t>
      </w:r>
    </w:p>
    <w:p w14:paraId="7E536BC2" w14:textId="77777777" w:rsidR="007F4BED" w:rsidRDefault="00000000">
      <w:pPr>
        <w:pStyle w:val="Heading2"/>
      </w:pPr>
      <w:r>
        <w:lastRenderedPageBreak/>
        <w:t>2.3 OECD Effective Carbon Rates and Taxing Energy Use</w:t>
      </w:r>
    </w:p>
    <w:p w14:paraId="7E536BC3" w14:textId="77777777" w:rsidR="007F4BED" w:rsidRDefault="00000000">
      <w:pPr>
        <w:spacing w:before="80" w:after="120" w:line="300" w:lineRule="auto"/>
        <w:jc w:val="both"/>
      </w:pPr>
      <w:r>
        <w:t xml:space="preserve">The OECD Taxing Energy Use series and the Effective Carbon Rate metric provide </w:t>
      </w:r>
      <w:proofErr w:type="spellStart"/>
      <w:r>
        <w:t>standardised</w:t>
      </w:r>
      <w:proofErr w:type="spellEnd"/>
      <w:r>
        <w:t xml:space="preserve"> cross-country measurement of explicit and implicit carbon prices on fuels. The methodology is transparent and the series is regularly updated. The OECD Carbon Pricing Score is a normative yardstick benchmarking countries against </w:t>
      </w:r>
      <w:proofErr w:type="gramStart"/>
      <w:r>
        <w:t>an</w:t>
      </w:r>
      <w:proofErr w:type="gramEnd"/>
      <w:r>
        <w:t xml:space="preserve"> EUR 60 per tonne reference.</w:t>
      </w:r>
    </w:p>
    <w:p w14:paraId="7E536BC4" w14:textId="77777777" w:rsidR="007F4BED" w:rsidRDefault="00000000">
      <w:pPr>
        <w:spacing w:before="80" w:after="120" w:line="300" w:lineRule="auto"/>
        <w:jc w:val="both"/>
      </w:pPr>
      <w:r>
        <w:t>Strengths: comparable carbon-rate measurement across about eighty countries, transparent methodology. Weaknesses: scope is limited to the carbon dimension; does not cover the other externalities.</w:t>
      </w:r>
    </w:p>
    <w:p w14:paraId="7E536BC5" w14:textId="77777777" w:rsidR="007F4BED" w:rsidRDefault="00000000">
      <w:pPr>
        <w:pStyle w:val="Heading2"/>
      </w:pPr>
      <w:r>
        <w:t>2.4 Parry-Strand and the country-application templates</w:t>
      </w:r>
    </w:p>
    <w:p w14:paraId="7E536BC6" w14:textId="77777777" w:rsidR="007F4BED" w:rsidRDefault="00000000">
      <w:pPr>
        <w:spacing w:before="80" w:after="120" w:line="300" w:lineRule="auto"/>
        <w:jc w:val="both"/>
      </w:pPr>
      <w:r>
        <w:t xml:space="preserve">Parry and Strand (2012) applied the IMF framework explicitly as a transferable template, with Chile as the worked example. The same template was applied by Anton-Sarabia and Hernandez-Trillo to Mexico and by Heine and colleagues to Brazil. The </w:t>
      </w:r>
      <w:proofErr w:type="spellStart"/>
      <w:r>
        <w:t>Bijgaart</w:t>
      </w:r>
      <w:proofErr w:type="spellEnd"/>
      <w:r>
        <w:t xml:space="preserve">, </w:t>
      </w:r>
      <w:proofErr w:type="spellStart"/>
      <w:r>
        <w:t>Klenert</w:t>
      </w:r>
      <w:proofErr w:type="spellEnd"/>
      <w:r>
        <w:t xml:space="preserve"> and </w:t>
      </w:r>
      <w:proofErr w:type="spellStart"/>
      <w:r>
        <w:t>Mattauch</w:t>
      </w:r>
      <w:proofErr w:type="spellEnd"/>
      <w:r>
        <w:t xml:space="preserve"> extension adds active-travel health benefits, increasing optimal fuel taxes by 38 to 44 per cent in UK and US applications.</w:t>
      </w:r>
    </w:p>
    <w:p w14:paraId="7E536BC7" w14:textId="77777777" w:rsidR="007F4BED" w:rsidRDefault="00000000">
      <w:pPr>
        <w:spacing w:before="80" w:after="120" w:line="300" w:lineRule="auto"/>
        <w:jc w:val="both"/>
      </w:pPr>
      <w:r>
        <w:t>These applications are the closest published analogues to what the FVTD would produce. They are academic studies, not institutional products, but they demonstrate that the methodology can be applied to country conditions with reasonable data.</w:t>
      </w:r>
    </w:p>
    <w:p w14:paraId="7E536BC8" w14:textId="77777777" w:rsidR="007F4BED" w:rsidRDefault="00000000">
      <w:pPr>
        <w:pStyle w:val="Heading1"/>
      </w:pPr>
      <w:r>
        <w:t>3. Existing national work</w:t>
      </w:r>
    </w:p>
    <w:p w14:paraId="7E536BC9" w14:textId="77777777" w:rsidR="007F4BED" w:rsidRDefault="00000000">
      <w:pPr>
        <w:spacing w:before="80" w:after="120" w:line="300" w:lineRule="auto"/>
        <w:jc w:val="both"/>
      </w:pPr>
      <w:r>
        <w:t xml:space="preserve">National practice is more uneven than international practice. The UK is the most </w:t>
      </w:r>
      <w:proofErr w:type="spellStart"/>
      <w:r>
        <w:t>institutionalised</w:t>
      </w:r>
      <w:proofErr w:type="spellEnd"/>
      <w:r>
        <w:t xml:space="preserve"> case for valuation discipline. Other countries do parts of the work but rarely the whole.</w:t>
      </w:r>
    </w:p>
    <w:p w14:paraId="7E536BCA" w14:textId="77777777" w:rsidR="007F4BED" w:rsidRDefault="00000000">
      <w:pPr>
        <w:pStyle w:val="Heading2"/>
      </w:pPr>
      <w:r>
        <w:t>3.1 The United Kingdom</w:t>
      </w:r>
    </w:p>
    <w:p w14:paraId="7E536BCB" w14:textId="77777777" w:rsidR="007F4BED" w:rsidRDefault="00000000">
      <w:pPr>
        <w:spacing w:before="80" w:after="120" w:line="300" w:lineRule="auto"/>
        <w:jc w:val="both"/>
      </w:pPr>
      <w:r>
        <w:t xml:space="preserve">The UK is the cleanest example of </w:t>
      </w:r>
      <w:proofErr w:type="spellStart"/>
      <w:r>
        <w:t>standardised</w:t>
      </w:r>
      <w:proofErr w:type="spellEnd"/>
      <w:r>
        <w:t xml:space="preserve"> valuation parameters. The Treasury Green Book sets the framework for cost-benefit analysis across </w:t>
      </w:r>
      <w:proofErr w:type="gramStart"/>
      <w:r>
        <w:t>government</w:t>
      </w:r>
      <w:proofErr w:type="gramEnd"/>
      <w:r>
        <w:t xml:space="preserve">. The Department for Transport TAG (Transport Analysis Guidance, formerly </w:t>
      </w:r>
      <w:proofErr w:type="spellStart"/>
      <w:r>
        <w:t>WebTAG</w:t>
      </w:r>
      <w:proofErr w:type="spellEnd"/>
      <w:r>
        <w:t xml:space="preserve">) provides values for VSL via willingness-to-pay surveys, time savings, accident costs by casualty type, and noise. The Department for Environment, Food and Rural Affairs publishes damage-cost estimates per </w:t>
      </w:r>
      <w:proofErr w:type="gramStart"/>
      <w:r>
        <w:t>tonne</w:t>
      </w:r>
      <w:proofErr w:type="gramEnd"/>
      <w:r>
        <w:t xml:space="preserve"> for PM2.5, NOx, SO2 and ammonia. The Department for Energy Security and Net Zero publishes a carbon-values trajectory used in all government </w:t>
      </w:r>
      <w:proofErr w:type="gramStart"/>
      <w:r>
        <w:t>appraisal</w:t>
      </w:r>
      <w:proofErr w:type="gramEnd"/>
      <w:r>
        <w:t>.</w:t>
      </w:r>
    </w:p>
    <w:p w14:paraId="7E536BCC" w14:textId="77777777" w:rsidR="007F4BED" w:rsidRDefault="00000000">
      <w:pPr>
        <w:spacing w:before="80" w:after="120" w:line="300" w:lineRule="auto"/>
        <w:jc w:val="both"/>
      </w:pPr>
      <w:r>
        <w:t xml:space="preserve">These are updated annually or </w:t>
      </w:r>
      <w:proofErr w:type="gramStart"/>
      <w:r>
        <w:t>near-annually</w:t>
      </w:r>
      <w:proofErr w:type="gramEnd"/>
      <w:r>
        <w:t xml:space="preserve">. They are mandatory for regulatory impact assessment. The result is a rare situation in which a transport </w:t>
      </w:r>
      <w:proofErr w:type="spellStart"/>
      <w:r>
        <w:t>modeller</w:t>
      </w:r>
      <w:proofErr w:type="spellEnd"/>
      <w:r>
        <w:t>, an air-pollution analyst, and a climate analyst working on the same project use the same VSL and the same carbon price by default.</w:t>
      </w:r>
    </w:p>
    <w:p w14:paraId="7E536BCD" w14:textId="77777777" w:rsidR="007F4BED" w:rsidRDefault="00000000">
      <w:pPr>
        <w:spacing w:before="80" w:after="120" w:line="300" w:lineRule="auto"/>
        <w:jc w:val="both"/>
      </w:pPr>
      <w:r>
        <w:t>The UK does not produce a recurring fuel-tax diagnostic of the kind we propose. Fuel duty rates are set in the Budget on revenue and political grounds. But the valuation discipline is exemplary and is what we propose to borrow.</w:t>
      </w:r>
    </w:p>
    <w:p w14:paraId="7E536BCE" w14:textId="77777777" w:rsidR="007F4BED" w:rsidRDefault="00000000">
      <w:pPr>
        <w:pStyle w:val="Heading2"/>
      </w:pPr>
      <w:r>
        <w:lastRenderedPageBreak/>
        <w:t>3.2 Chile</w:t>
      </w:r>
    </w:p>
    <w:p w14:paraId="7E536BCF" w14:textId="77777777" w:rsidR="007F4BED" w:rsidRDefault="00000000">
      <w:pPr>
        <w:spacing w:before="80" w:after="120" w:line="300" w:lineRule="auto"/>
        <w:jc w:val="both"/>
      </w:pPr>
      <w:r>
        <w:t>Chile has the strongest LMIC analytical foundation. The Parry-Strand application produced a full externality-corrective tax assessment. Chile introduced a carbon component on stationary sources in 2014 and has continued to develop environmental tax architecture. The Ministry of Environment maintains air-pollution exposure data of reasonable quality. There is no recurring institutional diagnostic, but most of the underlying analytical infrastructure is in place.</w:t>
      </w:r>
    </w:p>
    <w:p w14:paraId="7E536BD0" w14:textId="77777777" w:rsidR="007F4BED" w:rsidRDefault="00000000">
      <w:pPr>
        <w:pStyle w:val="Heading2"/>
      </w:pPr>
      <w:r>
        <w:t>3.3 Colombia</w:t>
      </w:r>
    </w:p>
    <w:p w14:paraId="7E536BD1" w14:textId="77777777" w:rsidR="007F4BED" w:rsidRDefault="00000000">
      <w:pPr>
        <w:spacing w:before="80" w:after="120" w:line="300" w:lineRule="auto"/>
        <w:jc w:val="both"/>
      </w:pPr>
      <w:r>
        <w:t>Colombia has done strong work in the component pieces but has not integrated them. DNP and the Ministry of Environment have produced PM2.5 mortality valuations — the 2018 estimate placed annual mortality cost at about 1.2 per cent of GDP. Colombia has had a national carbon tax since 2017 and has a carbon-credit offset mechanism. Bogota emissions inventories are technically strong. What is missing is the synthesis layer joining tax design to externality valuation.</w:t>
      </w:r>
    </w:p>
    <w:p w14:paraId="7E536BD2" w14:textId="77777777" w:rsidR="007F4BED" w:rsidRDefault="00000000">
      <w:pPr>
        <w:pStyle w:val="Heading2"/>
      </w:pPr>
      <w:r>
        <w:t>3.4 Brazil and Mexico</w:t>
      </w:r>
    </w:p>
    <w:p w14:paraId="7E536BD3" w14:textId="77777777" w:rsidR="007F4BED" w:rsidRDefault="00000000">
      <w:pPr>
        <w:spacing w:before="80" w:after="120" w:line="300" w:lineRule="auto"/>
        <w:jc w:val="both"/>
      </w:pPr>
      <w:r>
        <w:t xml:space="preserve">Both have academic optimal-fuel-tax computations applied to their conditions. Mexico has had a carbon component on fuels since 2014. Brazil's distinctive ethanol question is treated in Heine et al.: the largest externality for gasoline and ethanol is accidents, while air pollution dominates for diesel. Neither country </w:t>
      </w:r>
      <w:proofErr w:type="spellStart"/>
      <w:r>
        <w:t>institutionalises</w:t>
      </w:r>
      <w:proofErr w:type="spellEnd"/>
      <w:r>
        <w:t xml:space="preserve"> the analysis.</w:t>
      </w:r>
    </w:p>
    <w:p w14:paraId="7E536BD4" w14:textId="77777777" w:rsidR="007F4BED" w:rsidRDefault="00000000">
      <w:pPr>
        <w:pStyle w:val="Heading2"/>
      </w:pPr>
      <w:r>
        <w:t>3.5 South Africa</w:t>
      </w:r>
    </w:p>
    <w:p w14:paraId="7E536BD5" w14:textId="77777777" w:rsidR="007F4BED" w:rsidRDefault="00000000">
      <w:pPr>
        <w:spacing w:before="80" w:after="120" w:line="300" w:lineRule="auto"/>
        <w:jc w:val="both"/>
      </w:pPr>
      <w:r>
        <w:t>South Africa has the most developed legislative carbon-pricing architecture among middle-income countries, with a carbon tax operating since 2019, fuel-levy escalators, and Treasury budget reviews that engage with externality reasoning. The integrated diagnostic is still missing.</w:t>
      </w:r>
    </w:p>
    <w:p w14:paraId="7E536BD6" w14:textId="77777777" w:rsidR="007F4BED" w:rsidRDefault="00000000">
      <w:pPr>
        <w:pStyle w:val="Heading2"/>
      </w:pPr>
      <w:r>
        <w:t>3.6 Sub-Saharan Africa more broadly</w:t>
      </w:r>
    </w:p>
    <w:p w14:paraId="7E536BD7" w14:textId="77777777" w:rsidR="007F4BED" w:rsidRDefault="00000000">
      <w:pPr>
        <w:spacing w:before="80" w:after="120" w:line="300" w:lineRule="auto"/>
        <w:jc w:val="both"/>
      </w:pPr>
      <w:r>
        <w:t xml:space="preserve">The Institute for Fiscal Studies has produced what is in effect the closest existing template for an LIC-applicable diagnostic: its report on green motor taxation in sub-Saharan Africa, funded by the FCDO and the Gates Foundation, walks through the four main externalities for SSA conditions, documents fuel and vehicle tax structures across Ethiopia, Ghana, Rwanda and Uganda, and uses microsimulation on household survey data to compute incidence. It is calibrated for LIC realities — very low </w:t>
      </w:r>
      <w:proofErr w:type="spellStart"/>
      <w:r>
        <w:t>motorisation</w:t>
      </w:r>
      <w:proofErr w:type="spellEnd"/>
      <w:r>
        <w:t>, high pedestrian-fatality share, geographic concentration of vehicles in capitals.</w:t>
      </w:r>
    </w:p>
    <w:p w14:paraId="7E536BD8" w14:textId="77777777" w:rsidR="007F4BED" w:rsidRDefault="00000000">
      <w:pPr>
        <w:spacing w:before="80" w:after="120" w:line="300" w:lineRule="auto"/>
        <w:jc w:val="both"/>
      </w:pPr>
      <w:r>
        <w:t>It is an academic study, not a government product. But it is the analytical template a Tier-2 diagnostic should follow.</w:t>
      </w:r>
    </w:p>
    <w:p w14:paraId="7E536BD9" w14:textId="77777777" w:rsidR="007F4BED" w:rsidRDefault="00000000">
      <w:pPr>
        <w:pStyle w:val="Heading2"/>
      </w:pPr>
      <w:r>
        <w:t>3.7 What national practice tells us</w:t>
      </w:r>
    </w:p>
    <w:p w14:paraId="7E536BDA" w14:textId="77777777" w:rsidR="007F4BED" w:rsidRDefault="00000000">
      <w:pPr>
        <w:spacing w:before="80" w:after="120" w:line="300" w:lineRule="auto"/>
        <w:jc w:val="both"/>
      </w:pPr>
      <w:r>
        <w:lastRenderedPageBreak/>
        <w:t xml:space="preserve">Three points emerge. First, no country produces, as a recurring institutional output, the integrated diagnostic we are proposing. The gap is real. Second, the UK discipline of </w:t>
      </w:r>
      <w:proofErr w:type="spellStart"/>
      <w:r>
        <w:t>standardised</w:t>
      </w:r>
      <w:proofErr w:type="spellEnd"/>
      <w:r>
        <w:t xml:space="preserve"> valuation parameters is the model worth copying — not the specific values, which are UK-specific, but the institutional habit of having one VSL, one carbon price, one set of pollution damage costs that all government analysts use. Third, the methodology to do the work in developing-country settings already exists; what is missing is the synthesis.</w:t>
      </w:r>
    </w:p>
    <w:p w14:paraId="7E536BDB" w14:textId="77777777" w:rsidR="007F4BED" w:rsidRDefault="00000000">
      <w:pPr>
        <w:pStyle w:val="Heading1"/>
      </w:pPr>
      <w:r>
        <w:t>4. Proposed report structure</w:t>
      </w:r>
    </w:p>
    <w:p w14:paraId="7E536BDC" w14:textId="77777777" w:rsidR="007F4BED" w:rsidRDefault="00000000">
      <w:pPr>
        <w:spacing w:before="80" w:after="120" w:line="300" w:lineRule="auto"/>
        <w:jc w:val="both"/>
      </w:pPr>
      <w:r>
        <w:t>We propose a fixed report structure with seven sections. It is the same in both tiers; the difference is depth and data requirements, not architecture. The discipline of fixed structure matters: it allows a country team to produce the report without negotiating its scope each time, allows comparison across countries, and allows incremental improvement of any single section without disturbing the rest.</w:t>
      </w:r>
    </w:p>
    <w:p w14:paraId="7E536BDD" w14:textId="77777777" w:rsidR="007F4BED" w:rsidRDefault="00000000">
      <w:pPr>
        <w:pStyle w:val="Heading2"/>
      </w:pPr>
      <w:r>
        <w:t>4.1 The seven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7F4BED" w14:paraId="7E536BE1"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BDE" w14:textId="77777777" w:rsidR="007F4BED" w:rsidRDefault="00000000">
            <w:r>
              <w:rPr>
                <w:b/>
                <w:bCs/>
                <w:sz w:val="20"/>
                <w:szCs w:val="20"/>
              </w:rPr>
              <w:t>Section</w:t>
            </w:r>
          </w:p>
        </w:tc>
        <w:tc>
          <w:tcPr>
            <w:tcW w:w="3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BDF" w14:textId="77777777" w:rsidR="007F4BED" w:rsidRDefault="00000000">
            <w:r>
              <w:rPr>
                <w:b/>
                <w:bCs/>
                <w:sz w:val="20"/>
                <w:szCs w:val="20"/>
              </w:rPr>
              <w:t>Title</w:t>
            </w:r>
          </w:p>
        </w:tc>
        <w:tc>
          <w:tcPr>
            <w:tcW w:w="496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BE0" w14:textId="77777777" w:rsidR="007F4BED" w:rsidRDefault="00000000">
            <w:r>
              <w:rPr>
                <w:b/>
                <w:bCs/>
                <w:sz w:val="20"/>
                <w:szCs w:val="20"/>
              </w:rPr>
              <w:t>Purpose</w:t>
            </w:r>
          </w:p>
        </w:tc>
      </w:tr>
      <w:tr w:rsidR="007F4BED" w14:paraId="7E536BE5"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2" w14:textId="77777777" w:rsidR="007F4BED" w:rsidRDefault="00000000">
            <w:r>
              <w:rPr>
                <w:sz w:val="20"/>
                <w:szCs w:val="20"/>
              </w:rPr>
              <w:t>1</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3" w14:textId="77777777" w:rsidR="007F4BED" w:rsidRDefault="00000000">
            <w:r>
              <w:rPr>
                <w:sz w:val="20"/>
                <w:szCs w:val="20"/>
              </w:rPr>
              <w:t>Tax baseline and revenue</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4" w14:textId="77777777" w:rsidR="007F4BED" w:rsidRDefault="00000000">
            <w:r>
              <w:rPr>
                <w:sz w:val="20"/>
                <w:szCs w:val="20"/>
              </w:rPr>
              <w:t>What rates apply now, what they yield, who pays. Explicit and implicit subsidies. Effective per-</w:t>
            </w:r>
            <w:proofErr w:type="spellStart"/>
            <w:r>
              <w:rPr>
                <w:sz w:val="20"/>
                <w:szCs w:val="20"/>
              </w:rPr>
              <w:t>litre</w:t>
            </w:r>
            <w:proofErr w:type="spellEnd"/>
            <w:r>
              <w:rPr>
                <w:sz w:val="20"/>
                <w:szCs w:val="20"/>
              </w:rPr>
              <w:t xml:space="preserve"> and per-tCO2 rates after VAT and cascading.</w:t>
            </w:r>
          </w:p>
        </w:tc>
      </w:tr>
      <w:tr w:rsidR="007F4BED" w14:paraId="7E536BE9"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6" w14:textId="77777777" w:rsidR="007F4BED" w:rsidRDefault="00000000">
            <w:r>
              <w:rPr>
                <w:sz w:val="20"/>
                <w:szCs w:val="20"/>
              </w:rPr>
              <w:t>2</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7" w14:textId="77777777" w:rsidR="007F4BED" w:rsidRDefault="00000000">
            <w:r>
              <w:rPr>
                <w:sz w:val="20"/>
                <w:szCs w:val="20"/>
              </w:rPr>
              <w:t>Externality estimates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8" w14:textId="77777777" w:rsidR="007F4BED" w:rsidRDefault="00000000">
            <w:r>
              <w:rPr>
                <w:sz w:val="20"/>
                <w:szCs w:val="20"/>
              </w:rPr>
              <w:t xml:space="preserve">Carbon, local air pollution, accidents, congestion, road damage. Per </w:t>
            </w:r>
            <w:proofErr w:type="spellStart"/>
            <w:r>
              <w:rPr>
                <w:sz w:val="20"/>
                <w:szCs w:val="20"/>
              </w:rPr>
              <w:t>litre</w:t>
            </w:r>
            <w:proofErr w:type="spellEnd"/>
            <w:r>
              <w:rPr>
                <w:sz w:val="20"/>
                <w:szCs w:val="20"/>
              </w:rPr>
              <w:t xml:space="preserve"> and per </w:t>
            </w:r>
            <w:proofErr w:type="spellStart"/>
            <w:r>
              <w:rPr>
                <w:sz w:val="20"/>
                <w:szCs w:val="20"/>
              </w:rPr>
              <w:t>vkm</w:t>
            </w:r>
            <w:proofErr w:type="spellEnd"/>
            <w:r>
              <w:rPr>
                <w:sz w:val="20"/>
                <w:szCs w:val="20"/>
              </w:rPr>
              <w:t xml:space="preserve"> </w:t>
            </w:r>
            <w:proofErr w:type="gramStart"/>
            <w:r>
              <w:rPr>
                <w:sz w:val="20"/>
                <w:szCs w:val="20"/>
              </w:rPr>
              <w:t>where</w:t>
            </w:r>
            <w:proofErr w:type="gramEnd"/>
            <w:r>
              <w:rPr>
                <w:sz w:val="20"/>
                <w:szCs w:val="20"/>
              </w:rPr>
              <w:t xml:space="preserve"> relevant. Drawn from CPAT, health-team outputs, IMF GEPR, country sources.</w:t>
            </w:r>
          </w:p>
        </w:tc>
      </w:tr>
      <w:tr w:rsidR="007F4BED" w14:paraId="7E536BED"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A" w14:textId="77777777" w:rsidR="007F4BED" w:rsidRDefault="00000000">
            <w:r>
              <w:rPr>
                <w:sz w:val="20"/>
                <w:szCs w:val="20"/>
              </w:rPr>
              <w:t>3</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B" w14:textId="77777777" w:rsidR="007F4BED" w:rsidRDefault="00000000">
            <w:r>
              <w:rPr>
                <w:sz w:val="20"/>
                <w:szCs w:val="20"/>
              </w:rPr>
              <w:t>Optimal corrective rate</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C" w14:textId="77777777" w:rsidR="007F4BED" w:rsidRDefault="00000000">
            <w:r>
              <w:rPr>
                <w:sz w:val="20"/>
                <w:szCs w:val="20"/>
              </w:rPr>
              <w:t>Naive Pigouvian sum and second-best rate adjusted for mileage versus fuel-economy elasticity decomposition. Sensitivity ranges across SCC, VSL and elasticities.</w:t>
            </w:r>
          </w:p>
        </w:tc>
      </w:tr>
      <w:tr w:rsidR="007F4BED" w14:paraId="7E536BF1"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E" w14:textId="77777777" w:rsidR="007F4BED" w:rsidRDefault="00000000">
            <w:r>
              <w:rPr>
                <w:sz w:val="20"/>
                <w:szCs w:val="20"/>
              </w:rPr>
              <w:t>4</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EF" w14:textId="77777777" w:rsidR="007F4BED" w:rsidRDefault="00000000">
            <w:r>
              <w:rPr>
                <w:sz w:val="20"/>
                <w:szCs w:val="20"/>
              </w:rPr>
              <w:t>Gap analysis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0" w14:textId="77777777" w:rsidR="007F4BED" w:rsidRDefault="00000000">
            <w:r>
              <w:rPr>
                <w:sz w:val="20"/>
                <w:szCs w:val="20"/>
              </w:rPr>
              <w:t>Current versus optimal, by fuel. Decomposition of the gap by externality category. Which gaps are best closed by fuel tax versus dedicated instruments.</w:t>
            </w:r>
          </w:p>
        </w:tc>
      </w:tr>
      <w:tr w:rsidR="007F4BED" w14:paraId="7E536BF5"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2" w14:textId="77777777" w:rsidR="007F4BED" w:rsidRDefault="00000000">
            <w:r>
              <w:rPr>
                <w:sz w:val="20"/>
                <w:szCs w:val="20"/>
              </w:rPr>
              <w:t>5</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3" w14:textId="77777777" w:rsidR="007F4BED" w:rsidRDefault="00000000">
            <w:r>
              <w:rPr>
                <w:sz w:val="20"/>
                <w:szCs w:val="20"/>
              </w:rPr>
              <w:t>Distributional incidence</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4" w14:textId="77777777" w:rsidR="007F4BED" w:rsidRDefault="00000000">
            <w:r>
              <w:rPr>
                <w:sz w:val="20"/>
                <w:szCs w:val="20"/>
              </w:rPr>
              <w:t xml:space="preserve">Welfare effects across deciles, urban versus rural, formal versus informal transport. </w:t>
            </w:r>
            <w:proofErr w:type="gramStart"/>
            <w:r>
              <w:rPr>
                <w:sz w:val="20"/>
                <w:szCs w:val="20"/>
              </w:rPr>
              <w:t>Drawn</w:t>
            </w:r>
            <w:proofErr w:type="gramEnd"/>
            <w:r>
              <w:rPr>
                <w:sz w:val="20"/>
                <w:szCs w:val="20"/>
              </w:rPr>
              <w:t xml:space="preserve"> directly from CPAT incidence module where available.</w:t>
            </w:r>
          </w:p>
        </w:tc>
      </w:tr>
      <w:tr w:rsidR="007F4BED" w14:paraId="7E536BF9"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6" w14:textId="77777777" w:rsidR="007F4BED" w:rsidRDefault="00000000">
            <w:r>
              <w:rPr>
                <w:sz w:val="20"/>
                <w:szCs w:val="20"/>
              </w:rPr>
              <w:t>6</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7" w14:textId="77777777" w:rsidR="007F4BED" w:rsidRDefault="00000000">
            <w:r>
              <w:rPr>
                <w:sz w:val="20"/>
                <w:szCs w:val="20"/>
              </w:rPr>
              <w:t>International norm comparator</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8" w14:textId="77777777" w:rsidR="007F4BED" w:rsidRDefault="00000000">
            <w:r>
              <w:rPr>
                <w:sz w:val="20"/>
                <w:szCs w:val="20"/>
              </w:rPr>
              <w:t>Statutory rates versus regional and OECD benchmarks. Effective carbon rate versus TECP comparator group. CBAM and border-adjustment exposure.</w:t>
            </w:r>
          </w:p>
        </w:tc>
      </w:tr>
      <w:tr w:rsidR="007F4BED" w14:paraId="7E536BFD"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A" w14:textId="77777777" w:rsidR="007F4BED" w:rsidRDefault="00000000">
            <w:r>
              <w:rPr>
                <w:sz w:val="20"/>
                <w:szCs w:val="20"/>
              </w:rPr>
              <w:t>7</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B" w14:textId="77777777" w:rsidR="007F4BED" w:rsidRDefault="00000000">
            <w:r>
              <w:rPr>
                <w:sz w:val="20"/>
                <w:szCs w:val="20"/>
              </w:rPr>
              <w:t>Reform pathway</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BFC" w14:textId="77777777" w:rsidR="007F4BED" w:rsidRDefault="00000000">
            <w:r>
              <w:rPr>
                <w:sz w:val="20"/>
                <w:szCs w:val="20"/>
              </w:rPr>
              <w:t>Sequenced instrument package, revenue projection, recycling options, compensation design, implementation calendar. Practical, not theoretical.</w:t>
            </w:r>
          </w:p>
        </w:tc>
      </w:tr>
    </w:tbl>
    <w:p w14:paraId="7E536BFE" w14:textId="77777777" w:rsidR="007F4BED" w:rsidRDefault="007F4BED"/>
    <w:p w14:paraId="7E536BFF" w14:textId="77777777" w:rsidR="007F4BED" w:rsidRDefault="00000000">
      <w:pPr>
        <w:pStyle w:val="Heading2"/>
      </w:pPr>
      <w:r>
        <w:lastRenderedPageBreak/>
        <w:t>4.2 Tier 1 (capable LMICs and UMICs)</w:t>
      </w:r>
    </w:p>
    <w:p w14:paraId="7E536C00" w14:textId="77777777" w:rsidR="007F4BED" w:rsidRDefault="00000000">
      <w:pPr>
        <w:spacing w:before="80" w:after="120" w:line="300" w:lineRule="auto"/>
        <w:jc w:val="both"/>
      </w:pPr>
      <w:r>
        <w:t xml:space="preserve">Tier 1 uses country-specific data where available. Country VSL is computed by income-elasticity transfer from an OECD baseline rather than borrowed wholesale. Country-specific elasticities are used where credible estimates exist; pooled regional estimates are used otherwise, with sensitivity ranges. Active-travel health benefits are quantified using the WHO HEAT methodology. Distinct urban and rural externality profiles are presented separately. Vehicle-stock vintage modelling is included in Section 7 to address </w:t>
      </w:r>
      <w:proofErr w:type="spellStart"/>
      <w:r>
        <w:t>Gruenspecht</w:t>
      </w:r>
      <w:proofErr w:type="spellEnd"/>
      <w:r>
        <w:t xml:space="preserve"> effects on purchase taxes.</w:t>
      </w:r>
    </w:p>
    <w:p w14:paraId="7E536C01" w14:textId="77777777" w:rsidR="007F4BED" w:rsidRDefault="00000000">
      <w:pPr>
        <w:spacing w:before="80" w:after="120" w:line="300" w:lineRule="auto"/>
        <w:jc w:val="both"/>
      </w:pPr>
      <w:r>
        <w:t>Candidate countries: Chile, Colombia, South Africa, Mexico, Brazil, Turkey, Indonesia, Philippines, Thailand. Egypt and Vietnam are borderline.</w:t>
      </w:r>
    </w:p>
    <w:p w14:paraId="7E536C02" w14:textId="77777777" w:rsidR="007F4BED" w:rsidRDefault="00000000">
      <w:pPr>
        <w:pStyle w:val="Heading2"/>
      </w:pPr>
      <w:r>
        <w:t>4.3 Tier 2 (LICs and weak-data LMICs)</w:t>
      </w:r>
    </w:p>
    <w:p w14:paraId="7E536C03" w14:textId="77777777" w:rsidR="007F4BED" w:rsidRDefault="00000000">
      <w:pPr>
        <w:spacing w:before="80" w:after="120" w:line="300" w:lineRule="auto"/>
        <w:jc w:val="both"/>
      </w:pPr>
      <w:r>
        <w:t xml:space="preserve">Tier 2 uses the same seven-section spine but with simplified methods. Benefit-transferred VSL is used with explicit caveats. Pooled regional elasticities are used throughout. Externalities are estimated via population-weighted exposure times emission factor times concentration-response, without dispersion modelling. Congestion is computed only for the primary city and assumed negligible elsewhere. Active-travel benefits are noted qualitatively only. The second-best </w:t>
      </w:r>
      <w:proofErr w:type="spellStart"/>
      <w:r>
        <w:t>optimisation</w:t>
      </w:r>
      <w:proofErr w:type="spellEnd"/>
      <w:r>
        <w:t xml:space="preserve"> is dropped; a naive Pigouvian rate with a sensitivity corridor is reported instead.</w:t>
      </w:r>
    </w:p>
    <w:p w14:paraId="7E536C04" w14:textId="77777777" w:rsidR="007F4BED" w:rsidRDefault="00000000">
      <w:pPr>
        <w:spacing w:before="80" w:after="120" w:line="300" w:lineRule="auto"/>
        <w:jc w:val="both"/>
      </w:pPr>
      <w:r>
        <w:t xml:space="preserve">The </w:t>
      </w:r>
      <w:proofErr w:type="gramStart"/>
      <w:r>
        <w:t>deliverable</w:t>
      </w:r>
      <w:proofErr w:type="gramEnd"/>
      <w:r>
        <w:t xml:space="preserve"> is direction and magnitude rather than a precise optimal rate. </w:t>
      </w:r>
      <w:proofErr w:type="gramStart"/>
      <w:r>
        <w:t>Diesel is</w:t>
      </w:r>
      <w:proofErr w:type="gramEnd"/>
      <w:r>
        <w:t xml:space="preserve"> undertaxed by approximately X to Y dollars per </w:t>
      </w:r>
      <w:proofErr w:type="spellStart"/>
      <w:proofErr w:type="gramStart"/>
      <w:r>
        <w:t>litre</w:t>
      </w:r>
      <w:proofErr w:type="spellEnd"/>
      <w:proofErr w:type="gramEnd"/>
      <w:r>
        <w:t xml:space="preserve"> is more useful than a false-precision point estimate.</w:t>
      </w:r>
    </w:p>
    <w:p w14:paraId="7E536C05" w14:textId="77777777" w:rsidR="007F4BED" w:rsidRDefault="00000000">
      <w:pPr>
        <w:spacing w:before="80" w:after="120" w:line="300" w:lineRule="auto"/>
        <w:jc w:val="both"/>
      </w:pPr>
      <w:r>
        <w:t>Candidate countries: most of the IDA caseload — Uganda, Tanzania, Rwanda, Ethiopia, Mozambique, Ghana, Senegal, Kenya at the upper end. Pakistan and Bangladesh fit Tier 2 despite being LMICs.</w:t>
      </w:r>
    </w:p>
    <w:p w14:paraId="7E536C06" w14:textId="77777777" w:rsidR="007F4BED" w:rsidRDefault="00000000">
      <w:pPr>
        <w:pStyle w:val="Heading1"/>
      </w:pPr>
      <w:r>
        <w:t>5. Data needs and gaps</w:t>
      </w:r>
    </w:p>
    <w:p w14:paraId="7E536C07" w14:textId="77777777" w:rsidR="007F4BED" w:rsidRDefault="00000000">
      <w:pPr>
        <w:spacing w:before="80" w:after="120" w:line="300" w:lineRule="auto"/>
        <w:jc w:val="both"/>
      </w:pPr>
      <w:r>
        <w:t>The realistic question is not whether the diagnostic can be done but how much country-specific data is needed for the answer to be defensible. The table below lists the inputs by section, distinguishes between Tier 1 and Tier 2 requirements, and flags where each input typically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7F4BED" w14:paraId="7E536C0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08" w14:textId="77777777" w:rsidR="007F4BED" w:rsidRDefault="00000000">
            <w:r>
              <w:rPr>
                <w:b/>
                <w:bCs/>
                <w:sz w:val="20"/>
                <w:szCs w:val="20"/>
              </w:rPr>
              <w:t>Input</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09" w14:textId="77777777" w:rsidR="007F4BED" w:rsidRDefault="00000000">
            <w:r>
              <w:rPr>
                <w:b/>
                <w:bCs/>
                <w:sz w:val="20"/>
                <w:szCs w:val="20"/>
              </w:rPr>
              <w:t>Tier 1 source</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0A" w14:textId="77777777" w:rsidR="007F4BED" w:rsidRDefault="00000000">
            <w:r>
              <w:rPr>
                <w:b/>
                <w:bCs/>
                <w:sz w:val="20"/>
                <w:szCs w:val="20"/>
              </w:rPr>
              <w:t>Tier 2 source</w:t>
            </w:r>
          </w:p>
        </w:tc>
        <w:tc>
          <w:tcPr>
            <w:tcW w:w="256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0B" w14:textId="77777777" w:rsidR="007F4BED" w:rsidRDefault="00000000">
            <w:r>
              <w:rPr>
                <w:b/>
                <w:bCs/>
                <w:sz w:val="20"/>
                <w:szCs w:val="20"/>
              </w:rPr>
              <w:t>Gap risk</w:t>
            </w:r>
          </w:p>
        </w:tc>
      </w:tr>
      <w:tr w:rsidR="007F4BED" w14:paraId="7E536C1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0D" w14:textId="77777777" w:rsidR="007F4BED" w:rsidRDefault="00000000">
            <w:r>
              <w:rPr>
                <w:sz w:val="20"/>
                <w:szCs w:val="20"/>
              </w:rPr>
              <w:t>Statutory tax rates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0E" w14:textId="77777777" w:rsidR="007F4BED" w:rsidRDefault="00000000">
            <w:r>
              <w:rPr>
                <w:sz w:val="20"/>
                <w:szCs w:val="20"/>
              </w:rPr>
              <w:t>Finance Ministry, IMF Article IV</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0F" w14:textId="77777777" w:rsidR="007F4BED" w:rsidRDefault="00000000">
            <w:r>
              <w:rPr>
                <w:sz w:val="20"/>
                <w:szCs w:val="20"/>
              </w:rPr>
              <w:t>Same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0" w14:textId="77777777" w:rsidR="007F4BED" w:rsidRDefault="00000000">
            <w:r>
              <w:rPr>
                <w:sz w:val="20"/>
                <w:szCs w:val="20"/>
              </w:rPr>
              <w:t>Low. Public.</w:t>
            </w:r>
          </w:p>
        </w:tc>
      </w:tr>
      <w:tr w:rsidR="007F4BED" w14:paraId="7E536C1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2" w14:textId="77777777" w:rsidR="007F4BED" w:rsidRDefault="00000000">
            <w:r>
              <w:rPr>
                <w:sz w:val="20"/>
                <w:szCs w:val="20"/>
              </w:rPr>
              <w:t>Implicit subsidies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3" w14:textId="77777777" w:rsidR="007F4BED" w:rsidRDefault="00000000">
            <w:r>
              <w:rPr>
                <w:sz w:val="20"/>
                <w:szCs w:val="20"/>
              </w:rPr>
              <w:t>IMF Black-Parry-Vernon updates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4" w14:textId="77777777" w:rsidR="007F4BED" w:rsidRDefault="00000000">
            <w:r>
              <w:rPr>
                <w:sz w:val="20"/>
                <w:szCs w:val="20"/>
              </w:rPr>
              <w:t>Same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5" w14:textId="77777777" w:rsidR="007F4BED" w:rsidRDefault="00000000">
            <w:r>
              <w:rPr>
                <w:sz w:val="20"/>
                <w:szCs w:val="20"/>
              </w:rPr>
              <w:t xml:space="preserve">Low. </w:t>
            </w:r>
            <w:proofErr w:type="spellStart"/>
            <w:r>
              <w:rPr>
                <w:sz w:val="20"/>
                <w:szCs w:val="20"/>
              </w:rPr>
              <w:t>Standardised</w:t>
            </w:r>
            <w:proofErr w:type="spellEnd"/>
            <w:r>
              <w:rPr>
                <w:sz w:val="20"/>
                <w:szCs w:val="20"/>
              </w:rPr>
              <w:t xml:space="preserve"> globally.</w:t>
            </w:r>
          </w:p>
        </w:tc>
      </w:tr>
      <w:tr w:rsidR="007F4BED" w14:paraId="7E536C1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7" w14:textId="77777777" w:rsidR="007F4BED" w:rsidRDefault="00000000">
            <w:r>
              <w:rPr>
                <w:sz w:val="20"/>
                <w:szCs w:val="20"/>
              </w:rPr>
              <w:t>Carbon shadow price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8" w14:textId="77777777" w:rsidR="007F4BED" w:rsidRDefault="00000000">
            <w:r>
              <w:rPr>
                <w:sz w:val="20"/>
                <w:szCs w:val="20"/>
              </w:rPr>
              <w:t>WB recommended SCC trajectory or country TECP</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9" w14:textId="77777777" w:rsidR="007F4BED" w:rsidRDefault="00000000">
            <w:r>
              <w:rPr>
                <w:sz w:val="20"/>
                <w:szCs w:val="20"/>
              </w:rPr>
              <w:t>Same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A" w14:textId="77777777" w:rsidR="007F4BED" w:rsidRDefault="00000000">
            <w:r>
              <w:rPr>
                <w:sz w:val="20"/>
                <w:szCs w:val="20"/>
              </w:rPr>
              <w:t>Low. Choice is normative, not data.</w:t>
            </w:r>
          </w:p>
        </w:tc>
      </w:tr>
      <w:tr w:rsidR="007F4BED" w14:paraId="7E536C2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C" w14:textId="77777777" w:rsidR="007F4BED" w:rsidRDefault="00000000">
            <w:r>
              <w:rPr>
                <w:sz w:val="20"/>
                <w:szCs w:val="20"/>
              </w:rPr>
              <w:lastRenderedPageBreak/>
              <w:t>Local air pollution mortality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D" w14:textId="77777777" w:rsidR="007F4BED" w:rsidRDefault="00000000">
            <w:r>
              <w:rPr>
                <w:sz w:val="20"/>
                <w:szCs w:val="20"/>
              </w:rPr>
              <w:t>Country Climate and Health Program output, GBD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E" w14:textId="77777777" w:rsidR="007F4BED" w:rsidRDefault="00000000">
            <w:r>
              <w:rPr>
                <w:sz w:val="20"/>
                <w:szCs w:val="20"/>
              </w:rPr>
              <w:t xml:space="preserve">GBD pooled, WHO </w:t>
            </w:r>
            <w:proofErr w:type="spellStart"/>
            <w:r>
              <w:rPr>
                <w:sz w:val="20"/>
                <w:szCs w:val="20"/>
              </w:rPr>
              <w:t>AirQ</w:t>
            </w:r>
            <w:proofErr w:type="spellEnd"/>
            <w:r>
              <w:rPr>
                <w:sz w:val="20"/>
                <w:szCs w:val="20"/>
              </w:rPr>
              <w:t>+ defaults</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1F" w14:textId="77777777" w:rsidR="007F4BED" w:rsidRDefault="00000000">
            <w:r>
              <w:rPr>
                <w:sz w:val="20"/>
                <w:szCs w:val="20"/>
              </w:rPr>
              <w:t xml:space="preserve">Medium. GBD covers all </w:t>
            </w:r>
            <w:proofErr w:type="gramStart"/>
            <w:r>
              <w:rPr>
                <w:sz w:val="20"/>
                <w:szCs w:val="20"/>
              </w:rPr>
              <w:t>countries</w:t>
            </w:r>
            <w:proofErr w:type="gramEnd"/>
            <w:r>
              <w:rPr>
                <w:sz w:val="20"/>
                <w:szCs w:val="20"/>
              </w:rPr>
              <w:t xml:space="preserve"> but local exposure data is weak in LICs.</w:t>
            </w:r>
          </w:p>
        </w:tc>
      </w:tr>
      <w:tr w:rsidR="007F4BED" w14:paraId="7E536C2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1" w14:textId="77777777" w:rsidR="007F4BED" w:rsidRDefault="00000000">
            <w:r>
              <w:rPr>
                <w:sz w:val="20"/>
                <w:szCs w:val="20"/>
              </w:rPr>
              <w:t>VSL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2" w14:textId="77777777" w:rsidR="007F4BED" w:rsidRDefault="00000000">
            <w:r>
              <w:rPr>
                <w:sz w:val="20"/>
                <w:szCs w:val="20"/>
              </w:rPr>
              <w:t>Income-elasticity transfer from OECD baseline using country GNI per capita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3" w14:textId="77777777" w:rsidR="007F4BED" w:rsidRDefault="00000000">
            <w:r>
              <w:rPr>
                <w:sz w:val="20"/>
                <w:szCs w:val="20"/>
              </w:rPr>
              <w:t>Same, with wider sensitivity range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4" w14:textId="77777777" w:rsidR="007F4BED" w:rsidRDefault="00000000">
            <w:r>
              <w:rPr>
                <w:sz w:val="20"/>
                <w:szCs w:val="20"/>
              </w:rPr>
              <w:t>Medium. Transferred values are contested but transparent.</w:t>
            </w:r>
          </w:p>
        </w:tc>
      </w:tr>
      <w:tr w:rsidR="007F4BED" w14:paraId="7E536C2A"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6" w14:textId="77777777" w:rsidR="007F4BED" w:rsidRDefault="00000000">
            <w:r>
              <w:rPr>
                <w:sz w:val="20"/>
                <w:szCs w:val="20"/>
              </w:rPr>
              <w:t>Accident costs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7" w14:textId="77777777" w:rsidR="007F4BED" w:rsidRDefault="00000000">
            <w:r>
              <w:rPr>
                <w:sz w:val="20"/>
                <w:szCs w:val="20"/>
              </w:rPr>
              <w:t>Police data, Health Ministry, WHO road safety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8" w14:textId="77777777" w:rsidR="007F4BED" w:rsidRDefault="00000000">
            <w:r>
              <w:rPr>
                <w:sz w:val="20"/>
                <w:szCs w:val="20"/>
              </w:rPr>
              <w:t>WHO Global Status Report on Road Safety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9" w14:textId="77777777" w:rsidR="007F4BED" w:rsidRDefault="00000000">
            <w:r>
              <w:rPr>
                <w:sz w:val="20"/>
                <w:szCs w:val="20"/>
              </w:rPr>
              <w:t>High. Accident reporting is poor in most LICs and underestimates pedestrian deaths.</w:t>
            </w:r>
          </w:p>
        </w:tc>
      </w:tr>
      <w:tr w:rsidR="007F4BED" w14:paraId="7E536C2F"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B" w14:textId="77777777" w:rsidR="007F4BED" w:rsidRDefault="00000000">
            <w:r>
              <w:rPr>
                <w:sz w:val="20"/>
                <w:szCs w:val="20"/>
              </w:rPr>
              <w:t>Congestion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C" w14:textId="77777777" w:rsidR="007F4BED" w:rsidRDefault="00000000">
            <w:r>
              <w:rPr>
                <w:sz w:val="20"/>
                <w:szCs w:val="20"/>
              </w:rPr>
              <w:t>City speed-flow data, TomTom or local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D" w14:textId="77777777" w:rsidR="007F4BED" w:rsidRDefault="00000000">
            <w:r>
              <w:rPr>
                <w:sz w:val="20"/>
                <w:szCs w:val="20"/>
              </w:rPr>
              <w:t>Skip outside primary city; primary city via comparator extrapolation</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2E" w14:textId="77777777" w:rsidR="007F4BED" w:rsidRDefault="00000000">
            <w:r>
              <w:rPr>
                <w:sz w:val="20"/>
                <w:szCs w:val="20"/>
              </w:rPr>
              <w:t>High. Real data is rare; comparator extrapolation has wide error bars.</w:t>
            </w:r>
          </w:p>
        </w:tc>
      </w:tr>
      <w:tr w:rsidR="007F4BED" w14:paraId="7E536C3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0" w14:textId="77777777" w:rsidR="007F4BED" w:rsidRDefault="00000000">
            <w:r>
              <w:rPr>
                <w:sz w:val="20"/>
                <w:szCs w:val="20"/>
              </w:rPr>
              <w:t>Fuel-price elasticity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1" w14:textId="77777777" w:rsidR="007F4BED" w:rsidRDefault="00000000">
            <w:r>
              <w:rPr>
                <w:sz w:val="20"/>
                <w:szCs w:val="20"/>
              </w:rPr>
              <w:t>Country estimate if credible; pooled regional otherwise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2" w14:textId="77777777" w:rsidR="007F4BED" w:rsidRDefault="00000000">
            <w:r>
              <w:rPr>
                <w:sz w:val="20"/>
                <w:szCs w:val="20"/>
              </w:rPr>
              <w:t>Pooled regional</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3" w14:textId="77777777" w:rsidR="007F4BED" w:rsidRDefault="00000000">
            <w:r>
              <w:rPr>
                <w:sz w:val="20"/>
                <w:szCs w:val="20"/>
              </w:rPr>
              <w:t>High. Almost no LICs have credible local estimates.</w:t>
            </w:r>
          </w:p>
        </w:tc>
      </w:tr>
      <w:tr w:rsidR="007F4BED" w14:paraId="7E536C39"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5" w14:textId="77777777" w:rsidR="007F4BED" w:rsidRDefault="00000000">
            <w:r>
              <w:rPr>
                <w:sz w:val="20"/>
                <w:szCs w:val="20"/>
              </w:rPr>
              <w:t>Mileage versus fuel-economy decomposition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6" w14:textId="77777777" w:rsidR="007F4BED" w:rsidRDefault="00000000">
            <w:r>
              <w:rPr>
                <w:sz w:val="20"/>
                <w:szCs w:val="20"/>
              </w:rPr>
              <w:t>Default 0.5 / 0.5 with sensitivity 0.35-0.65</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7" w14:textId="77777777" w:rsidR="007F4BED" w:rsidRDefault="00000000">
            <w:r>
              <w:rPr>
                <w:sz w:val="20"/>
                <w:szCs w:val="20"/>
              </w:rPr>
              <w:t>Same default</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8" w14:textId="77777777" w:rsidR="007F4BED" w:rsidRDefault="00000000">
            <w:r>
              <w:rPr>
                <w:sz w:val="20"/>
                <w:szCs w:val="20"/>
              </w:rPr>
              <w:t xml:space="preserve">Medium. Sensitivity range is </w:t>
            </w:r>
            <w:proofErr w:type="gramStart"/>
            <w:r>
              <w:rPr>
                <w:sz w:val="20"/>
                <w:szCs w:val="20"/>
              </w:rPr>
              <w:t>wide</w:t>
            </w:r>
            <w:proofErr w:type="gramEnd"/>
            <w:r>
              <w:rPr>
                <w:sz w:val="20"/>
                <w:szCs w:val="20"/>
              </w:rPr>
              <w:t xml:space="preserve"> but the parameter is well-discussed.</w:t>
            </w:r>
          </w:p>
        </w:tc>
      </w:tr>
      <w:tr w:rsidR="007F4BED" w14:paraId="7E536C3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A" w14:textId="77777777" w:rsidR="007F4BED" w:rsidRDefault="00000000">
            <w:r>
              <w:rPr>
                <w:sz w:val="20"/>
                <w:szCs w:val="20"/>
              </w:rPr>
              <w:t>Vehicle stock and vintage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B" w14:textId="77777777" w:rsidR="007F4BED" w:rsidRDefault="00000000">
            <w:r>
              <w:rPr>
                <w:sz w:val="20"/>
                <w:szCs w:val="20"/>
              </w:rPr>
              <w:t>Customs and registration data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C" w14:textId="77777777" w:rsidR="007F4BED" w:rsidRDefault="00000000">
            <w:r>
              <w:rPr>
                <w:sz w:val="20"/>
                <w:szCs w:val="20"/>
              </w:rPr>
              <w:t>Customs and registration; aggregated only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D" w14:textId="77777777" w:rsidR="007F4BED" w:rsidRDefault="00000000">
            <w:r>
              <w:rPr>
                <w:sz w:val="20"/>
                <w:szCs w:val="20"/>
              </w:rPr>
              <w:t>Medium. Available but often stale.</w:t>
            </w:r>
          </w:p>
        </w:tc>
      </w:tr>
      <w:tr w:rsidR="007F4BED" w14:paraId="7E536C4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3F" w14:textId="77777777" w:rsidR="007F4BED" w:rsidRDefault="00000000">
            <w:r>
              <w:rPr>
                <w:sz w:val="20"/>
                <w:szCs w:val="20"/>
              </w:rPr>
              <w:t>Household incidence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40" w14:textId="77777777" w:rsidR="007F4BED" w:rsidRDefault="00000000">
            <w:r>
              <w:rPr>
                <w:sz w:val="20"/>
                <w:szCs w:val="20"/>
              </w:rPr>
              <w:t>CPAT incidence module; HBS where available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41" w14:textId="77777777" w:rsidR="007F4BED" w:rsidRDefault="00000000">
            <w:r>
              <w:rPr>
                <w:sz w:val="20"/>
                <w:szCs w:val="20"/>
              </w:rPr>
              <w:t>CPAT incidence module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42" w14:textId="77777777" w:rsidR="007F4BED" w:rsidRDefault="00000000">
            <w:r>
              <w:rPr>
                <w:sz w:val="20"/>
                <w:szCs w:val="20"/>
              </w:rPr>
              <w:t>Low. CPAT does this well.</w:t>
            </w:r>
          </w:p>
        </w:tc>
      </w:tr>
    </w:tbl>
    <w:p w14:paraId="7E536C44" w14:textId="77777777" w:rsidR="007F4BED" w:rsidRDefault="007F4BED"/>
    <w:p w14:paraId="7E536C45" w14:textId="77777777" w:rsidR="007F4BED" w:rsidRDefault="00000000">
      <w:pPr>
        <w:pStyle w:val="Heading2"/>
      </w:pPr>
      <w:r>
        <w:t>5.1 The three serious gaps</w:t>
      </w:r>
    </w:p>
    <w:p w14:paraId="7E536C46" w14:textId="77777777" w:rsidR="007F4BED" w:rsidRDefault="00000000">
      <w:pPr>
        <w:spacing w:before="80" w:after="120" w:line="300" w:lineRule="auto"/>
        <w:jc w:val="both"/>
      </w:pPr>
      <w:r>
        <w:t>Three data gaps will dominate practical use of the diagnostic in developing-country settings.</w:t>
      </w:r>
    </w:p>
    <w:p w14:paraId="7E536C47" w14:textId="77777777" w:rsidR="007F4BED" w:rsidRDefault="00000000">
      <w:pPr>
        <w:pStyle w:val="ListParagraph"/>
        <w:numPr>
          <w:ilvl w:val="0"/>
          <w:numId w:val="2"/>
        </w:numPr>
        <w:spacing w:before="40" w:after="40" w:line="280" w:lineRule="auto"/>
        <w:jc w:val="both"/>
      </w:pPr>
      <w:r>
        <w:t>Local air pollution exposure. GBD provides country-level mortality estimates that are usable, but the spatial granularity needed to attribute mortality to transport-sector emissions specifically is missing in most LICs and many LMICs. The Climate and Health Program is investing in this, but the gap will persist. The diagnostic should report explicit ranges rather than point estimates and flag when the underlying exposure data is GBD-default rather than country-specific.</w:t>
      </w:r>
    </w:p>
    <w:p w14:paraId="7E536C48" w14:textId="77777777" w:rsidR="007F4BED" w:rsidRDefault="00000000">
      <w:pPr>
        <w:pStyle w:val="ListParagraph"/>
        <w:numPr>
          <w:ilvl w:val="0"/>
          <w:numId w:val="2"/>
        </w:numPr>
        <w:spacing w:before="40" w:after="40" w:line="280" w:lineRule="auto"/>
        <w:jc w:val="both"/>
      </w:pPr>
      <w:r>
        <w:t xml:space="preserve">Accident cost estimation. Police accident reporting is incomplete in most developing countries and systematically undercounts pedestrian and cyclist fatalities — exactly the categories most relevant for assessing the external accident cost of </w:t>
      </w:r>
      <w:proofErr w:type="spellStart"/>
      <w:r>
        <w:t>motorised</w:t>
      </w:r>
      <w:proofErr w:type="spellEnd"/>
      <w:r>
        <w:t xml:space="preserve"> travel. The WHO Global Status </w:t>
      </w:r>
      <w:r>
        <w:lastRenderedPageBreak/>
        <w:t>Report on Road Safety provides corrected estimates but at country level only. For Tier 1 work the diagnostic should triangulate police, health-ministry mortuary, and WHO-corrected estimates and report the range.</w:t>
      </w:r>
    </w:p>
    <w:p w14:paraId="7E536C49" w14:textId="77777777" w:rsidR="007F4BED" w:rsidRDefault="00000000">
      <w:pPr>
        <w:pStyle w:val="ListParagraph"/>
        <w:numPr>
          <w:ilvl w:val="0"/>
          <w:numId w:val="2"/>
        </w:numPr>
        <w:spacing w:before="40" w:after="40" w:line="280" w:lineRule="auto"/>
        <w:jc w:val="both"/>
      </w:pPr>
      <w:r>
        <w:t xml:space="preserve">Local </w:t>
      </w:r>
      <w:proofErr w:type="gramStart"/>
      <w:r>
        <w:t>fuel-price</w:t>
      </w:r>
      <w:proofErr w:type="gramEnd"/>
      <w:r>
        <w:t xml:space="preserve"> elasticities. Almost no LIC has a credible local estimate. Pooled regional or global elasticities must be used, with sensitivity analysis. The corrective fuel tax can vary by 20 to 30 per cent across plausible elasticity ranges, so this is a material uncertainty that the report must surface, not bury.</w:t>
      </w:r>
    </w:p>
    <w:p w14:paraId="7E536C4A" w14:textId="77777777" w:rsidR="007F4BED" w:rsidRDefault="00000000">
      <w:pPr>
        <w:pStyle w:val="Heading2"/>
      </w:pPr>
      <w:r>
        <w:t>5.2 What the diagnostic does not require</w:t>
      </w:r>
    </w:p>
    <w:p w14:paraId="7E536C4B" w14:textId="77777777" w:rsidR="007F4BED" w:rsidRDefault="00000000">
      <w:pPr>
        <w:spacing w:before="80" w:after="120" w:line="300" w:lineRule="auto"/>
        <w:jc w:val="both"/>
      </w:pPr>
      <w:r>
        <w:t xml:space="preserve">To keep the diagnostic tractable, several things are deliberately out of scope. New modelling capacity is not required — CPAT and Climate and Health Program outputs are inputs, not things the diagnostic re-runs. Country-specific concentration-response functions are not required — pooled functions from GBD are used. Bottom-up emissions inventories are not required — fuel-consumption-based estimates are sufficient. Detailed urban transport modelling is not required — congestion is treated as a single </w:t>
      </w:r>
      <w:proofErr w:type="gramStart"/>
      <w:r>
        <w:t>externality</w:t>
      </w:r>
      <w:proofErr w:type="gramEnd"/>
      <w:r>
        <w:t xml:space="preserve"> term per </w:t>
      </w:r>
      <w:proofErr w:type="spellStart"/>
      <w:r>
        <w:t>litre</w:t>
      </w:r>
      <w:proofErr w:type="spellEnd"/>
      <w:r>
        <w:t xml:space="preserve"> with explicit uncertainty.</w:t>
      </w:r>
    </w:p>
    <w:p w14:paraId="7E536C4C" w14:textId="77777777" w:rsidR="007F4BED" w:rsidRDefault="00000000">
      <w:pPr>
        <w:spacing w:before="80" w:after="120" w:line="300" w:lineRule="auto"/>
        <w:jc w:val="both"/>
      </w:pPr>
      <w:r>
        <w:t>The principle is to use the best existing input wherever possible and to be honest about ranges where it does not exist. The diagnostic value is in synthesis and discipline, not in new computation.</w:t>
      </w:r>
    </w:p>
    <w:p w14:paraId="7E536C4D" w14:textId="77777777" w:rsidR="007F4BED" w:rsidRDefault="00000000">
      <w:pPr>
        <w:pStyle w:val="Heading1"/>
      </w:pPr>
      <w:r>
        <w:t xml:space="preserve">6. The valuation spine: </w:t>
      </w:r>
      <w:proofErr w:type="spellStart"/>
      <w:r>
        <w:t>standardised</w:t>
      </w:r>
      <w:proofErr w:type="spellEnd"/>
      <w:r>
        <w:t xml:space="preserve"> parameters</w:t>
      </w:r>
    </w:p>
    <w:p w14:paraId="7E536C4E" w14:textId="77777777" w:rsidR="007F4BED" w:rsidRDefault="00000000">
      <w:pPr>
        <w:spacing w:before="80" w:after="120" w:line="300" w:lineRule="auto"/>
        <w:jc w:val="both"/>
      </w:pPr>
      <w:r>
        <w:t xml:space="preserve">Following the UK example, the diagnostic uses a fixed set of valuation parameters across all sections of any single country report. The parameters are not country-specific — that is precisely the point. Country-specific data enters via the externality estimates themselves (exposure, accident counts, fuel volumes), but the values applied to those quantities are drawn from a standard table. This avoids the problem of one analyst using a 2020 SCC and </w:t>
      </w:r>
      <w:proofErr w:type="gramStart"/>
      <w:r>
        <w:t>another a</w:t>
      </w:r>
      <w:proofErr w:type="gramEnd"/>
      <w:r>
        <w:t xml:space="preserve"> 2030 SCC in the same report.</w:t>
      </w:r>
    </w:p>
    <w:p w14:paraId="7E536C4F" w14:textId="77777777" w:rsidR="007F4BED" w:rsidRDefault="00000000">
      <w:pPr>
        <w:pStyle w:val="Heading2"/>
      </w:pPr>
      <w:r>
        <w:t>6.1 Recommended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F4BED" w14:paraId="7E536C53"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50" w14:textId="77777777" w:rsidR="007F4BED" w:rsidRDefault="00000000">
            <w:r>
              <w:rPr>
                <w:b/>
                <w:bCs/>
                <w:sz w:val="20"/>
                <w:szCs w:val="20"/>
              </w:rPr>
              <w:t>Parameter</w:t>
            </w:r>
          </w:p>
        </w:tc>
        <w:tc>
          <w:tcPr>
            <w:tcW w:w="3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51" w14:textId="77777777" w:rsidR="007F4BED" w:rsidRDefault="00000000">
            <w:r>
              <w:rPr>
                <w:b/>
                <w:bCs/>
                <w:sz w:val="20"/>
                <w:szCs w:val="20"/>
              </w:rPr>
              <w:t>Default value</w:t>
            </w:r>
          </w:p>
        </w:tc>
        <w:tc>
          <w:tcPr>
            <w:tcW w:w="336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52" w14:textId="77777777" w:rsidR="007F4BED" w:rsidRDefault="00000000">
            <w:r>
              <w:rPr>
                <w:b/>
                <w:bCs/>
                <w:sz w:val="20"/>
                <w:szCs w:val="20"/>
              </w:rPr>
              <w:t>Source / sensitivity range</w:t>
            </w:r>
          </w:p>
        </w:tc>
      </w:tr>
      <w:tr w:rsidR="007F4BED" w14:paraId="7E536C57"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4" w14:textId="77777777" w:rsidR="007F4BED" w:rsidRDefault="00000000">
            <w:r>
              <w:rPr>
                <w:sz w:val="20"/>
                <w:szCs w:val="20"/>
              </w:rPr>
              <w:t>Carbon shadow price</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5" w14:textId="77777777" w:rsidR="007F4BED" w:rsidRDefault="00000000">
            <w:r>
              <w:rPr>
                <w:sz w:val="20"/>
                <w:szCs w:val="20"/>
              </w:rPr>
              <w:t>USD 75/tCO2 (2026), rising 2 per cent annually</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6" w14:textId="77777777" w:rsidR="007F4BED" w:rsidRDefault="00000000">
            <w:r>
              <w:rPr>
                <w:sz w:val="20"/>
                <w:szCs w:val="20"/>
              </w:rPr>
              <w:t>WB-IMF carbon price floor for high-income countries; sensitivity USD 50-150.</w:t>
            </w:r>
          </w:p>
        </w:tc>
      </w:tr>
      <w:tr w:rsidR="007F4BED" w14:paraId="7E536C5B"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8" w14:textId="77777777" w:rsidR="007F4BED" w:rsidRDefault="00000000">
            <w:r>
              <w:rPr>
                <w:sz w:val="20"/>
                <w:szCs w:val="20"/>
              </w:rPr>
              <w:t>VSL — high-income baseline</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9" w14:textId="77777777" w:rsidR="007F4BED" w:rsidRDefault="00000000">
            <w:r>
              <w:rPr>
                <w:sz w:val="20"/>
                <w:szCs w:val="20"/>
              </w:rPr>
              <w:t>USD 4.7 million (OECD 2024)</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A" w14:textId="77777777" w:rsidR="007F4BED" w:rsidRDefault="00000000">
            <w:r>
              <w:rPr>
                <w:sz w:val="20"/>
                <w:szCs w:val="20"/>
              </w:rPr>
              <w:t>OECD Mortality Risk Valuation. Sensitivity +/- 30 per cent.</w:t>
            </w:r>
          </w:p>
        </w:tc>
      </w:tr>
      <w:tr w:rsidR="007F4BED" w14:paraId="7E536C5F"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C" w14:textId="77777777" w:rsidR="007F4BED" w:rsidRDefault="00000000">
            <w:r>
              <w:rPr>
                <w:sz w:val="20"/>
                <w:szCs w:val="20"/>
              </w:rPr>
              <w:t>VSL income elasticity for transfer</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D" w14:textId="77777777" w:rsidR="007F4BED" w:rsidRDefault="00000000">
            <w:r>
              <w:rPr>
                <w:sz w:val="20"/>
                <w:szCs w:val="20"/>
              </w:rPr>
              <w:t>1.0</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5E" w14:textId="77777777" w:rsidR="007F4BED" w:rsidRDefault="00000000">
            <w:r>
              <w:rPr>
                <w:sz w:val="20"/>
                <w:szCs w:val="20"/>
              </w:rPr>
              <w:t>OECD recommendation. Sensitivity 0.8-1.2.</w:t>
            </w:r>
          </w:p>
        </w:tc>
      </w:tr>
      <w:tr w:rsidR="007F4BED" w14:paraId="7E536C63"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0" w14:textId="77777777" w:rsidR="007F4BED" w:rsidRDefault="00000000">
            <w:r>
              <w:rPr>
                <w:sz w:val="20"/>
                <w:szCs w:val="20"/>
              </w:rPr>
              <w:t>PM2.5 damage cost</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1" w14:textId="77777777" w:rsidR="007F4BED" w:rsidRDefault="00000000">
            <w:r>
              <w:rPr>
                <w:sz w:val="20"/>
                <w:szCs w:val="20"/>
              </w:rPr>
              <w:t>Country-specific from VSL x mortality CRF</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2" w14:textId="77777777" w:rsidR="007F4BED" w:rsidRDefault="00000000">
            <w:r>
              <w:rPr>
                <w:sz w:val="20"/>
                <w:szCs w:val="20"/>
              </w:rPr>
              <w:t>Computed, not assumed. CRF from GBD or country if available.</w:t>
            </w:r>
          </w:p>
        </w:tc>
      </w:tr>
      <w:tr w:rsidR="007F4BED" w14:paraId="7E536C67"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4" w14:textId="77777777" w:rsidR="007F4BED" w:rsidRDefault="00000000">
            <w:r>
              <w:rPr>
                <w:sz w:val="20"/>
                <w:szCs w:val="20"/>
              </w:rPr>
              <w:lastRenderedPageBreak/>
              <w:t>Fuel-price elasticity</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5" w14:textId="77777777" w:rsidR="007F4BED" w:rsidRDefault="00000000">
            <w:r>
              <w:rPr>
                <w:sz w:val="20"/>
                <w:szCs w:val="20"/>
              </w:rPr>
              <w:t>-0.3 short run, -0.6 long run</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6" w14:textId="77777777" w:rsidR="007F4BED" w:rsidRDefault="00000000">
            <w:r>
              <w:rPr>
                <w:sz w:val="20"/>
                <w:szCs w:val="20"/>
              </w:rPr>
              <w:t>Pooled estimates from Sterner and others. Sensitivity -0.2 to -0.8.</w:t>
            </w:r>
          </w:p>
        </w:tc>
      </w:tr>
      <w:tr w:rsidR="007F4BED" w14:paraId="7E536C6B"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8" w14:textId="77777777" w:rsidR="007F4BED" w:rsidRDefault="00000000">
            <w:r>
              <w:rPr>
                <w:sz w:val="20"/>
                <w:szCs w:val="20"/>
              </w:rPr>
              <w:t>Mileage share of fuel-price response</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9" w14:textId="77777777" w:rsidR="007F4BED" w:rsidRDefault="00000000">
            <w:r>
              <w:rPr>
                <w:sz w:val="20"/>
                <w:szCs w:val="20"/>
              </w:rPr>
              <w:t>0.5</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A" w14:textId="77777777" w:rsidR="007F4BED" w:rsidRDefault="00000000">
            <w:r>
              <w:rPr>
                <w:sz w:val="20"/>
                <w:szCs w:val="20"/>
              </w:rPr>
              <w:t xml:space="preserve">IMF GEPR </w:t>
            </w:r>
            <w:proofErr w:type="gramStart"/>
            <w:r>
              <w:rPr>
                <w:sz w:val="20"/>
                <w:szCs w:val="20"/>
              </w:rPr>
              <w:t>default</w:t>
            </w:r>
            <w:proofErr w:type="gramEnd"/>
            <w:r>
              <w:rPr>
                <w:sz w:val="20"/>
                <w:szCs w:val="20"/>
              </w:rPr>
              <w:t>. Sensitivity 0.35-0.65.</w:t>
            </w:r>
          </w:p>
        </w:tc>
      </w:tr>
      <w:tr w:rsidR="007F4BED" w14:paraId="7E536C6F"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C" w14:textId="77777777" w:rsidR="007F4BED" w:rsidRDefault="00000000">
            <w:r>
              <w:rPr>
                <w:sz w:val="20"/>
                <w:szCs w:val="20"/>
              </w:rPr>
              <w:t>Discount rate</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D" w14:textId="77777777" w:rsidR="007F4BED" w:rsidRDefault="00000000">
            <w:r>
              <w:rPr>
                <w:sz w:val="20"/>
                <w:szCs w:val="20"/>
              </w:rPr>
              <w:t>Country social discount rate where published, otherwise 5 per cent</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6E" w14:textId="77777777" w:rsidR="007F4BED" w:rsidRDefault="00000000">
            <w:r>
              <w:rPr>
                <w:sz w:val="20"/>
                <w:szCs w:val="20"/>
              </w:rPr>
              <w:t>Sensitivity 3-7 per cent.</w:t>
            </w:r>
          </w:p>
        </w:tc>
      </w:tr>
    </w:tbl>
    <w:p w14:paraId="7E536C70" w14:textId="77777777" w:rsidR="007F4BED" w:rsidRDefault="007F4BED"/>
    <w:p w14:paraId="7E536C71" w14:textId="77777777" w:rsidR="007F4BED" w:rsidRDefault="00000000">
      <w:pPr>
        <w:spacing w:before="80" w:after="120" w:line="300" w:lineRule="auto"/>
        <w:jc w:val="both"/>
      </w:pPr>
      <w:r>
        <w:t>These defaults are placeholders for discussion. The substantive point is that they should be set once for the FVTD product, applied across all country reports, and updated annually. Country teams can deviate with explicit justification, but the default applies otherwise.</w:t>
      </w:r>
    </w:p>
    <w:p w14:paraId="7E536C72" w14:textId="77777777" w:rsidR="007F4BED" w:rsidRDefault="00000000">
      <w:pPr>
        <w:pStyle w:val="Heading1"/>
      </w:pPr>
      <w:r>
        <w:t>7. Worked example: a draft Tier 2 report</w:t>
      </w:r>
    </w:p>
    <w:p w14:paraId="7E536C73" w14:textId="77777777" w:rsidR="007F4BED" w:rsidRDefault="00000000">
      <w:pPr>
        <w:spacing w:before="80" w:after="120" w:line="300" w:lineRule="auto"/>
        <w:jc w:val="both"/>
      </w:pPr>
      <w:r>
        <w:t xml:space="preserve">The annex below illustrates what a complete Tier 2 report would look like, using a </w:t>
      </w:r>
      <w:proofErr w:type="spellStart"/>
      <w:r>
        <w:t>stylised</w:t>
      </w:r>
      <w:proofErr w:type="spellEnd"/>
      <w:r>
        <w:t xml:space="preserve"> East African LIC for concreteness. The country is </w:t>
      </w:r>
      <w:proofErr w:type="gramStart"/>
      <w:r>
        <w:t>fictitious</w:t>
      </w:r>
      <w:proofErr w:type="gramEnd"/>
      <w:r>
        <w:t xml:space="preserve"> but the parameters are realistic. The example is meant to show the shape and length of the deliverable rather than to make claims about any actual country. A real report would substitute country-specific data and reference its sources explicitly.</w:t>
      </w:r>
    </w:p>
    <w:p w14:paraId="7E536C74" w14:textId="77777777" w:rsidR="007F4BED" w:rsidRDefault="00000000">
      <w:pPr>
        <w:spacing w:before="80" w:after="120" w:line="300" w:lineRule="auto"/>
        <w:jc w:val="both"/>
      </w:pPr>
      <w:r>
        <w:t>The example fills approximately twenty pages in finished form. Tier 1 reports would run thirty to forty pages. Both tiers use the same seven-section structure, the same valuation defaults, and the same report template.</w:t>
      </w:r>
    </w:p>
    <w:p w14:paraId="7E536C75" w14:textId="77777777" w:rsidR="007F4BED" w:rsidRDefault="00000000">
      <w:pPr>
        <w:pStyle w:val="Heading1"/>
      </w:pPr>
      <w:r>
        <w:t>8. Implementation</w:t>
      </w:r>
    </w:p>
    <w:p w14:paraId="7E536C76" w14:textId="77777777" w:rsidR="007F4BED" w:rsidRDefault="00000000">
      <w:pPr>
        <w:spacing w:before="80" w:after="120" w:line="300" w:lineRule="auto"/>
        <w:jc w:val="both"/>
      </w:pPr>
      <w:r>
        <w:t>Three practical steps would move the FVTD from concept to product.</w:t>
      </w:r>
    </w:p>
    <w:p w14:paraId="7E536C77" w14:textId="77777777" w:rsidR="007F4BED" w:rsidRDefault="00000000">
      <w:pPr>
        <w:pStyle w:val="ListParagraph"/>
        <w:numPr>
          <w:ilvl w:val="0"/>
          <w:numId w:val="2"/>
        </w:numPr>
        <w:spacing w:before="40" w:after="40" w:line="280" w:lineRule="auto"/>
        <w:jc w:val="both"/>
      </w:pPr>
      <w:r>
        <w:t xml:space="preserve">Methodology </w:t>
      </w:r>
      <w:proofErr w:type="gramStart"/>
      <w:r>
        <w:t>note</w:t>
      </w:r>
      <w:proofErr w:type="gramEnd"/>
      <w:r>
        <w:t xml:space="preserve">. A short technical note (perhaps thirty pages) </w:t>
      </w:r>
      <w:proofErr w:type="spellStart"/>
      <w:r>
        <w:t>formalising</w:t>
      </w:r>
      <w:proofErr w:type="spellEnd"/>
      <w:r>
        <w:t xml:space="preserve"> the seven-section spine, fixing the default parameters, and providing the value-transfer formulas. The note should be drafted with input from the relevant CPAT, Climate and Health Program, and Macroeconomics Trade and Investment teams to ensure operational alignment.</w:t>
      </w:r>
    </w:p>
    <w:p w14:paraId="7E536C78" w14:textId="77777777" w:rsidR="007F4BED" w:rsidRDefault="00000000">
      <w:pPr>
        <w:pStyle w:val="ListParagraph"/>
        <w:numPr>
          <w:ilvl w:val="0"/>
          <w:numId w:val="2"/>
        </w:numPr>
        <w:spacing w:before="40" w:after="40" w:line="280" w:lineRule="auto"/>
        <w:jc w:val="both"/>
      </w:pPr>
      <w:r>
        <w:t>Template. A fixed Word template, populated from a common parameter spreadsheet. The spreadsheet contains the country-specific inputs. The template renders them into the report. This is what makes the diagnostic feasible at scale: a country team should be able to produce a draft report in two to three weeks using existing inputs, not three months.</w:t>
      </w:r>
    </w:p>
    <w:p w14:paraId="7E536C79" w14:textId="77777777" w:rsidR="007F4BED" w:rsidRDefault="00000000">
      <w:pPr>
        <w:pStyle w:val="ListParagraph"/>
        <w:numPr>
          <w:ilvl w:val="0"/>
          <w:numId w:val="2"/>
        </w:numPr>
        <w:spacing w:before="40" w:after="40" w:line="280" w:lineRule="auto"/>
        <w:jc w:val="both"/>
      </w:pPr>
      <w:r>
        <w:t>Pilots. One Tier 1 (Colombia or Chile, both with strong analytical infrastructure) and one Tier 2 (Uganda fits the World Bank existing engagement). Pilots stress-test the data needs, the value-transfer assumptions, and the political reception of the comparator section.</w:t>
      </w:r>
    </w:p>
    <w:p w14:paraId="7E536C7A" w14:textId="77777777" w:rsidR="007F4BED" w:rsidRDefault="00000000">
      <w:pPr>
        <w:spacing w:before="80" w:after="120" w:line="300" w:lineRule="auto"/>
        <w:jc w:val="both"/>
      </w:pPr>
      <w:r>
        <w:lastRenderedPageBreak/>
        <w:t>The diagnostic does not require new institutional architecture. It sits between existing products as a synthesis layer. The cost of the first version is principally drafting the methodology note and template; the marginal cost per country thereafter is modest.</w:t>
      </w:r>
    </w:p>
    <w:p w14:paraId="7E536C7B" w14:textId="77777777" w:rsidR="007F4BED" w:rsidRDefault="00000000">
      <w:pPr>
        <w:pStyle w:val="Heading1"/>
      </w:pPr>
      <w:r>
        <w:t>References</w:t>
      </w:r>
    </w:p>
    <w:p w14:paraId="7E536C7C" w14:textId="77777777" w:rsidR="007F4BED" w:rsidRDefault="00000000">
      <w:pPr>
        <w:spacing w:before="80" w:after="120" w:line="300" w:lineRule="auto"/>
        <w:jc w:val="both"/>
      </w:pPr>
      <w:r>
        <w:t>Adam C., Bachas P., Phillips D. and others. Green motor taxation: issues and policy options in sub-Saharan Africa. Institute for Fiscal Studies, 2024.</w:t>
      </w:r>
    </w:p>
    <w:p w14:paraId="7E536C7D" w14:textId="77777777" w:rsidR="007F4BED" w:rsidRDefault="00000000">
      <w:pPr>
        <w:spacing w:before="80" w:after="120" w:line="300" w:lineRule="auto"/>
        <w:jc w:val="both"/>
      </w:pPr>
      <w:r>
        <w:t>Anton-Sarabia A. and Hernandez-Trillo F. Optimal gasoline tax in developing, oil-producing countries: the case of Mexico. Energy Policy, 2014.</w:t>
      </w:r>
    </w:p>
    <w:p w14:paraId="7E536C7E" w14:textId="77777777" w:rsidR="007F4BED" w:rsidRDefault="00000000">
      <w:pPr>
        <w:spacing w:before="80" w:after="120" w:line="300" w:lineRule="auto"/>
        <w:jc w:val="both"/>
      </w:pPr>
      <w:proofErr w:type="spellStart"/>
      <w:r>
        <w:t>Bijgaart</w:t>
      </w:r>
      <w:proofErr w:type="spellEnd"/>
      <w:r>
        <w:t xml:space="preserve"> I., </w:t>
      </w:r>
      <w:proofErr w:type="spellStart"/>
      <w:r>
        <w:t>Klenert</w:t>
      </w:r>
      <w:proofErr w:type="spellEnd"/>
      <w:r>
        <w:t xml:space="preserve"> D., </w:t>
      </w:r>
      <w:proofErr w:type="spellStart"/>
      <w:r>
        <w:t>Mattauch</w:t>
      </w:r>
      <w:proofErr w:type="spellEnd"/>
      <w:r>
        <w:t xml:space="preserve"> L. and </w:t>
      </w:r>
      <w:proofErr w:type="spellStart"/>
      <w:r>
        <w:t>Sulikova</w:t>
      </w:r>
      <w:proofErr w:type="spellEnd"/>
      <w:r>
        <w:t xml:space="preserve"> S. Healthy climate, healthy bodies: optimal fuel taxation and physical activity. Economica, 2024.</w:t>
      </w:r>
    </w:p>
    <w:p w14:paraId="7E536C7F" w14:textId="77777777" w:rsidR="007F4BED" w:rsidRDefault="00000000">
      <w:pPr>
        <w:spacing w:before="80" w:after="120" w:line="300" w:lineRule="auto"/>
        <w:jc w:val="both"/>
      </w:pPr>
      <w:r>
        <w:t>Black S., Parry I., Mylonas V., Vernon N. and Zhunussova K. The IMF-World Bank Carbon Pricing Assessment Tool: a model to help countries mitigate climate change. IMF Working Paper, 2023.</w:t>
      </w:r>
    </w:p>
    <w:p w14:paraId="7E536C80" w14:textId="77777777" w:rsidR="007F4BED" w:rsidRDefault="00000000">
      <w:pPr>
        <w:spacing w:before="80" w:after="120" w:line="300" w:lineRule="auto"/>
        <w:jc w:val="both"/>
      </w:pPr>
      <w:r>
        <w:t>CE Delft. Handbook on the External Costs of Transport, version 2019. European Commission DG MOVE, 2019.</w:t>
      </w:r>
    </w:p>
    <w:p w14:paraId="7E536C81" w14:textId="77777777" w:rsidR="007F4BED" w:rsidRDefault="00000000">
      <w:pPr>
        <w:spacing w:before="80" w:after="120" w:line="300" w:lineRule="auto"/>
        <w:jc w:val="both"/>
      </w:pPr>
      <w:r>
        <w:t xml:space="preserve">De Rus G. Methodology for the cost-benefit analysis of transport projects and policies. </w:t>
      </w:r>
      <w:proofErr w:type="spellStart"/>
      <w:r>
        <w:t>Documento</w:t>
      </w:r>
      <w:proofErr w:type="spellEnd"/>
      <w:r>
        <w:t xml:space="preserve"> de </w:t>
      </w:r>
      <w:proofErr w:type="spellStart"/>
      <w:r>
        <w:t>Trabajo</w:t>
      </w:r>
      <w:proofErr w:type="spellEnd"/>
      <w:r>
        <w:t>, 2020.</w:t>
      </w:r>
    </w:p>
    <w:p w14:paraId="7E536C82" w14:textId="77777777" w:rsidR="007F4BED" w:rsidRDefault="00000000">
      <w:pPr>
        <w:spacing w:before="80" w:after="120" w:line="300" w:lineRule="auto"/>
        <w:jc w:val="both"/>
      </w:pPr>
      <w:r>
        <w:t>Heine D. and others. Deriving optimal taxes for gasoline, diesel and ethanol for Brazil. Environment and Development Economics, 2025.</w:t>
      </w:r>
    </w:p>
    <w:p w14:paraId="7E536C83" w14:textId="77777777" w:rsidR="007F4BED" w:rsidRDefault="00000000">
      <w:pPr>
        <w:spacing w:before="80" w:after="120" w:line="300" w:lineRule="auto"/>
        <w:jc w:val="both"/>
      </w:pPr>
      <w:r>
        <w:t>HM Treasury. The Green Book: central government guidance on appraisal and evaluation. London, latest edition.</w:t>
      </w:r>
    </w:p>
    <w:p w14:paraId="7E536C84" w14:textId="77777777" w:rsidR="007F4BED" w:rsidRDefault="00000000">
      <w:pPr>
        <w:spacing w:before="80" w:after="120" w:line="300" w:lineRule="auto"/>
        <w:jc w:val="both"/>
      </w:pPr>
      <w:r>
        <w:t xml:space="preserve">Kopits E. and Cropper M. Why have traffic fatalities declined in </w:t>
      </w:r>
      <w:proofErr w:type="spellStart"/>
      <w:r>
        <w:t>industrialised</w:t>
      </w:r>
      <w:proofErr w:type="spellEnd"/>
      <w:r>
        <w:t xml:space="preserve"> countries? Implications for pedestrians and vehicle occupants. Journal of Transport Economics and Policy, 2008.</w:t>
      </w:r>
    </w:p>
    <w:p w14:paraId="7E536C85" w14:textId="77777777" w:rsidR="007F4BED" w:rsidRDefault="00000000">
      <w:pPr>
        <w:spacing w:before="80" w:after="120" w:line="300" w:lineRule="auto"/>
        <w:jc w:val="both"/>
      </w:pPr>
      <w:r>
        <w:t>OECD. Mortality risk valuation in environment, health and transport policies. Paris, 2012; updated values in subsequent OECD work.</w:t>
      </w:r>
    </w:p>
    <w:p w14:paraId="7E536C86" w14:textId="77777777" w:rsidR="007F4BED" w:rsidRDefault="00000000">
      <w:pPr>
        <w:spacing w:before="80" w:after="120" w:line="300" w:lineRule="auto"/>
        <w:jc w:val="both"/>
      </w:pPr>
      <w:r>
        <w:t>Parry I., Heine D., Li S. and Lis E. Getting energy prices right: from principle to practice. International Monetary Fund, 2014.</w:t>
      </w:r>
    </w:p>
    <w:p w14:paraId="7E536C87" w14:textId="77777777" w:rsidR="007F4BED" w:rsidRDefault="00000000">
      <w:pPr>
        <w:spacing w:before="80" w:after="120" w:line="300" w:lineRule="auto"/>
        <w:jc w:val="both"/>
      </w:pPr>
      <w:r>
        <w:t>Parry I. and Small K. Does Britain or the United States have the right gasoline tax? American Economic Review, 2005.</w:t>
      </w:r>
    </w:p>
    <w:p w14:paraId="7E536C88" w14:textId="77777777" w:rsidR="007F4BED" w:rsidRDefault="00000000">
      <w:pPr>
        <w:spacing w:before="80" w:after="120" w:line="300" w:lineRule="auto"/>
        <w:jc w:val="both"/>
      </w:pPr>
      <w:r>
        <w:t>Parry I. and Strand J. International fuel tax assessment: an application to Chile. Environment and Development Economics, 2012.</w:t>
      </w:r>
    </w:p>
    <w:p w14:paraId="7E536C89" w14:textId="77777777" w:rsidR="007F4BED" w:rsidRDefault="00000000">
      <w:pPr>
        <w:spacing w:before="80" w:after="120" w:line="300" w:lineRule="auto"/>
        <w:jc w:val="both"/>
      </w:pPr>
      <w:r>
        <w:t>Sterner T. Fuel taxes and the poor: the distributional effects of gasoline taxation and their implications for climate policy. RFF Press, 2012.</w:t>
      </w:r>
    </w:p>
    <w:p w14:paraId="7E536C8A" w14:textId="77777777" w:rsidR="007F4BED" w:rsidRDefault="00000000">
      <w:pPr>
        <w:spacing w:before="80" w:after="120" w:line="300" w:lineRule="auto"/>
        <w:jc w:val="both"/>
      </w:pPr>
      <w:r>
        <w:lastRenderedPageBreak/>
        <w:t>World Bank. Climate Policy Assessment Tool documentation, 2024.</w:t>
      </w:r>
    </w:p>
    <w:p w14:paraId="7E536C8B" w14:textId="77777777" w:rsidR="007F4BED" w:rsidRDefault="00000000">
      <w:pPr>
        <w:spacing w:before="80" w:after="120" w:line="300" w:lineRule="auto"/>
        <w:jc w:val="both"/>
      </w:pPr>
      <w:r>
        <w:t>World Bank. Climate and Health Program: roadmap for climate-health finance and action, 2023.</w:t>
      </w:r>
    </w:p>
    <w:p w14:paraId="7E536C8C" w14:textId="77777777" w:rsidR="007F4BED" w:rsidRDefault="00000000">
      <w:pPr>
        <w:spacing w:before="80" w:after="120" w:line="300" w:lineRule="auto"/>
        <w:jc w:val="both"/>
      </w:pPr>
      <w:r>
        <w:t>World Bank. Vehicle and fuel taxation for transport demand management. Policy Research Working Paper 10647, 2023.</w:t>
      </w:r>
    </w:p>
    <w:p w14:paraId="7E536C8D" w14:textId="77777777" w:rsidR="007F4BED" w:rsidRDefault="00000000">
      <w:pPr>
        <w:spacing w:before="80" w:after="120" w:line="300" w:lineRule="auto"/>
        <w:jc w:val="both"/>
      </w:pPr>
      <w:r>
        <w:t>World Health Organization. Global status report on road safety. Geneva, latest edition.</w:t>
      </w:r>
    </w:p>
    <w:p w14:paraId="7E536C8E" w14:textId="77777777" w:rsidR="007F4BED" w:rsidRDefault="00000000">
      <w:r>
        <w:br w:type="page"/>
      </w:r>
    </w:p>
    <w:p w14:paraId="7E536C8F" w14:textId="77777777" w:rsidR="007F4BED" w:rsidRDefault="00000000">
      <w:pPr>
        <w:spacing w:after="80"/>
      </w:pPr>
      <w:r>
        <w:rPr>
          <w:i/>
          <w:iCs/>
          <w:color w:val="595959"/>
        </w:rPr>
        <w:lastRenderedPageBreak/>
        <w:t>Annex</w:t>
      </w:r>
    </w:p>
    <w:p w14:paraId="7E536C90" w14:textId="77777777" w:rsidR="007F4BED" w:rsidRDefault="00000000">
      <w:pPr>
        <w:spacing w:after="360"/>
      </w:pPr>
      <w:r>
        <w:rPr>
          <w:b/>
          <w:bCs/>
          <w:sz w:val="32"/>
          <w:szCs w:val="32"/>
        </w:rPr>
        <w:t>Draft worked example: Fuel and Vehicle Tax Diagnostic, country X (Tier 2)</w:t>
      </w:r>
    </w:p>
    <w:p w14:paraId="7E536C91" w14:textId="77777777" w:rsidR="007F4BED" w:rsidRDefault="00000000">
      <w:pPr>
        <w:spacing w:after="360"/>
      </w:pPr>
      <w:r>
        <w:rPr>
          <w:i/>
          <w:iCs/>
          <w:color w:val="808080"/>
          <w:sz w:val="20"/>
          <w:szCs w:val="20"/>
        </w:rPr>
        <w:t xml:space="preserve">Country X is a </w:t>
      </w:r>
      <w:proofErr w:type="spellStart"/>
      <w:r>
        <w:rPr>
          <w:i/>
          <w:iCs/>
          <w:color w:val="808080"/>
          <w:sz w:val="20"/>
          <w:szCs w:val="20"/>
        </w:rPr>
        <w:t>stylised</w:t>
      </w:r>
      <w:proofErr w:type="spellEnd"/>
      <w:r>
        <w:rPr>
          <w:i/>
          <w:iCs/>
          <w:color w:val="808080"/>
          <w:sz w:val="20"/>
          <w:szCs w:val="20"/>
        </w:rPr>
        <w:t xml:space="preserve"> East African LIC. Parameters are realistic; the country is fictitious.</w:t>
      </w:r>
    </w:p>
    <w:p w14:paraId="7E536C92" w14:textId="77777777" w:rsidR="007F4BED" w:rsidRDefault="00000000">
      <w:pPr>
        <w:pStyle w:val="Heading1"/>
      </w:pPr>
      <w:r>
        <w:t>Section 1. Tax baseline and revenue</w:t>
      </w:r>
    </w:p>
    <w:p w14:paraId="7E536C93" w14:textId="77777777" w:rsidR="007F4BED" w:rsidRDefault="00000000">
      <w:pPr>
        <w:spacing w:before="80" w:after="120" w:line="300" w:lineRule="auto"/>
        <w:jc w:val="both"/>
      </w:pPr>
      <w:r>
        <w:t xml:space="preserve">Country X </w:t>
      </w:r>
      <w:proofErr w:type="gramStart"/>
      <w:r>
        <w:t>levies</w:t>
      </w:r>
      <w:proofErr w:type="gramEnd"/>
      <w:r>
        <w:t xml:space="preserve"> a specific excise of USD 0.18 per </w:t>
      </w:r>
      <w:proofErr w:type="spellStart"/>
      <w:r>
        <w:t>litre</w:t>
      </w:r>
      <w:proofErr w:type="spellEnd"/>
      <w:r>
        <w:t xml:space="preserve"> on gasoline and USD 0.10 per </w:t>
      </w:r>
      <w:proofErr w:type="spellStart"/>
      <w:r>
        <w:t>litre</w:t>
      </w:r>
      <w:proofErr w:type="spellEnd"/>
      <w:r>
        <w:t xml:space="preserve"> on diesel, plus a road-maintenance levy of USD 0.05 per </w:t>
      </w:r>
      <w:proofErr w:type="spellStart"/>
      <w:r>
        <w:t>litre</w:t>
      </w:r>
      <w:proofErr w:type="spellEnd"/>
      <w:r>
        <w:t xml:space="preserve"> on both fuels and a value-added tax of 18 per cent applied to the post-excise price. Kerosene is untaxed and partially </w:t>
      </w:r>
      <w:proofErr w:type="spellStart"/>
      <w:r>
        <w:t>subsidised</w:t>
      </w:r>
      <w:proofErr w:type="spellEnd"/>
      <w:r>
        <w:t xml:space="preserve"> through wholesale-price intervention. Liquefied petroleum gas is zero-rated for VAT. Vehicle taxes consist of import duty (25 per cent for new passenger vehicles, 35 per cent for vehicles older than eight years), an annual circulation fee of USD 30 to USD 200 by engine size, and a one-time first-registration fee.</w:t>
      </w:r>
    </w:p>
    <w:p w14:paraId="7E536C94" w14:textId="77777777" w:rsidR="007F4BED" w:rsidRDefault="00000000">
      <w:pPr>
        <w:spacing w:before="80" w:after="120" w:line="300" w:lineRule="auto"/>
        <w:jc w:val="both"/>
      </w:pPr>
      <w:r>
        <w:t>Total fuel-related tax revenue was approximately USD 320 million in 2024, equivalent to 1.4 per cent of GDP and 7 per cent of total tax revenue. Vehicle-related taxes raised an additional USD 95 million.</w:t>
      </w:r>
    </w:p>
    <w:p w14:paraId="7E536C95" w14:textId="77777777" w:rsidR="007F4BED" w:rsidRDefault="00000000">
      <w:pPr>
        <w:spacing w:before="80" w:after="120" w:line="300" w:lineRule="auto"/>
        <w:jc w:val="both"/>
      </w:pPr>
      <w:r>
        <w:t xml:space="preserve">Implicit subsidies, computed using the IMF post-tax methodology and a USD 75 per tonne carbon price, amount to USD 410 million annually — that is, the undercharging of external costs exceeds direct fuel-tax revenue. The largest </w:t>
      </w:r>
      <w:proofErr w:type="gramStart"/>
      <w:r>
        <w:t>implicit-subsidy</w:t>
      </w:r>
      <w:proofErr w:type="gramEnd"/>
      <w:r>
        <w:t xml:space="preserve"> components are local air pollution (43 per cent of the total) and accidents (31 per cent).</w:t>
      </w:r>
    </w:p>
    <w:p w14:paraId="7E536C96" w14:textId="77777777" w:rsidR="007F4BED" w:rsidRDefault="00000000">
      <w:pPr>
        <w:pStyle w:val="Heading1"/>
      </w:pPr>
      <w:r>
        <w:t>Section 2. Externality estimates</w:t>
      </w:r>
    </w:p>
    <w:p w14:paraId="7E536C97" w14:textId="77777777" w:rsidR="007F4BED" w:rsidRDefault="00000000">
      <w:pPr>
        <w:pStyle w:val="Heading2"/>
      </w:pPr>
      <w:r>
        <w:t>Carbon</w:t>
      </w:r>
    </w:p>
    <w:p w14:paraId="7E536C98" w14:textId="77777777" w:rsidR="007F4BED" w:rsidRDefault="00000000">
      <w:pPr>
        <w:spacing w:before="80" w:after="120" w:line="300" w:lineRule="auto"/>
        <w:jc w:val="both"/>
      </w:pPr>
      <w:r>
        <w:t xml:space="preserve">Gasoline combustion emits approximately 2.3 kgCO2 per </w:t>
      </w:r>
      <w:proofErr w:type="spellStart"/>
      <w:r>
        <w:t>litre</w:t>
      </w:r>
      <w:proofErr w:type="spellEnd"/>
      <w:r>
        <w:t xml:space="preserve">; diesel emits 2.7 kgCO2 per </w:t>
      </w:r>
      <w:proofErr w:type="spellStart"/>
      <w:r>
        <w:t>litre</w:t>
      </w:r>
      <w:proofErr w:type="spellEnd"/>
      <w:r>
        <w:t xml:space="preserve">. At </w:t>
      </w:r>
      <w:proofErr w:type="gramStart"/>
      <w:r>
        <w:t>a USD</w:t>
      </w:r>
      <w:proofErr w:type="gramEnd"/>
      <w:r>
        <w:t xml:space="preserve"> 75 per tonne carbon shadow price, the carbon externality is USD 0.17 per </w:t>
      </w:r>
      <w:proofErr w:type="spellStart"/>
      <w:r>
        <w:t>litre</w:t>
      </w:r>
      <w:proofErr w:type="spellEnd"/>
      <w:r>
        <w:t xml:space="preserve"> of gasoline and USD 0.20 per </w:t>
      </w:r>
      <w:proofErr w:type="spellStart"/>
      <w:r>
        <w:t>litre</w:t>
      </w:r>
      <w:proofErr w:type="spellEnd"/>
      <w:r>
        <w:t xml:space="preserve"> of diesel. Sensitivity range across USD 50 to USD 150 per tonne is USD 0.12 to USD 0.35 per </w:t>
      </w:r>
      <w:proofErr w:type="spellStart"/>
      <w:r>
        <w:t>litre</w:t>
      </w:r>
      <w:proofErr w:type="spellEnd"/>
      <w:r>
        <w:t>.</w:t>
      </w:r>
    </w:p>
    <w:p w14:paraId="7E536C99" w14:textId="77777777" w:rsidR="007F4BED" w:rsidRDefault="00000000">
      <w:pPr>
        <w:pStyle w:val="Heading2"/>
      </w:pPr>
      <w:r>
        <w:t>Local air pollution</w:t>
      </w:r>
    </w:p>
    <w:p w14:paraId="7E536C9A" w14:textId="77777777" w:rsidR="007F4BED" w:rsidRDefault="00000000">
      <w:pPr>
        <w:spacing w:before="80" w:after="120" w:line="300" w:lineRule="auto"/>
        <w:jc w:val="both"/>
      </w:pPr>
      <w:r>
        <w:t>Climate and Health Program estimates attribute approximately 8,400 premature deaths annually to ambient PM2.5 in Country X, of which transport sources contribute an estimated 28 per cent. At an income-transferred VSL of USD 0.45 million (computed from the OECD baseline of USD 4.7 million and Country X GNI per capita using a transfer elasticity of 1.0), the transport-attributable PM2.5 mortality cost is approximately USD 1,060 million annually.</w:t>
      </w:r>
    </w:p>
    <w:p w14:paraId="7E536C9B" w14:textId="77777777" w:rsidR="007F4BED" w:rsidRDefault="00000000">
      <w:pPr>
        <w:spacing w:before="80" w:after="120" w:line="300" w:lineRule="auto"/>
        <w:jc w:val="both"/>
      </w:pPr>
      <w:r>
        <w:t xml:space="preserve">Allocated across diesel and gasoline consumption by emission factor and fuel volume, this implies USD 0.42 per </w:t>
      </w:r>
      <w:proofErr w:type="spellStart"/>
      <w:r>
        <w:t>litre</w:t>
      </w:r>
      <w:proofErr w:type="spellEnd"/>
      <w:r>
        <w:t xml:space="preserve"> of diesel and USD 0.09 per </w:t>
      </w:r>
      <w:proofErr w:type="spellStart"/>
      <w:r>
        <w:t>litre</w:t>
      </w:r>
      <w:proofErr w:type="spellEnd"/>
      <w:r>
        <w:t xml:space="preserve"> of gasoline. The diesel figure is large because diesel emits </w:t>
      </w:r>
      <w:r>
        <w:lastRenderedPageBreak/>
        <w:t xml:space="preserve">substantially </w:t>
      </w:r>
      <w:proofErr w:type="gramStart"/>
      <w:r>
        <w:t>more PM2</w:t>
      </w:r>
      <w:proofErr w:type="gramEnd"/>
      <w:r>
        <w:t xml:space="preserve">.5 per </w:t>
      </w:r>
      <w:proofErr w:type="spellStart"/>
      <w:r>
        <w:t>litre</w:t>
      </w:r>
      <w:proofErr w:type="spellEnd"/>
      <w:r>
        <w:t xml:space="preserve"> than gasoline and is concentrated in urban areas. Sensitivity range, accounting for VSL and CRF uncertainty, is USD 0.25 to USD 0.65 per </w:t>
      </w:r>
      <w:proofErr w:type="spellStart"/>
      <w:r>
        <w:t>litre</w:t>
      </w:r>
      <w:proofErr w:type="spellEnd"/>
      <w:r>
        <w:t xml:space="preserve"> of diesel.</w:t>
      </w:r>
    </w:p>
    <w:p w14:paraId="7E536C9C" w14:textId="77777777" w:rsidR="007F4BED" w:rsidRDefault="00000000">
      <w:pPr>
        <w:pStyle w:val="Heading2"/>
      </w:pPr>
      <w:r>
        <w:t>Accidents</w:t>
      </w:r>
    </w:p>
    <w:p w14:paraId="7E536C9D" w14:textId="77777777" w:rsidR="007F4BED" w:rsidRDefault="00000000">
      <w:pPr>
        <w:spacing w:before="80" w:after="120" w:line="300" w:lineRule="auto"/>
        <w:jc w:val="both"/>
      </w:pPr>
      <w:r>
        <w:t>WHO Global Status Report estimates road-traffic mortality in Country X at 27 deaths per 100,000 population, with pedestrians accounting for 47 per cent of fatalities. Annual road deaths are approximately 14,000. Total external accident cost — applying VSL and a morbidity multiplier of 1.5 — is approximately USD 9.5 billion.</w:t>
      </w:r>
    </w:p>
    <w:p w14:paraId="7E536C9E" w14:textId="77777777" w:rsidR="007F4BED" w:rsidRDefault="00000000">
      <w:pPr>
        <w:spacing w:before="80" w:after="120" w:line="300" w:lineRule="auto"/>
        <w:jc w:val="both"/>
      </w:pPr>
      <w:r>
        <w:t>Allocated to per-</w:t>
      </w:r>
      <w:proofErr w:type="spellStart"/>
      <w:r>
        <w:t>litre</w:t>
      </w:r>
      <w:proofErr w:type="spellEnd"/>
      <w:r>
        <w:t xml:space="preserve"> fuel cost using the standard methodology, the accident externality is approximately USD 0.28 per </w:t>
      </w:r>
      <w:proofErr w:type="spellStart"/>
      <w:r>
        <w:t>litre</w:t>
      </w:r>
      <w:proofErr w:type="spellEnd"/>
      <w:r>
        <w:t xml:space="preserve"> of gasoline and USD 0.31 per </w:t>
      </w:r>
      <w:proofErr w:type="spellStart"/>
      <w:r>
        <w:t>litre</w:t>
      </w:r>
      <w:proofErr w:type="spellEnd"/>
      <w:r>
        <w:t xml:space="preserve"> of diesel. The high pedestrian-fatality share, characteristic of LICs, makes accident externalities a larger component of the total than in OECD applications. Sensitivity range is USD 0.18 to USD 0.45 per </w:t>
      </w:r>
      <w:proofErr w:type="spellStart"/>
      <w:r>
        <w:t>litre</w:t>
      </w:r>
      <w:proofErr w:type="spellEnd"/>
      <w:r>
        <w:t>.</w:t>
      </w:r>
    </w:p>
    <w:p w14:paraId="7E536C9F" w14:textId="77777777" w:rsidR="007F4BED" w:rsidRDefault="00000000">
      <w:pPr>
        <w:pStyle w:val="Heading2"/>
      </w:pPr>
      <w:r>
        <w:t>Congestion</w:t>
      </w:r>
    </w:p>
    <w:p w14:paraId="7E536CA0" w14:textId="77777777" w:rsidR="007F4BED" w:rsidRDefault="00000000">
      <w:pPr>
        <w:spacing w:before="80" w:after="120" w:line="300" w:lineRule="auto"/>
        <w:jc w:val="both"/>
      </w:pPr>
      <w:r>
        <w:t xml:space="preserve">Estimated for the primary city only. Comparator-based extrapolation from Nairobi and Addis Ababa suggests an average congestion externality of USD 0.08 per </w:t>
      </w:r>
      <w:proofErr w:type="spellStart"/>
      <w:r>
        <w:t>litre</w:t>
      </w:r>
      <w:proofErr w:type="spellEnd"/>
      <w:r>
        <w:t xml:space="preserve"> of fuel consumed in the capital, weighted by the capital share of national fuel consumption (approximately 35 per cent). The national-average congestion externality is therefore USD 0.03 per </w:t>
      </w:r>
      <w:proofErr w:type="spellStart"/>
      <w:r>
        <w:t>litre</w:t>
      </w:r>
      <w:proofErr w:type="spellEnd"/>
      <w:r>
        <w:t xml:space="preserve">. This is a </w:t>
      </w:r>
      <w:proofErr w:type="gramStart"/>
      <w:r>
        <w:t>low-confidence</w:t>
      </w:r>
      <w:proofErr w:type="gramEnd"/>
      <w:r>
        <w:t xml:space="preserve"> estimate and should be reported as such.</w:t>
      </w:r>
    </w:p>
    <w:p w14:paraId="7E536CA1" w14:textId="77777777" w:rsidR="007F4BED" w:rsidRDefault="00000000">
      <w:pPr>
        <w:pStyle w:val="Heading2"/>
      </w:pPr>
      <w:r>
        <w:t>Road damage</w:t>
      </w:r>
    </w:p>
    <w:p w14:paraId="7E536CA2" w14:textId="77777777" w:rsidR="007F4BED" w:rsidRDefault="00000000">
      <w:pPr>
        <w:spacing w:before="80" w:after="120" w:line="300" w:lineRule="auto"/>
        <w:jc w:val="both"/>
      </w:pPr>
      <w:r>
        <w:t xml:space="preserve">Concentrated in heavy goods vehicles. Estimated at USD 0.04 per </w:t>
      </w:r>
      <w:proofErr w:type="spellStart"/>
      <w:r>
        <w:t>litre</w:t>
      </w:r>
      <w:proofErr w:type="spellEnd"/>
      <w:r>
        <w:t xml:space="preserve"> of diesel and negligible for gasoline.</w:t>
      </w:r>
    </w:p>
    <w:p w14:paraId="7E536CA3" w14:textId="77777777" w:rsidR="007F4BED" w:rsidRDefault="00000000">
      <w:pPr>
        <w:pStyle w:val="Heading1"/>
      </w:pPr>
      <w:r>
        <w:t>Section 3. Optimal corrective rate</w:t>
      </w:r>
    </w:p>
    <w:p w14:paraId="7E536CA4" w14:textId="77777777" w:rsidR="007F4BED" w:rsidRDefault="00000000">
      <w:pPr>
        <w:spacing w:before="80" w:after="120" w:line="300" w:lineRule="auto"/>
        <w:jc w:val="both"/>
      </w:pPr>
      <w:proofErr w:type="gramStart"/>
      <w:r>
        <w:t>Summing</w:t>
      </w:r>
      <w:proofErr w:type="gramEnd"/>
      <w:r>
        <w:t xml:space="preserve"> the externality components </w:t>
      </w:r>
      <w:proofErr w:type="gramStart"/>
      <w:r>
        <w:t>yields</w:t>
      </w:r>
      <w:proofErr w:type="gramEnd"/>
      <w:r>
        <w:t xml:space="preserve"> a naive Pigouvian rate of approximately USD 0.57 per </w:t>
      </w:r>
      <w:proofErr w:type="spellStart"/>
      <w:r>
        <w:t>litre</w:t>
      </w:r>
      <w:proofErr w:type="spellEnd"/>
      <w:r>
        <w:t xml:space="preserve"> of gasoline and USD 0.97 per </w:t>
      </w:r>
      <w:proofErr w:type="spellStart"/>
      <w:r>
        <w:t>litre</w:t>
      </w:r>
      <w:proofErr w:type="spellEnd"/>
      <w:r>
        <w:t xml:space="preserve"> of diesel. Adjusting for the mileage-share elasticity decomposition (default 0.5) gives second-best corrective rates of approximately USD 0.39 per </w:t>
      </w:r>
      <w:proofErr w:type="spellStart"/>
      <w:r>
        <w:t>litre</w:t>
      </w:r>
      <w:proofErr w:type="spellEnd"/>
      <w:r>
        <w:t xml:space="preserve"> of gasoline and USD 0.65 per </w:t>
      </w:r>
      <w:proofErr w:type="spellStart"/>
      <w:r>
        <w:t>litre</w:t>
      </w:r>
      <w:proofErr w:type="spellEnd"/>
      <w:r>
        <w:t xml:space="preserve"> of diesel.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7F4BED" w14:paraId="7E536CA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A5" w14:textId="77777777" w:rsidR="007F4BED" w:rsidRDefault="00000000">
            <w:r>
              <w:rPr>
                <w:b/>
                <w:bCs/>
                <w:sz w:val="20"/>
                <w:szCs w:val="20"/>
              </w:rPr>
              <w:t>Component (USD/</w:t>
            </w:r>
            <w:proofErr w:type="spellStart"/>
            <w:r>
              <w:rPr>
                <w:b/>
                <w:bCs/>
                <w:sz w:val="20"/>
                <w:szCs w:val="20"/>
              </w:rPr>
              <w:t>litre</w:t>
            </w:r>
            <w:proofErr w:type="spellEnd"/>
            <w:r>
              <w:rPr>
                <w:b/>
                <w:bCs/>
                <w:sz w:val="20"/>
                <w:szCs w:val="20"/>
              </w:rPr>
              <w:t>)</w:t>
            </w:r>
          </w:p>
        </w:tc>
        <w:tc>
          <w:tcPr>
            <w:tcW w:w="174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A6" w14:textId="77777777" w:rsidR="007F4BED" w:rsidRDefault="00000000">
            <w:r>
              <w:rPr>
                <w:b/>
                <w:bCs/>
                <w:sz w:val="20"/>
                <w:szCs w:val="20"/>
              </w:rPr>
              <w:t>Gasoline central</w:t>
            </w:r>
          </w:p>
        </w:tc>
        <w:tc>
          <w:tcPr>
            <w:tcW w:w="174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A7" w14:textId="77777777" w:rsidR="007F4BED" w:rsidRDefault="00000000">
            <w:r>
              <w:rPr>
                <w:b/>
                <w:bCs/>
                <w:sz w:val="20"/>
                <w:szCs w:val="20"/>
              </w:rPr>
              <w:t>Gasoline range</w:t>
            </w:r>
          </w:p>
        </w:tc>
        <w:tc>
          <w:tcPr>
            <w:tcW w:w="174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A8" w14:textId="77777777" w:rsidR="007F4BED" w:rsidRDefault="00000000">
            <w:r>
              <w:rPr>
                <w:b/>
                <w:bCs/>
                <w:sz w:val="20"/>
                <w:szCs w:val="20"/>
              </w:rPr>
              <w:t>Diesel central</w:t>
            </w:r>
          </w:p>
        </w:tc>
        <w:tc>
          <w:tcPr>
            <w:tcW w:w="174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E536CA9" w14:textId="77777777" w:rsidR="007F4BED" w:rsidRDefault="00000000">
            <w:r>
              <w:rPr>
                <w:b/>
                <w:bCs/>
                <w:sz w:val="20"/>
                <w:szCs w:val="20"/>
              </w:rPr>
              <w:t>Diesel range</w:t>
            </w:r>
          </w:p>
        </w:tc>
      </w:tr>
      <w:tr w:rsidR="007F4BED" w14:paraId="7E536CB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AB" w14:textId="77777777" w:rsidR="007F4BED" w:rsidRDefault="00000000">
            <w:r>
              <w:rPr>
                <w:sz w:val="20"/>
                <w:szCs w:val="20"/>
              </w:rPr>
              <w:t>Carbon</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AC" w14:textId="77777777" w:rsidR="007F4BED" w:rsidRDefault="00000000">
            <w:r>
              <w:rPr>
                <w:sz w:val="20"/>
                <w:szCs w:val="20"/>
              </w:rPr>
              <w:t>0.17</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AD" w14:textId="77777777" w:rsidR="007F4BED" w:rsidRDefault="00000000">
            <w:r>
              <w:rPr>
                <w:sz w:val="20"/>
                <w:szCs w:val="20"/>
              </w:rPr>
              <w:t>0.12-0.35</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AE" w14:textId="77777777" w:rsidR="007F4BED" w:rsidRDefault="00000000">
            <w:r>
              <w:rPr>
                <w:sz w:val="20"/>
                <w:szCs w:val="20"/>
              </w:rPr>
              <w:t>0.20</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AF" w14:textId="77777777" w:rsidR="007F4BED" w:rsidRDefault="00000000">
            <w:r>
              <w:rPr>
                <w:sz w:val="20"/>
                <w:szCs w:val="20"/>
              </w:rPr>
              <w:t>0.14-0.41</w:t>
            </w:r>
          </w:p>
        </w:tc>
      </w:tr>
      <w:tr w:rsidR="007F4BED" w14:paraId="7E536CB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1" w14:textId="77777777" w:rsidR="007F4BED" w:rsidRDefault="00000000">
            <w:r>
              <w:rPr>
                <w:sz w:val="20"/>
                <w:szCs w:val="20"/>
              </w:rPr>
              <w:t>Air pollution</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2" w14:textId="77777777" w:rsidR="007F4BED" w:rsidRDefault="00000000">
            <w:r>
              <w:rPr>
                <w:sz w:val="20"/>
                <w:szCs w:val="20"/>
              </w:rPr>
              <w:t>0.09</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3" w14:textId="77777777" w:rsidR="007F4BED" w:rsidRDefault="00000000">
            <w:r>
              <w:rPr>
                <w:sz w:val="20"/>
                <w:szCs w:val="20"/>
              </w:rPr>
              <w:t>0.05-0.14</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4" w14:textId="77777777" w:rsidR="007F4BED" w:rsidRDefault="00000000">
            <w:r>
              <w:rPr>
                <w:sz w:val="20"/>
                <w:szCs w:val="20"/>
              </w:rPr>
              <w:t>0.42</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5" w14:textId="77777777" w:rsidR="007F4BED" w:rsidRDefault="00000000">
            <w:r>
              <w:rPr>
                <w:sz w:val="20"/>
                <w:szCs w:val="20"/>
              </w:rPr>
              <w:t>0.25-0.65</w:t>
            </w:r>
          </w:p>
        </w:tc>
      </w:tr>
      <w:tr w:rsidR="007F4BED" w14:paraId="7E536CBC"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7" w14:textId="77777777" w:rsidR="007F4BED" w:rsidRDefault="00000000">
            <w:r>
              <w:rPr>
                <w:sz w:val="20"/>
                <w:szCs w:val="20"/>
              </w:rPr>
              <w:t>Accidents</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8" w14:textId="77777777" w:rsidR="007F4BED" w:rsidRDefault="00000000">
            <w:r>
              <w:rPr>
                <w:sz w:val="20"/>
                <w:szCs w:val="20"/>
              </w:rPr>
              <w:t>0.28</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9" w14:textId="77777777" w:rsidR="007F4BED" w:rsidRDefault="00000000">
            <w:r>
              <w:rPr>
                <w:sz w:val="20"/>
                <w:szCs w:val="20"/>
              </w:rPr>
              <w:t>0.18-0.45</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A" w14:textId="77777777" w:rsidR="007F4BED" w:rsidRDefault="00000000">
            <w:r>
              <w:rPr>
                <w:sz w:val="20"/>
                <w:szCs w:val="20"/>
              </w:rPr>
              <w:t>0.31</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B" w14:textId="77777777" w:rsidR="007F4BED" w:rsidRDefault="00000000">
            <w:r>
              <w:rPr>
                <w:sz w:val="20"/>
                <w:szCs w:val="20"/>
              </w:rPr>
              <w:t>0.20-0.50</w:t>
            </w:r>
          </w:p>
        </w:tc>
      </w:tr>
      <w:tr w:rsidR="007F4BED" w14:paraId="7E536CC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D" w14:textId="77777777" w:rsidR="007F4BED" w:rsidRDefault="00000000">
            <w:r>
              <w:rPr>
                <w:sz w:val="20"/>
                <w:szCs w:val="20"/>
              </w:rPr>
              <w:t>Congestion</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E" w14:textId="77777777" w:rsidR="007F4BED" w:rsidRDefault="00000000">
            <w:r>
              <w:rPr>
                <w:sz w:val="20"/>
                <w:szCs w:val="20"/>
              </w:rPr>
              <w:t>0.03</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BF" w14:textId="77777777" w:rsidR="007F4BED" w:rsidRDefault="00000000">
            <w:r>
              <w:rPr>
                <w:sz w:val="20"/>
                <w:szCs w:val="20"/>
              </w:rPr>
              <w:t>0.01-0.06</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0" w14:textId="77777777" w:rsidR="007F4BED" w:rsidRDefault="00000000">
            <w:r>
              <w:rPr>
                <w:sz w:val="20"/>
                <w:szCs w:val="20"/>
              </w:rPr>
              <w:t>0.03</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1" w14:textId="77777777" w:rsidR="007F4BED" w:rsidRDefault="00000000">
            <w:r>
              <w:rPr>
                <w:sz w:val="20"/>
                <w:szCs w:val="20"/>
              </w:rPr>
              <w:t>0.01-0.06</w:t>
            </w:r>
          </w:p>
        </w:tc>
      </w:tr>
      <w:tr w:rsidR="007F4BED" w14:paraId="7E536C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3" w14:textId="77777777" w:rsidR="007F4BED" w:rsidRDefault="00000000">
            <w:r>
              <w:rPr>
                <w:sz w:val="20"/>
                <w:szCs w:val="20"/>
              </w:rPr>
              <w:t>Road damage</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4" w14:textId="77777777" w:rsidR="007F4BED" w:rsidRDefault="00000000">
            <w:r>
              <w:rPr>
                <w:sz w:val="20"/>
                <w:szCs w:val="20"/>
              </w:rPr>
              <w:t>0.00</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5" w14:textId="77777777" w:rsidR="007F4BED" w:rsidRDefault="00000000">
            <w:r>
              <w:rPr>
                <w:sz w:val="20"/>
                <w:szCs w:val="20"/>
              </w:rPr>
              <w:t>0.00-0.01</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6" w14:textId="77777777" w:rsidR="007F4BED" w:rsidRDefault="00000000">
            <w:r>
              <w:rPr>
                <w:sz w:val="20"/>
                <w:szCs w:val="20"/>
              </w:rPr>
              <w:t>0.04</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7" w14:textId="77777777" w:rsidR="007F4BED" w:rsidRDefault="00000000">
            <w:r>
              <w:rPr>
                <w:sz w:val="20"/>
                <w:szCs w:val="20"/>
              </w:rPr>
              <w:t>0.02-0.06</w:t>
            </w:r>
          </w:p>
        </w:tc>
      </w:tr>
      <w:tr w:rsidR="007F4BED" w14:paraId="7E536C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9" w14:textId="77777777" w:rsidR="007F4BED" w:rsidRDefault="00000000">
            <w:r>
              <w:rPr>
                <w:sz w:val="20"/>
                <w:szCs w:val="20"/>
              </w:rPr>
              <w:lastRenderedPageBreak/>
              <w:t>Naive sum</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A" w14:textId="77777777" w:rsidR="007F4BED" w:rsidRDefault="00000000">
            <w:r>
              <w:rPr>
                <w:sz w:val="20"/>
                <w:szCs w:val="20"/>
              </w:rPr>
              <w:t>0.57</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B" w14:textId="77777777" w:rsidR="007F4BED" w:rsidRDefault="00000000">
            <w:r>
              <w:rPr>
                <w:sz w:val="20"/>
                <w:szCs w:val="20"/>
              </w:rPr>
              <w:t>0.36-1.01</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C" w14:textId="77777777" w:rsidR="007F4BED" w:rsidRDefault="00000000">
            <w:r>
              <w:rPr>
                <w:sz w:val="20"/>
                <w:szCs w:val="20"/>
              </w:rPr>
              <w:t>0.97</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D" w14:textId="77777777" w:rsidR="007F4BED" w:rsidRDefault="00000000">
            <w:r>
              <w:rPr>
                <w:sz w:val="20"/>
                <w:szCs w:val="20"/>
              </w:rPr>
              <w:t>0.62-1.68</w:t>
            </w:r>
          </w:p>
        </w:tc>
      </w:tr>
      <w:tr w:rsidR="007F4BED" w14:paraId="7E536CD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CF" w14:textId="77777777" w:rsidR="007F4BED" w:rsidRDefault="00000000">
            <w:r>
              <w:rPr>
                <w:sz w:val="20"/>
                <w:szCs w:val="20"/>
              </w:rPr>
              <w:t>Second-best</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D0" w14:textId="77777777" w:rsidR="007F4BED" w:rsidRDefault="00000000">
            <w:r>
              <w:rPr>
                <w:sz w:val="20"/>
                <w:szCs w:val="20"/>
              </w:rPr>
              <w:t>0.39</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D1" w14:textId="77777777" w:rsidR="007F4BED" w:rsidRDefault="00000000">
            <w:r>
              <w:rPr>
                <w:sz w:val="20"/>
                <w:szCs w:val="20"/>
              </w:rPr>
              <w:t>0.25-0.70</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D2" w14:textId="77777777" w:rsidR="007F4BED" w:rsidRDefault="00000000">
            <w:r>
              <w:rPr>
                <w:sz w:val="20"/>
                <w:szCs w:val="20"/>
              </w:rPr>
              <w:t>0.65</w:t>
            </w:r>
          </w:p>
        </w:tc>
        <w:tc>
          <w:tcPr>
            <w:tcW w:w="17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36CD3" w14:textId="77777777" w:rsidR="007F4BED" w:rsidRDefault="00000000">
            <w:r>
              <w:rPr>
                <w:sz w:val="20"/>
                <w:szCs w:val="20"/>
              </w:rPr>
              <w:t>0.42-1.15</w:t>
            </w:r>
          </w:p>
        </w:tc>
      </w:tr>
    </w:tbl>
    <w:p w14:paraId="7E536CD5" w14:textId="77777777" w:rsidR="007F4BED" w:rsidRDefault="007F4BED"/>
    <w:p w14:paraId="7E536CD6" w14:textId="77777777" w:rsidR="007F4BED" w:rsidRDefault="00000000">
      <w:pPr>
        <w:pStyle w:val="Heading1"/>
      </w:pPr>
      <w:r>
        <w:t>Section 4. Gap analysis</w:t>
      </w:r>
    </w:p>
    <w:p w14:paraId="7E536CD7" w14:textId="77777777" w:rsidR="007F4BED" w:rsidRDefault="00000000">
      <w:pPr>
        <w:spacing w:before="80" w:after="120" w:line="300" w:lineRule="auto"/>
        <w:jc w:val="both"/>
      </w:pPr>
      <w:r>
        <w:t xml:space="preserve">Current effective rates are USD 0.23 per </w:t>
      </w:r>
      <w:proofErr w:type="spellStart"/>
      <w:r>
        <w:t>litre</w:t>
      </w:r>
      <w:proofErr w:type="spellEnd"/>
      <w:r>
        <w:t xml:space="preserve"> on gasoline and USD 0.15 per </w:t>
      </w:r>
      <w:proofErr w:type="spellStart"/>
      <w:r>
        <w:t>litre</w:t>
      </w:r>
      <w:proofErr w:type="spellEnd"/>
      <w:r>
        <w:t xml:space="preserve"> on diesel. Gaps versus the second-best corrective rate are USD 0.16 per </w:t>
      </w:r>
      <w:proofErr w:type="spellStart"/>
      <w:r>
        <w:t>litre</w:t>
      </w:r>
      <w:proofErr w:type="spellEnd"/>
      <w:r>
        <w:t xml:space="preserve"> for gasoline and USD 0.50 per </w:t>
      </w:r>
      <w:proofErr w:type="spellStart"/>
      <w:r>
        <w:t>litre</w:t>
      </w:r>
      <w:proofErr w:type="spellEnd"/>
      <w:r>
        <w:t xml:space="preserve"> for diesel. Diesel is the much larger problem, driven primarily by air pollution and accidents.</w:t>
      </w:r>
    </w:p>
    <w:p w14:paraId="7E536CD8" w14:textId="77777777" w:rsidR="007F4BED" w:rsidRDefault="00000000">
      <w:pPr>
        <w:spacing w:before="80" w:after="120" w:line="300" w:lineRule="auto"/>
        <w:jc w:val="both"/>
      </w:pPr>
      <w:r>
        <w:t>This is a familiar pattern in developing-country settings: gasoline is roughly correctly taxed; diesel is substantially undertaxed. The gap is not a curiosity but a direct fiscal-and-health argument for diesel-tax reform.</w:t>
      </w:r>
    </w:p>
    <w:p w14:paraId="7E536CD9" w14:textId="77777777" w:rsidR="007F4BED" w:rsidRDefault="00000000">
      <w:pPr>
        <w:spacing w:before="80" w:after="120" w:line="300" w:lineRule="auto"/>
        <w:jc w:val="both"/>
      </w:pPr>
      <w:r>
        <w:t xml:space="preserve">Closing the gap on diesel by USD 0.50 per </w:t>
      </w:r>
      <w:proofErr w:type="spellStart"/>
      <w:r>
        <w:t>litre</w:t>
      </w:r>
      <w:proofErr w:type="spellEnd"/>
      <w:r>
        <w:t xml:space="preserve"> would raise approximately USD 230 million annually — increasing total fuel-tax revenue by 70 per cent and approaching 1 per cent of GDP. The implicit-subsidy welfare gain would be larger still, since avoided health and accident costs accrue independently of revenue.</w:t>
      </w:r>
    </w:p>
    <w:p w14:paraId="7E536CDA" w14:textId="77777777" w:rsidR="007F4BED" w:rsidRDefault="00000000">
      <w:pPr>
        <w:pStyle w:val="Heading1"/>
      </w:pPr>
      <w:r>
        <w:t>Section 5. Distributional incidence</w:t>
      </w:r>
    </w:p>
    <w:p w14:paraId="7E536CDB" w14:textId="77777777" w:rsidR="007F4BED" w:rsidRDefault="00000000">
      <w:pPr>
        <w:spacing w:before="80" w:after="120" w:line="300" w:lineRule="auto"/>
        <w:jc w:val="both"/>
      </w:pPr>
      <w:r>
        <w:t xml:space="preserve">CPAT incidence analysis (drawing on Country X 2019 Household Budget Survey) shows that direct fuel-tax incidence is mildly progressive on gasoline (richer households spend a higher share of total expenditure on private motoring) and approximately neutral on diesel (heavily mediated through public transport fares and goods prices). The combined incidence of a USD 0.50 per </w:t>
      </w:r>
      <w:proofErr w:type="spellStart"/>
      <w:r>
        <w:t>litre</w:t>
      </w:r>
      <w:proofErr w:type="spellEnd"/>
      <w:r>
        <w:t xml:space="preserve"> diesel-tax increase, before recycling, is regressive by 0.7 percentage points of expenditure between the bottom and top quintile.</w:t>
      </w:r>
    </w:p>
    <w:p w14:paraId="7E536CDC" w14:textId="77777777" w:rsidR="007F4BED" w:rsidRDefault="00000000">
      <w:pPr>
        <w:spacing w:before="80" w:after="120" w:line="300" w:lineRule="auto"/>
        <w:jc w:val="both"/>
      </w:pPr>
      <w:r>
        <w:t>Three of four standard recycling options reverse the regressivity: a flat per-household transfer financed by 30 per cent of the new revenue produces a net-progressive package; a doubled targeted social-protection transfer to bottom-quintile households produces a strongly progressive package; reductions in payroll tax produce a roughly distribution-neutral package; reductions in VAT produce a marginally regressive package.</w:t>
      </w:r>
    </w:p>
    <w:p w14:paraId="7E536CDD" w14:textId="77777777" w:rsidR="007F4BED" w:rsidRDefault="00000000">
      <w:pPr>
        <w:pStyle w:val="Heading1"/>
      </w:pPr>
      <w:r>
        <w:t>Section 6. International norm comparator</w:t>
      </w:r>
    </w:p>
    <w:p w14:paraId="7E536CDE" w14:textId="77777777" w:rsidR="007F4BED" w:rsidRDefault="00000000">
      <w:pPr>
        <w:spacing w:before="80" w:after="120" w:line="300" w:lineRule="auto"/>
        <w:jc w:val="both"/>
      </w:pPr>
      <w:r>
        <w:t xml:space="preserve">Country X effective fuel tax rates are below the East African Community average and well below sub-Saharan African LMIC averages. The OECD effective carbon rate on gasoline (USD 74 per tonne) and diesel (USD 56 per tonne) place Country X in the bottom quartile globally. CBAM </w:t>
      </w:r>
      <w:proofErr w:type="gramStart"/>
      <w:r>
        <w:t>exposure</w:t>
      </w:r>
      <w:proofErr w:type="gramEnd"/>
      <w:r>
        <w:t xml:space="preserve"> is currently low because Country X exports are largely agricultural; this will change if cement or </w:t>
      </w:r>
      <w:proofErr w:type="spellStart"/>
      <w:r>
        <w:t>fertiliser</w:t>
      </w:r>
      <w:proofErr w:type="spellEnd"/>
      <w:r>
        <w:t xml:space="preserve"> exports expand.</w:t>
      </w:r>
    </w:p>
    <w:p w14:paraId="7E536CDF" w14:textId="77777777" w:rsidR="007F4BED" w:rsidRDefault="00000000">
      <w:pPr>
        <w:spacing w:before="80" w:after="120" w:line="300" w:lineRule="auto"/>
        <w:jc w:val="both"/>
      </w:pPr>
      <w:r>
        <w:lastRenderedPageBreak/>
        <w:t>Comparable LICs that have raised diesel tax over the past decade (Rwanda, Ghana, Kenya in steps) have done so without the macroeconomic disruption commonly feared, particularly when reform was sequenced with targeted social protection. Country X has more fiscal space for reform than the political debate currently assumes.</w:t>
      </w:r>
    </w:p>
    <w:p w14:paraId="7E536CE0" w14:textId="77777777" w:rsidR="007F4BED" w:rsidRDefault="00000000">
      <w:pPr>
        <w:pStyle w:val="Heading1"/>
      </w:pPr>
      <w:r>
        <w:t>Section 7. Reform pathway</w:t>
      </w:r>
    </w:p>
    <w:p w14:paraId="7E536CE1" w14:textId="77777777" w:rsidR="007F4BED" w:rsidRDefault="00000000">
      <w:pPr>
        <w:spacing w:before="80" w:after="120" w:line="300" w:lineRule="auto"/>
        <w:jc w:val="both"/>
      </w:pPr>
      <w:r>
        <w:t>We recommend a three-year reform package.</w:t>
      </w:r>
    </w:p>
    <w:p w14:paraId="7E536CE2" w14:textId="77777777" w:rsidR="007F4BED" w:rsidRDefault="00000000">
      <w:pPr>
        <w:pStyle w:val="ListParagraph"/>
        <w:numPr>
          <w:ilvl w:val="0"/>
          <w:numId w:val="2"/>
        </w:numPr>
        <w:spacing w:before="40" w:after="40" w:line="280" w:lineRule="auto"/>
        <w:jc w:val="both"/>
      </w:pPr>
      <w:r>
        <w:t xml:space="preserve">Year 1: USD 0.15 per </w:t>
      </w:r>
      <w:proofErr w:type="spellStart"/>
      <w:r>
        <w:t>litre</w:t>
      </w:r>
      <w:proofErr w:type="spellEnd"/>
      <w:r>
        <w:t xml:space="preserve"> diesel excise increase. Revenue use: 30 per cent into a flat per-household transfer through existing social-protection channels; 70 per cent to general revenue. Communications campaign </w:t>
      </w:r>
      <w:proofErr w:type="spellStart"/>
      <w:r>
        <w:t>emphasising</w:t>
      </w:r>
      <w:proofErr w:type="spellEnd"/>
      <w:r>
        <w:t xml:space="preserve"> </w:t>
      </w:r>
      <w:proofErr w:type="gramStart"/>
      <w:r>
        <w:t>the health</w:t>
      </w:r>
      <w:proofErr w:type="gramEnd"/>
      <w:r>
        <w:t xml:space="preserve"> and road-safety justification, not </w:t>
      </w:r>
      <w:proofErr w:type="gramStart"/>
      <w:r>
        <w:t>the climate</w:t>
      </w:r>
      <w:proofErr w:type="gramEnd"/>
      <w:r>
        <w:t xml:space="preserve"> justification, which polls poorly in Country X.</w:t>
      </w:r>
    </w:p>
    <w:p w14:paraId="7E536CE3" w14:textId="77777777" w:rsidR="007F4BED" w:rsidRDefault="00000000">
      <w:pPr>
        <w:pStyle w:val="ListParagraph"/>
        <w:numPr>
          <w:ilvl w:val="0"/>
          <w:numId w:val="2"/>
        </w:numPr>
        <w:spacing w:before="40" w:after="40" w:line="280" w:lineRule="auto"/>
        <w:jc w:val="both"/>
      </w:pPr>
      <w:r>
        <w:t xml:space="preserve">Year 2: Further USD 0.15 per </w:t>
      </w:r>
      <w:proofErr w:type="spellStart"/>
      <w:r>
        <w:t>litre</w:t>
      </w:r>
      <w:proofErr w:type="spellEnd"/>
      <w:r>
        <w:t xml:space="preserve"> diesel increase. Convert the per-household transfer into a permanent indexed component of the social safety net. Introduce a feebate on imported vehicles based on emissions and weight to begin addressing fleet composition without a </w:t>
      </w:r>
      <w:proofErr w:type="spellStart"/>
      <w:r>
        <w:t>Gruenspecht</w:t>
      </w:r>
      <w:proofErr w:type="spellEnd"/>
      <w:r>
        <w:t xml:space="preserve"> effect.</w:t>
      </w:r>
    </w:p>
    <w:p w14:paraId="7E536CE4" w14:textId="77777777" w:rsidR="007F4BED" w:rsidRDefault="00000000">
      <w:pPr>
        <w:pStyle w:val="ListParagraph"/>
        <w:numPr>
          <w:ilvl w:val="0"/>
          <w:numId w:val="2"/>
        </w:numPr>
        <w:spacing w:before="40" w:after="40" w:line="280" w:lineRule="auto"/>
        <w:jc w:val="both"/>
      </w:pPr>
      <w:r>
        <w:t xml:space="preserve">Year 3: Final USD 0.20 per </w:t>
      </w:r>
      <w:proofErr w:type="spellStart"/>
      <w:r>
        <w:t>litre</w:t>
      </w:r>
      <w:proofErr w:type="spellEnd"/>
      <w:r>
        <w:t xml:space="preserve"> diesel increase, closing roughly two-thirds of the original gap. Begin scoping a distance-based </w:t>
      </w:r>
      <w:proofErr w:type="gramStart"/>
      <w:r>
        <w:t>heavy-goods</w:t>
      </w:r>
      <w:proofErr w:type="gramEnd"/>
      <w:r>
        <w:t>-vehicle charge to address the road-damage and accident externalities that fuel tax addresses imperfectly. Update the FVTD report at this point with new exposure and accident data.</w:t>
      </w:r>
    </w:p>
    <w:p w14:paraId="7E536CE5" w14:textId="77777777" w:rsidR="007F4BED" w:rsidRDefault="00000000">
      <w:pPr>
        <w:spacing w:before="80" w:after="120" w:line="300" w:lineRule="auto"/>
        <w:jc w:val="both"/>
      </w:pPr>
      <w:r>
        <w:t>The package raises an estimated additional USD 230 million in annual revenue at full implementation, leaves the bottom quintile better off in net terms, and approximately halves the implicit-subsidy gap. It does not close the gap entirely; full closure would require complementary instruments beyond fuel taxation.</w:t>
      </w:r>
    </w:p>
    <w:sectPr w:rsidR="007F4BED">
      <w:headerReference w:type="default" r:id="rId7"/>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E6F4" w14:textId="77777777" w:rsidR="004C0A63" w:rsidRDefault="004C0A63">
      <w:r>
        <w:separator/>
      </w:r>
    </w:p>
  </w:endnote>
  <w:endnote w:type="continuationSeparator" w:id="0">
    <w:p w14:paraId="2A1FAF52" w14:textId="77777777" w:rsidR="004C0A63" w:rsidRDefault="004C0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F979" w14:textId="0ABA5ED0" w:rsidR="00A522F4" w:rsidRDefault="00A522F4">
    <w:pPr>
      <w:pStyle w:val="Footer"/>
    </w:pPr>
    <w:r>
      <w:rPr>
        <w:noProof/>
      </w:rPr>
      <mc:AlternateContent>
        <mc:Choice Requires="wps">
          <w:drawing>
            <wp:anchor distT="0" distB="0" distL="0" distR="0" simplePos="0" relativeHeight="251659264" behindDoc="0" locked="0" layoutInCell="1" allowOverlap="1" wp14:anchorId="2AD40A6F" wp14:editId="49623CCA">
              <wp:simplePos x="635" y="635"/>
              <wp:positionH relativeFrom="page">
                <wp:align>right</wp:align>
              </wp:positionH>
              <wp:positionV relativeFrom="page">
                <wp:align>bottom</wp:align>
              </wp:positionV>
              <wp:extent cx="1172210" cy="345440"/>
              <wp:effectExtent l="0" t="0" r="0" b="0"/>
              <wp:wrapNone/>
              <wp:docPr id="177512687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5CF5B365" w14:textId="58F0046E" w:rsidR="00A522F4" w:rsidRPr="00A522F4" w:rsidRDefault="00A522F4" w:rsidP="00A522F4">
                          <w:pPr>
                            <w:rPr>
                              <w:rFonts w:ascii="Aptos" w:eastAsia="Aptos" w:hAnsi="Aptos" w:cs="Aptos"/>
                              <w:noProof/>
                              <w:color w:val="000000"/>
                              <w:sz w:val="20"/>
                              <w:szCs w:val="20"/>
                            </w:rPr>
                          </w:pPr>
                          <w:r w:rsidRPr="00A522F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D40A6F"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textbox style="mso-fit-shape-to-text:t" inset="0,0,20pt,15pt">
                <w:txbxContent>
                  <w:p w14:paraId="5CF5B365" w14:textId="58F0046E" w:rsidR="00A522F4" w:rsidRPr="00A522F4" w:rsidRDefault="00A522F4" w:rsidP="00A522F4">
                    <w:pPr>
                      <w:rPr>
                        <w:rFonts w:ascii="Aptos" w:eastAsia="Aptos" w:hAnsi="Aptos" w:cs="Aptos"/>
                        <w:noProof/>
                        <w:color w:val="000000"/>
                        <w:sz w:val="20"/>
                        <w:szCs w:val="20"/>
                      </w:rPr>
                    </w:pPr>
                    <w:r w:rsidRPr="00A522F4">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6CE7" w14:textId="47738AA4" w:rsidR="007F4BED" w:rsidRDefault="00A522F4">
    <w:pPr>
      <w:jc w:val="center"/>
    </w:pPr>
    <w:r>
      <w:rPr>
        <w:noProof/>
        <w:color w:val="808080"/>
        <w:sz w:val="18"/>
        <w:szCs w:val="18"/>
      </w:rPr>
      <mc:AlternateContent>
        <mc:Choice Requires="wps">
          <w:drawing>
            <wp:anchor distT="0" distB="0" distL="0" distR="0" simplePos="0" relativeHeight="251660288" behindDoc="0" locked="0" layoutInCell="1" allowOverlap="1" wp14:anchorId="369A8288" wp14:editId="002FEC0C">
              <wp:simplePos x="635" y="635"/>
              <wp:positionH relativeFrom="page">
                <wp:align>right</wp:align>
              </wp:positionH>
              <wp:positionV relativeFrom="page">
                <wp:align>bottom</wp:align>
              </wp:positionV>
              <wp:extent cx="1172210" cy="345440"/>
              <wp:effectExtent l="0" t="0" r="0" b="0"/>
              <wp:wrapNone/>
              <wp:docPr id="70140385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2928BDD1" w14:textId="1B06BE97" w:rsidR="00A522F4" w:rsidRPr="00A522F4" w:rsidRDefault="00A522F4" w:rsidP="00A522F4">
                          <w:pPr>
                            <w:rPr>
                              <w:rFonts w:ascii="Aptos" w:eastAsia="Aptos" w:hAnsi="Aptos" w:cs="Aptos"/>
                              <w:noProof/>
                              <w:color w:val="000000"/>
                              <w:sz w:val="20"/>
                              <w:szCs w:val="20"/>
                            </w:rPr>
                          </w:pPr>
                          <w:r w:rsidRPr="00A522F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69A8288"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textbox style="mso-fit-shape-to-text:t" inset="0,0,20pt,15pt">
                <w:txbxContent>
                  <w:p w14:paraId="2928BDD1" w14:textId="1B06BE97" w:rsidR="00A522F4" w:rsidRPr="00A522F4" w:rsidRDefault="00A522F4" w:rsidP="00A522F4">
                    <w:pPr>
                      <w:rPr>
                        <w:rFonts w:ascii="Aptos" w:eastAsia="Aptos" w:hAnsi="Aptos" w:cs="Aptos"/>
                        <w:noProof/>
                        <w:color w:val="000000"/>
                        <w:sz w:val="20"/>
                        <w:szCs w:val="20"/>
                      </w:rPr>
                    </w:pPr>
                    <w:r w:rsidRPr="00A522F4">
                      <w:rPr>
                        <w:rFonts w:ascii="Aptos" w:eastAsia="Aptos" w:hAnsi="Aptos" w:cs="Aptos"/>
                        <w:noProof/>
                        <w:color w:val="000000"/>
                        <w:sz w:val="20"/>
                        <w:szCs w:val="20"/>
                      </w:rPr>
                      <w:t>Official Use Only</w:t>
                    </w:r>
                  </w:p>
                </w:txbxContent>
              </v:textbox>
              <w10:wrap anchorx="page" anchory="page"/>
            </v:shape>
          </w:pict>
        </mc:Fallback>
      </mc:AlternateConten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6BC2" w14:textId="4B60C130" w:rsidR="00A522F4" w:rsidRDefault="00A522F4">
    <w:pPr>
      <w:pStyle w:val="Footer"/>
    </w:pPr>
    <w:r>
      <w:rPr>
        <w:noProof/>
      </w:rPr>
      <mc:AlternateContent>
        <mc:Choice Requires="wps">
          <w:drawing>
            <wp:anchor distT="0" distB="0" distL="0" distR="0" simplePos="0" relativeHeight="251658240" behindDoc="0" locked="0" layoutInCell="1" allowOverlap="1" wp14:anchorId="59E02308" wp14:editId="19B4FDCF">
              <wp:simplePos x="635" y="635"/>
              <wp:positionH relativeFrom="page">
                <wp:align>right</wp:align>
              </wp:positionH>
              <wp:positionV relativeFrom="page">
                <wp:align>bottom</wp:align>
              </wp:positionV>
              <wp:extent cx="1172210" cy="345440"/>
              <wp:effectExtent l="0" t="0" r="0" b="0"/>
              <wp:wrapNone/>
              <wp:docPr id="116504476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56AC8ECB" w14:textId="34EEDDD5" w:rsidR="00A522F4" w:rsidRPr="00A522F4" w:rsidRDefault="00A522F4" w:rsidP="00A522F4">
                          <w:pPr>
                            <w:rPr>
                              <w:rFonts w:ascii="Aptos" w:eastAsia="Aptos" w:hAnsi="Aptos" w:cs="Aptos"/>
                              <w:noProof/>
                              <w:color w:val="000000"/>
                              <w:sz w:val="20"/>
                              <w:szCs w:val="20"/>
                            </w:rPr>
                          </w:pPr>
                          <w:r w:rsidRPr="00A522F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9E02308"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textbox style="mso-fit-shape-to-text:t" inset="0,0,20pt,15pt">
                <w:txbxContent>
                  <w:p w14:paraId="56AC8ECB" w14:textId="34EEDDD5" w:rsidR="00A522F4" w:rsidRPr="00A522F4" w:rsidRDefault="00A522F4" w:rsidP="00A522F4">
                    <w:pPr>
                      <w:rPr>
                        <w:rFonts w:ascii="Aptos" w:eastAsia="Aptos" w:hAnsi="Aptos" w:cs="Aptos"/>
                        <w:noProof/>
                        <w:color w:val="000000"/>
                        <w:sz w:val="20"/>
                        <w:szCs w:val="20"/>
                      </w:rPr>
                    </w:pPr>
                    <w:r w:rsidRPr="00A522F4">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2762" w14:textId="77777777" w:rsidR="004C0A63" w:rsidRDefault="004C0A63">
      <w:r>
        <w:separator/>
      </w:r>
    </w:p>
  </w:footnote>
  <w:footnote w:type="continuationSeparator" w:id="0">
    <w:p w14:paraId="535DD0C0" w14:textId="77777777" w:rsidR="004C0A63" w:rsidRDefault="004C0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6CE6" w14:textId="77777777" w:rsidR="007F4BED" w:rsidRDefault="00000000">
    <w:pPr>
      <w:jc w:val="right"/>
    </w:pPr>
    <w:r>
      <w:rPr>
        <w:i/>
        <w:iCs/>
        <w:color w:val="808080"/>
        <w:sz w:val="18"/>
        <w:szCs w:val="18"/>
      </w:rPr>
      <w:t>FVTD Working Paper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78E"/>
    <w:multiLevelType w:val="hybridMultilevel"/>
    <w:tmpl w:val="B4A6E80C"/>
    <w:lvl w:ilvl="0" w:tplc="AB46245C">
      <w:start w:val="1"/>
      <w:numFmt w:val="decimal"/>
      <w:lvlText w:val="%1."/>
      <w:lvlJc w:val="left"/>
      <w:pPr>
        <w:ind w:left="720" w:hanging="360"/>
      </w:pPr>
    </w:lvl>
    <w:lvl w:ilvl="1" w:tplc="68EA3E70">
      <w:numFmt w:val="decimal"/>
      <w:lvlText w:val=""/>
      <w:lvlJc w:val="left"/>
    </w:lvl>
    <w:lvl w:ilvl="2" w:tplc="D4E62346">
      <w:numFmt w:val="decimal"/>
      <w:lvlText w:val=""/>
      <w:lvlJc w:val="left"/>
    </w:lvl>
    <w:lvl w:ilvl="3" w:tplc="BD12E67E">
      <w:numFmt w:val="decimal"/>
      <w:lvlText w:val=""/>
      <w:lvlJc w:val="left"/>
    </w:lvl>
    <w:lvl w:ilvl="4" w:tplc="27683CFC">
      <w:numFmt w:val="decimal"/>
      <w:lvlText w:val=""/>
      <w:lvlJc w:val="left"/>
    </w:lvl>
    <w:lvl w:ilvl="5" w:tplc="0B5899EC">
      <w:numFmt w:val="decimal"/>
      <w:lvlText w:val=""/>
      <w:lvlJc w:val="left"/>
    </w:lvl>
    <w:lvl w:ilvl="6" w:tplc="97A8B216">
      <w:numFmt w:val="decimal"/>
      <w:lvlText w:val=""/>
      <w:lvlJc w:val="left"/>
    </w:lvl>
    <w:lvl w:ilvl="7" w:tplc="833AC588">
      <w:numFmt w:val="decimal"/>
      <w:lvlText w:val=""/>
      <w:lvlJc w:val="left"/>
    </w:lvl>
    <w:lvl w:ilvl="8" w:tplc="7D6AB832">
      <w:numFmt w:val="decimal"/>
      <w:lvlText w:val=""/>
      <w:lvlJc w:val="left"/>
    </w:lvl>
  </w:abstractNum>
  <w:abstractNum w:abstractNumId="1" w15:restartNumberingAfterBreak="0">
    <w:nsid w:val="03D70374"/>
    <w:multiLevelType w:val="hybridMultilevel"/>
    <w:tmpl w:val="2CBA65A0"/>
    <w:lvl w:ilvl="0" w:tplc="468E1E88">
      <w:start w:val="1"/>
      <w:numFmt w:val="bullet"/>
      <w:lvlText w:val="•"/>
      <w:lvlJc w:val="left"/>
      <w:pPr>
        <w:ind w:left="720" w:hanging="360"/>
      </w:pPr>
    </w:lvl>
    <w:lvl w:ilvl="1" w:tplc="95461B8C">
      <w:numFmt w:val="decimal"/>
      <w:lvlText w:val=""/>
      <w:lvlJc w:val="left"/>
    </w:lvl>
    <w:lvl w:ilvl="2" w:tplc="1606292C">
      <w:numFmt w:val="decimal"/>
      <w:lvlText w:val=""/>
      <w:lvlJc w:val="left"/>
    </w:lvl>
    <w:lvl w:ilvl="3" w:tplc="DE96A43E">
      <w:numFmt w:val="decimal"/>
      <w:lvlText w:val=""/>
      <w:lvlJc w:val="left"/>
    </w:lvl>
    <w:lvl w:ilvl="4" w:tplc="500404B6">
      <w:numFmt w:val="decimal"/>
      <w:lvlText w:val=""/>
      <w:lvlJc w:val="left"/>
    </w:lvl>
    <w:lvl w:ilvl="5" w:tplc="2A906028">
      <w:numFmt w:val="decimal"/>
      <w:lvlText w:val=""/>
      <w:lvlJc w:val="left"/>
    </w:lvl>
    <w:lvl w:ilvl="6" w:tplc="4DDC67F6">
      <w:numFmt w:val="decimal"/>
      <w:lvlText w:val=""/>
      <w:lvlJc w:val="left"/>
    </w:lvl>
    <w:lvl w:ilvl="7" w:tplc="E6E68B7A">
      <w:numFmt w:val="decimal"/>
      <w:lvlText w:val=""/>
      <w:lvlJc w:val="left"/>
    </w:lvl>
    <w:lvl w:ilvl="8" w:tplc="622229EC">
      <w:numFmt w:val="decimal"/>
      <w:lvlText w:val=""/>
      <w:lvlJc w:val="left"/>
    </w:lvl>
  </w:abstractNum>
  <w:abstractNum w:abstractNumId="2" w15:restartNumberingAfterBreak="0">
    <w:nsid w:val="61565AB0"/>
    <w:multiLevelType w:val="hybridMultilevel"/>
    <w:tmpl w:val="508EB71C"/>
    <w:lvl w:ilvl="0" w:tplc="558443FC">
      <w:start w:val="1"/>
      <w:numFmt w:val="bullet"/>
      <w:lvlText w:val="●"/>
      <w:lvlJc w:val="left"/>
      <w:pPr>
        <w:ind w:left="720" w:hanging="360"/>
      </w:pPr>
    </w:lvl>
    <w:lvl w:ilvl="1" w:tplc="AF9A5746">
      <w:start w:val="1"/>
      <w:numFmt w:val="bullet"/>
      <w:lvlText w:val="○"/>
      <w:lvlJc w:val="left"/>
      <w:pPr>
        <w:ind w:left="1440" w:hanging="360"/>
      </w:pPr>
    </w:lvl>
    <w:lvl w:ilvl="2" w:tplc="9A923F44">
      <w:start w:val="1"/>
      <w:numFmt w:val="bullet"/>
      <w:lvlText w:val="■"/>
      <w:lvlJc w:val="left"/>
      <w:pPr>
        <w:ind w:left="2160" w:hanging="360"/>
      </w:pPr>
    </w:lvl>
    <w:lvl w:ilvl="3" w:tplc="8F7292F2">
      <w:start w:val="1"/>
      <w:numFmt w:val="bullet"/>
      <w:lvlText w:val="●"/>
      <w:lvlJc w:val="left"/>
      <w:pPr>
        <w:ind w:left="2880" w:hanging="360"/>
      </w:pPr>
    </w:lvl>
    <w:lvl w:ilvl="4" w:tplc="FC2A8676">
      <w:start w:val="1"/>
      <w:numFmt w:val="bullet"/>
      <w:lvlText w:val="○"/>
      <w:lvlJc w:val="left"/>
      <w:pPr>
        <w:ind w:left="3600" w:hanging="360"/>
      </w:pPr>
    </w:lvl>
    <w:lvl w:ilvl="5" w:tplc="DA6E5EF8">
      <w:start w:val="1"/>
      <w:numFmt w:val="bullet"/>
      <w:lvlText w:val="■"/>
      <w:lvlJc w:val="left"/>
      <w:pPr>
        <w:ind w:left="4320" w:hanging="360"/>
      </w:pPr>
    </w:lvl>
    <w:lvl w:ilvl="6" w:tplc="CCAEB564">
      <w:start w:val="1"/>
      <w:numFmt w:val="bullet"/>
      <w:lvlText w:val="●"/>
      <w:lvlJc w:val="left"/>
      <w:pPr>
        <w:ind w:left="5040" w:hanging="360"/>
      </w:pPr>
    </w:lvl>
    <w:lvl w:ilvl="7" w:tplc="5D6C737E">
      <w:start w:val="1"/>
      <w:numFmt w:val="bullet"/>
      <w:lvlText w:val="●"/>
      <w:lvlJc w:val="left"/>
      <w:pPr>
        <w:ind w:left="5760" w:hanging="360"/>
      </w:pPr>
    </w:lvl>
    <w:lvl w:ilvl="8" w:tplc="16C61740">
      <w:start w:val="1"/>
      <w:numFmt w:val="bullet"/>
      <w:lvlText w:val="●"/>
      <w:lvlJc w:val="left"/>
      <w:pPr>
        <w:ind w:left="6480" w:hanging="360"/>
      </w:pPr>
    </w:lvl>
  </w:abstractNum>
  <w:num w:numId="1" w16cid:durableId="1595283983">
    <w:abstractNumId w:val="2"/>
    <w:lvlOverride w:ilvl="0">
      <w:startOverride w:val="1"/>
    </w:lvlOverride>
  </w:num>
  <w:num w:numId="2" w16cid:durableId="1978683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ED"/>
    <w:rsid w:val="001E2C44"/>
    <w:rsid w:val="00332D98"/>
    <w:rsid w:val="003C5AEE"/>
    <w:rsid w:val="004104D6"/>
    <w:rsid w:val="004C0A63"/>
    <w:rsid w:val="00503AFC"/>
    <w:rsid w:val="005657F3"/>
    <w:rsid w:val="005B4427"/>
    <w:rsid w:val="007F4BED"/>
    <w:rsid w:val="00A522F4"/>
    <w:rsid w:val="00C8251D"/>
    <w:rsid w:val="00EB07EA"/>
    <w:rsid w:val="00FC5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36BAD"/>
  <w15:docId w15:val="{925559CD-849B-44A8-A85A-F6E3A96B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A522F4"/>
    <w:pPr>
      <w:tabs>
        <w:tab w:val="center" w:pos="4680"/>
        <w:tab w:val="right" w:pos="9360"/>
      </w:tabs>
    </w:pPr>
  </w:style>
  <w:style w:type="character" w:customStyle="1" w:styleId="FooterChar">
    <w:name w:val="Footer Char"/>
    <w:basedOn w:val="DefaultParagraphFont"/>
    <w:link w:val="Footer"/>
    <w:uiPriority w:val="99"/>
    <w:rsid w:val="00A52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4873</Words>
  <Characters>28269</Characters>
  <Application>Microsoft Office Word</Application>
  <DocSecurity>0</DocSecurity>
  <Lines>571</Lines>
  <Paragraphs>272</Paragraphs>
  <ScaleCrop>false</ScaleCrop>
  <Company>WBG</Company>
  <LinksUpToDate>false</LinksUpToDate>
  <CharactersWithSpaces>32889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John Stretton</cp:lastModifiedBy>
  <cp:revision>4</cp:revision>
  <dcterms:created xsi:type="dcterms:W3CDTF">2026-05-04T13:23:00Z</dcterms:created>
  <dcterms:modified xsi:type="dcterms:W3CDTF">2026-05-04T15:12:00Z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45712c1f,69ce4959,29ce92cf</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2026-04-27T17:50:10Z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1a2f80c5-3649-49b4-93b3-8d1a5d40dea2</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