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12"/>
        </w:pBdr>
        <w:spacing w:after="0" w:before="2600"/>
      </w:pPr>
      <w:r>
        <w:rPr>
          <w:rFonts w:ascii="Calibri" w:cs="Calibri" w:eastAsia="Calibri" w:hAnsi="Calibri"/>
          <w:b/>
          <w:bCs/>
          <w:color w:val="2E74B5"/>
          <w:sz w:val="30"/>
          <w:szCs w:val="30"/>
        </w:rPr>
        <w:t xml:space="preserve">SIERRA LEONE</w:t>
      </w:r>
    </w:p>
    <w:p>
      <w:pPr>
        <w:spacing w:after="120" w:before="260"/>
      </w:pPr>
      <w:r>
        <w:rPr>
          <w:rFonts w:ascii="Calibri" w:cs="Calibri" w:eastAsia="Calibri" w:hAnsi="Calibri"/>
          <w:b/>
          <w:bCs/>
          <w:color w:val="1F3864"/>
          <w:sz w:val="60"/>
          <w:szCs w:val="60"/>
        </w:rPr>
        <w:t xml:space="preserve">An Excise Diagnostic</w:t>
      </w:r>
    </w:p>
    <w:p>
      <w:pPr>
        <w:spacing w:after="480" w:before="0"/>
      </w:pPr>
      <w:r>
        <w:rPr>
          <w:rFonts w:ascii="Calibri" w:cs="Calibri" w:eastAsia="Calibri" w:hAnsi="Calibri"/>
          <w:i/>
          <w:iCs/>
          <w:color w:val="595959"/>
          <w:sz w:val="26"/>
          <w:szCs w:val="26"/>
        </w:rPr>
        <w:t xml:space="preserve">Reading the excise schedule of the Excise Act, 1982 (as amended through the Finance Act, 2026), with comparable measures, worked computations, and a sequenced reform pathway</w:t>
      </w:r>
    </w:p>
    <w:p>
      <w:pPr>
        <w:spacing w:after="120" w:before="0"/>
      </w:pPr>
      <w:r>
        <w:rPr>
          <w:rFonts w:ascii="Calibri" w:cs="Calibri" w:eastAsia="Calibri" w:hAnsi="Calibri"/>
          <w:b/>
          <w:bCs/>
          <w:color w:val="1F3864"/>
          <w:sz w:val="24"/>
          <w:szCs w:val="24"/>
        </w:rPr>
        <w:t xml:space="preserve">Climate Fiscal Team</w:t>
      </w:r>
    </w:p>
    <w:p>
      <w:pPr>
        <w:spacing w:after="0" w:before="0"/>
      </w:pPr>
      <w:r>
        <w:rPr>
          <w:rFonts w:ascii="Calibri" w:cs="Calibri" w:eastAsia="Calibri" w:hAnsi="Calibri"/>
          <w:color w:val="595959"/>
          <w:sz w:val="22"/>
          <w:szCs w:val="22"/>
        </w:rPr>
        <w:t xml:space="preserve">Working paper · Draft for discussion · July 2026</w:t>
      </w:r>
    </w:p>
    <w:p>
      <w:pPr>
        <w:pBdr>
          <w:top w:val="single" w:color="BFBFBF" w:sz="6" w:space="10"/>
        </w:pBdr>
        <w:spacing w:after="0" w:before="5200"/>
      </w:pPr>
      <w:r>
        <w:rPr>
          <w:rFonts w:ascii="Calibri" w:cs="Calibri" w:eastAsia="Calibri" w:hAnsi="Calibri"/>
          <w:i/>
          <w:iCs/>
          <w:color w:val="595959"/>
          <w:sz w:val="19"/>
          <w:szCs w:val="19"/>
        </w:rPr>
        <w:t xml:space="preserve">This diagnostic reads Sierra Leone's excise schedule line by line, scales each rate onto three comparable measures, and identifies where the schedule's logic strains. It is pre-analytical by design: it surfaces erosion, gaps and anomalies, and converts them into a sequenced reform pathway, without adjudicating the desirability of any single rate.</w:t>
      </w:r>
    </w:p>
    <w:p>
      <w:pPr>
        <w:pStyle w:val="Heading1"/>
        <w:keepNext/>
        <w:pageBreakBefore/>
        <w:spacing w:after="160" w:before="0"/>
      </w:pPr>
      <w:r>
        <w:t xml:space="preserve">Executive summary</w:t>
      </w:r>
    </w:p>
    <w:p>
      <w:pPr>
        <w:spacing w:after="140" w:line="276"/>
        <w:jc w:val="both"/>
      </w:pPr>
      <w:r>
        <w:t xml:space="preserve">Sierra Leone has spent three years rebuilding its fiscal position from a difficult base, and excise policy has quietly been one of the instruments doing the work. This diagnostic reads the country's excise schedule as it stands after the Finance Act, 2026, scales each line onto measures that are comparable across sectors and against international peers, and sets out where the next increments of revenue and policy coherence can be found. It is deliberately a diagnostic rather than a reform blueprint: it surfaces what is there, what is missing, and what is moving, and only then draws the findings together into a pathway.</w:t>
      </w:r>
    </w:p>
    <w:p>
      <w:pPr>
        <w:pStyle w:val="Heading2"/>
        <w:keepNext/>
        <w:spacing w:after="120" w:before="260"/>
      </w:pPr>
      <w:r>
        <w:t xml:space="preserve">The fiscal setting</w:t>
      </w:r>
    </w:p>
    <w:p>
      <w:pPr>
        <w:spacing w:after="140" w:line="276"/>
        <w:jc w:val="both"/>
      </w:pPr>
      <w:r>
        <w:t xml:space="preserve">The macro-fiscal backdrop is one of hard-won stabilisation that is not yet secure. </w:t>
      </w:r>
      <w:r>
        <w:rPr>
          <w:b/>
          <w:bCs/>
        </w:rPr>
        <w:t xml:space="preserve">Since 2022 the authorities have strengthened the domestic primary balance by roughly seven percentage points of GDP, of which about 3.5 points came from tax-revenue gains.</w:t>
      </w:r>
      <w:r>
        <w:t xml:space="preserve"> The overall fiscal deficit narrowed to about 4.3 per cent of GDP in 2025 from 5.1 per cent in 2024, and the primary balance moved into a small surplus of around 0.5 per cent of GDP. Inflation fell to a multi-decade low near the end of 2025 before rebounding into 2026 as fuel-pump prices were raised. Public debt sits at around 46 per cent of GDP, sustainable but with the risk of debt distress still assessed as high.</w:t>
      </w:r>
    </w:p>
    <w:p>
      <w:pPr>
        <w:spacing w:after="140" w:line="276"/>
        <w:jc w:val="both"/>
      </w:pPr>
      <w:r>
        <w:t xml:space="preserve">Against that progress, two structural weaknesses persist. </w:t>
      </w:r>
      <w:r>
        <w:rPr>
          <w:b/>
          <w:bCs/>
        </w:rPr>
        <w:t xml:space="preserve">First, the revenue base remains narrow</w:t>
      </w:r>
      <w:r>
        <w:t xml:space="preserve"> — total revenue including grants is around 13 per cent of GDP, low even by low-income-country standards, and the first quarter of 2026 saw revenue underperform its target by roughly 10 per cent on weak compliance. </w:t>
      </w:r>
      <w:r>
        <w:rPr>
          <w:b/>
          <w:bCs/>
        </w:rPr>
        <w:t xml:space="preserve">Second, the real value of specific taxes erodes continuously</w:t>
      </w:r>
      <w:r>
        <w:t xml:space="preserve"> because inflation, though lower than in 2023–24, remains in the high single digits to low double digits and no automatic indexation is in place. Excise is not a large enough instrument to resolve either problem on its own, but it is one of the few levers that is administratively concentrated, politically defensible on health and environmental grounds, and capable of yielding meaningful revenue from a small number of well-understood tariff lines.</w:t>
      </w:r>
    </w:p>
    <w:p>
      <w:pPr>
        <w:pStyle w:val="Heading2"/>
        <w:keepNext/>
        <w:spacing w:after="120" w:before="260"/>
      </w:pPr>
      <w:r>
        <w:t xml:space="preserve">What the diagnostic finds</w:t>
      </w:r>
    </w:p>
    <w:p>
      <w:pPr>
        <w:spacing w:after="140" w:line="276"/>
        <w:jc w:val="both"/>
      </w:pPr>
      <w:r>
        <w:t xml:space="preserve">Read on the three comparable measures used throughout this paper — excise in US dollars per standardised physical unit, excise as a share of consumer price, and implied excise revenue as a share of GDP — Sierra Leone's schedule shows a consistent pattern. </w:t>
      </w:r>
      <w:r>
        <w:rPr>
          <w:b/>
          <w:bCs/>
        </w:rPr>
        <w:t xml:space="preserve">The priority-sector excise base is thin: energy, tobacco, alcohol and sugar-sweetened beverages together raise on the order of 0.7 to 0.9 per cent of GDP, with fuel accounting for the great majority of that.</w:t>
      </w:r>
      <w:r>
        <w:t xml:space="preserve"> Rate intensity sits well below international peers across every priority category. Fuel excise is around 18 per cent of the pump price against an OECD range of 30 to 50 per cent; cigarette excise is around 10 to 15 per cent of the retail pack price against the WHO benchmark of at least 75 per cent; sugar-sweetened beverages are essentially untaxed outside energy drinks and imported juice.</w:t>
      </w:r>
    </w:p>
    <w:p>
      <w:pPr>
        <w:spacing w:after="140" w:line="276"/>
        <w:jc w:val="both"/>
      </w:pPr>
      <w:r>
        <w:t xml:space="preserve">The single most important recent development is not in the rate schedule at all but in the pricing regime around it. </w:t>
      </w:r>
      <w:r>
        <w:rPr>
          <w:b/>
          <w:bCs/>
        </w:rPr>
        <w:t xml:space="preserve">Fuel excise revenue roughly tripled as a share of GDP — from about 0.4 per cent over 2021–23 to around 1.1 per cent in 2025 — following the 2024 pricing reform</w:t>
      </w:r>
      <w:r>
        <w:t xml:space="preserve">, which replaced a thirty-year-old formula and brought domestic prices closer to international pass-through. The Finance Act, 2026 then restated the entire petroleum schedule, aligning petrol and diesel at NLe 5.00 per litre and carving out liquefied petroleum gas on clean-cooking grounds. The revenue gain is real, but it is fragile: because the rates are fixed nominal amounts with no indexation, their real value falls every year between Finance Acts, and the 14 per cent and 12 per cent pump-price increases of early 2026 illustrate how quickly the headline numbers move.</w:t>
      </w:r>
    </w:p>
    <w:p>
      <w:pPr>
        <w:spacing w:after="140" w:line="276"/>
        <w:jc w:val="both"/>
      </w:pPr>
      <w:r>
        <w:t xml:space="preserve">The diagnostic also surfaces one structural anomaly invisible on the face of the schedule: several wine lines remain quoted in Old Leones and appear not to have been redenominated through two subsequent Finance Acts, so that at face value wine is taxed at a rate close to zero. This is almost certainly a drafting oversight rather than a policy choice, and it is flagged here as a matter to be verified rather than relied upon.</w:t>
      </w:r>
    </w:p>
    <w:p>
      <w:pPr>
        <w:pStyle w:val="Heading2"/>
        <w:keepNext/>
        <w:spacing w:after="120" w:before="260"/>
      </w:pPr>
      <w:r>
        <w:t xml:space="preserve">Recommendations in excise terms</w:t>
      </w:r>
    </w:p>
    <w:p>
      <w:pPr>
        <w:spacing w:after="100" w:line="276"/>
        <w:jc w:val="both"/>
      </w:pPr>
      <w:r>
        <w:t xml:space="preserve">The reform pathway set out in Section 5 is sequenced by administrative readiness and political tractability rather than by headline yield. In descending order of revenue potential, the levers are:</w:t>
      </w:r>
    </w:p>
    <w:p>
      <w:pPr>
        <w:pStyle w:val="ListParagraph"/>
        <w:numPr>
          <w:ilvl w:val="0"/>
          <w:numId w:val="2"/>
        </w:numPr>
        <w:spacing w:after="90" w:line="276"/>
      </w:pPr>
      <w:r>
        <w:rPr>
          <w:b/>
          <w:bCs/>
        </w:rPr>
        <w:t xml:space="preserve">Extend GST to transport fuels. </w:t>
      </w:r>
      <w:r>
        <w:t xml:space="preserve">Petrol and diesel currently sit outside the Goods and Services Tax base. Bringing them in is the single largest revenue lever available on the fuel side and has been identified as such in the IMF's Climate Policy Diagnostic. It requires no change to the excise schedule itself.</w:t>
      </w:r>
    </w:p>
    <w:p>
      <w:pPr>
        <w:pStyle w:val="ListParagraph"/>
        <w:numPr>
          <w:ilvl w:val="0"/>
          <w:numId w:val="2"/>
        </w:numPr>
        <w:spacing w:after="90" w:line="276"/>
      </w:pPr>
      <w:r>
        <w:rPr>
          <w:b/>
          <w:bCs/>
        </w:rPr>
        <w:t xml:space="preserve">Index specific rates to inflation. </w:t>
      </w:r>
      <w:r>
        <w:t xml:space="preserve">The absence of any indexation mechanism is the schedule's central structural weakness. A simple formula in the Excise Act — annual adjustment by CPI, or by a blend of CPI and the Leone–dollar rate — would convert a series of one-off catch-up amendments into sustained real revenue, and could be operated through the National Petroleum Regulatory Authority's existing price-review cadence.</w:t>
      </w:r>
    </w:p>
    <w:p>
      <w:pPr>
        <w:pStyle w:val="ListParagraph"/>
        <w:numPr>
          <w:ilvl w:val="0"/>
          <w:numId w:val="2"/>
        </w:numPr>
        <w:spacing w:after="90" w:line="276"/>
      </w:pPr>
      <w:r>
        <w:rPr>
          <w:b/>
          <w:bCs/>
        </w:rPr>
        <w:t xml:space="preserve">Lift tobacco excise toward regional norms. </w:t>
      </w:r>
      <w:r>
        <w:t xml:space="preserve">At around USD 0.14 per pack, cigarette excise is far below the WHO benchmark and below regional peers. Because Sierra Leone has no domestic tobacco industry, there is no organised production lobby to resist increases; a phased path of successive Finance Acts at, say, plus 30 per cent each would close much of the gap with limited political cost. The base is small, so the yield is modest, but the public-health case is strong.</w:t>
      </w:r>
    </w:p>
    <w:p>
      <w:pPr>
        <w:pStyle w:val="ListParagraph"/>
        <w:numPr>
          <w:ilvl w:val="0"/>
          <w:numId w:val="2"/>
        </w:numPr>
        <w:spacing w:after="90" w:line="276"/>
      </w:pPr>
      <w:r>
        <w:rPr>
          <w:b/>
          <w:bCs/>
        </w:rPr>
        <w:t xml:space="preserve">Introduce a sugar-content-graduated SSB excise. </w:t>
      </w:r>
      <w:r>
        <w:t xml:space="preserve">General soft drinks are untaxed. A sugar-content-graduated levy on the UK model would plug the clearest gap relative to peers, create a reformulation incentive for bottlers, and add a modest new revenue line.</w:t>
      </w:r>
    </w:p>
    <w:p>
      <w:pPr>
        <w:pStyle w:val="ListParagraph"/>
        <w:numPr>
          <w:ilvl w:val="0"/>
          <w:numId w:val="2"/>
        </w:numPr>
        <w:spacing w:after="90" w:line="276"/>
      </w:pPr>
      <w:r>
        <w:rPr>
          <w:b/>
          <w:bCs/>
        </w:rPr>
        <w:t xml:space="preserve">Add an emissions- or age-graduated component to vehicle taxation. </w:t>
      </w:r>
      <w:r>
        <w:t xml:space="preserve">The new annual circulation levy is a base to build on, but it carries no environmental signal. An emissions-, engine-capacity- or age-graduated component on imported vehicles would address fleet composition — where the used-import dominance and absence of an age limit is the largest structural gap — without a Gruenspecht effect.</w:t>
      </w:r>
    </w:p>
    <w:p>
      <w:pPr>
        <w:spacing w:after="140" w:line="276"/>
        <w:jc w:val="both"/>
      </w:pPr>
      <w:r>
        <w:t xml:space="preserve">A more ambitious option, discussed in Section 5, is to recast the specific fuel excise as an explicit carbon-content excise expressed in Leones per tonne of carbon dioxide. This is arithmetically close to the current specific rates but changes the framing: it ties the instrument to Sierra Leone's NDC 3.0 commitment (a 36.2 per cent reduction against business-as-usual by 2035) and improves positioning for climate finance and Article 6 transactions. The diagnostic presents this as a direction of travel rather than an immediate recommendation.</w:t>
      </w:r>
    </w:p>
    <w:p>
      <w:pPr>
        <w:spacing w:after="140" w:line="276"/>
        <w:jc w:val="both"/>
      </w:pPr>
      <w:r>
        <w:rPr>
          <w:b/>
          <w:bCs/>
        </w:rPr>
        <w:t xml:space="preserve">The through-line is this: </w:t>
      </w:r>
      <w:r>
        <w:t xml:space="preserve">the 2024–2026 reforms delivered a genuine step-change in fuel-excise revenue, but they did so mainly through the pricing regime, and the gain will erode without indexation. The near-term agenda is to protect what has been won — through indexation and the GST extension — and then to broaden the base incrementally on health and environmental lines where the rate gap to peers is largest and the political resistance is weakest.</w:t>
      </w:r>
    </w:p>
    <w:p>
      <w:pPr>
        <w:pStyle w:val="Heading1"/>
        <w:keepNext/>
        <w:pageBreakBefore/>
        <w:spacing w:after="160" w:before="0"/>
      </w:pPr>
      <w:r>
        <w:t xml:space="preserve">1. What an excise diagnostic is, and what it is for</w:t>
      </w:r>
    </w:p>
    <w:p>
      <w:pPr>
        <w:spacing w:after="140" w:line="276"/>
        <w:jc w:val="both"/>
      </w:pPr>
      <w:r>
        <w:t xml:space="preserve">An excise diagnostic is a structured snapshot of a country's excise duty schedule, organised so that the schedule's underlying logic — and where that logic strains — becomes visible at a glance. It is not a revenue forecast, an incidence study, or a fiscal-impact assessment. It is a diagnostic in the medical sense: a clinician's first-pass examination, designed to surface what is there, what is missing, and what is moving.</w:t>
      </w:r>
    </w:p>
    <w:p>
      <w:pPr>
        <w:spacing w:after="140" w:line="276"/>
        <w:jc w:val="both"/>
      </w:pPr>
      <w:r>
        <w:t xml:space="preserve">Most excise schedules in low- and middle-income countries are accretive documents. They begin life narrow, organised around a small set of products that were easy to tax at the factory gate or the port a generation ago — alcohol, tobacco, fuel, perhaps a handful of luxury goods. They then grow line by line as finance ministries hunt for revenue, as health ministries push for tobacco and alcohol increases, as environment ministries discover plastics, and as digital and financial-services regulators try to draw mobile money and telecommunications into the net. The result, after a decade or two of annual amendments, is a schedule that nobody fully owns and that few can read end to end. Sierra Leone's Excise Act, 1982 — amended almost every year through the annual Finance Acts — is a characteristic example.</w:t>
      </w:r>
    </w:p>
    <w:p>
      <w:pPr>
        <w:spacing w:after="100" w:line="276"/>
        <w:jc w:val="both"/>
      </w:pPr>
      <w:r>
        <w:t xml:space="preserve">The diagnostic addresses that legibility problem. It does five things.</w:t>
      </w:r>
    </w:p>
    <w:p>
      <w:pPr>
        <w:spacing w:after="140" w:line="276"/>
        <w:jc w:val="both"/>
      </w:pPr>
      <w:r>
        <w:rPr>
          <w:b/>
          <w:bCs/>
        </w:rPr>
        <w:t xml:space="preserve">Categorises. </w:t>
      </w:r>
      <w:r>
        <w:t xml:space="preserve">It groups every line in the schedule into a small set of policy categories — energy and environment; health (tobacco, alcohol, sugar-sweetened beverages); luxury; telecommunications and digital; financial transactions; industrial-input residuals; and resource or extractive. The categorisation forces an answer to the question “what is this excise for?” — a question schedules rarely answer for themselves.</w:t>
      </w:r>
    </w:p>
    <w:p>
      <w:pPr>
        <w:spacing w:after="140" w:line="276"/>
        <w:jc w:val="both"/>
      </w:pPr>
      <w:r>
        <w:rPr>
          <w:b/>
          <w:bCs/>
        </w:rPr>
        <w:t xml:space="preserve">Standardises. </w:t>
      </w:r>
      <w:r>
        <w:t xml:space="preserve">It records each line on a consistent set of fields: rate, structure (specific, ad valorem, hybrid), differentiation (by origin, content, user, ABV band), and recent changes. This makes the schedule comparable across categories, across time, and against other countries.</w:t>
      </w:r>
    </w:p>
    <w:p>
      <w:pPr>
        <w:spacing w:after="140" w:line="276"/>
        <w:jc w:val="both"/>
      </w:pPr>
      <w:r>
        <w:rPr>
          <w:b/>
          <w:bCs/>
        </w:rPr>
        <w:t xml:space="preserve">Surfaces erosion. </w:t>
      </w:r>
      <w:r>
        <w:t xml:space="preserve">Specific rates that are not indexed to inflation lose real value year by year. The diagnostic tracks the catch-up amendments and makes the erosion-and-restoration cycle visible. In a country with Sierra Leone's inflation history, this is the single most consequential thing the diagnostic does.</w:t>
      </w:r>
    </w:p>
    <w:p>
      <w:pPr>
        <w:spacing w:after="140" w:line="276"/>
        <w:jc w:val="both"/>
      </w:pPr>
      <w:r>
        <w:rPr>
          <w:b/>
          <w:bCs/>
        </w:rPr>
        <w:t xml:space="preserve">Surfaces gaps. </w:t>
      </w:r>
      <w:r>
        <w:t xml:space="preserve">When the typology is laid alongside the schedule, missing categories become obvious. A country with no sugar-content-graduated SSB excise, or no emissions component in its vehicle taxation, is making a policy choice — and the diagnostic puts that choice on the page.</w:t>
      </w:r>
    </w:p>
    <w:p>
      <w:pPr>
        <w:spacing w:after="140" w:line="276"/>
        <w:jc w:val="both"/>
      </w:pPr>
      <w:r>
        <w:rPr>
          <w:b/>
          <w:bCs/>
        </w:rPr>
        <w:t xml:space="preserve">Surfaces incoherence. </w:t>
      </w:r>
      <w:r>
        <w:t xml:space="preserve">Differentiation devices accumulate without coordination. Local-content discounts, ABV bands, origin distinctions, unredenominated legacy rates — when stacked, they can produce rate inversions, arbitrage opportunities, and administrative friction. The diagnostic does not solve these problems but makes them visible.</w:t>
      </w:r>
    </w:p>
    <w:p>
      <w:pPr>
        <w:spacing w:after="140" w:line="276"/>
        <w:jc w:val="both"/>
      </w:pPr>
      <w:r>
        <w:t xml:space="preserve">The diagnostic is intentionally pre-analytical. It does not say whether a rate is too high or too low, whether a category is justified, or whether a reform is desirable. It produces a clean, comparable, structured representation of the schedule, on which subsequent analysis — revenue projections, incidence work, behavioural-response modelling, country-engagement advice — can build. It is a way of organising knowledge that already exists in the schedule but is not yet usable.</w:t>
      </w:r>
    </w:p>
    <w:p>
      <w:pPr>
        <w:pStyle w:val="Heading1"/>
        <w:keepNext/>
        <w:spacing w:after="160" w:before="360"/>
      </w:pPr>
      <w:r>
        <w:t xml:space="preserve">2. Three measures for comparability</w:t>
      </w:r>
    </w:p>
    <w:p>
      <w:pPr>
        <w:spacing w:after="140" w:line="276"/>
        <w:jc w:val="both"/>
      </w:pPr>
      <w:r>
        <w:t xml:space="preserve">The schedule on its own — a list of rates, in local-currency units, against locally defined products — is not directly comparable across sectors, across time, or against other countries. To make excise lines comparable, this paper scales each rate in three complementary ways.</w:t>
      </w:r>
    </w:p>
    <w:p>
      <w:pPr>
        <w:pStyle w:val="Heading3"/>
        <w:keepNext/>
        <w:spacing w:after="80" w:before="180"/>
      </w:pPr>
      <w:r>
        <w:t xml:space="preserve">2.1 Excise per standardised physical unit (USD)</w:t>
      </w:r>
    </w:p>
    <w:p>
      <w:pPr>
        <w:spacing w:after="140" w:line="276"/>
        <w:jc w:val="both"/>
      </w:pPr>
      <w:r>
        <w:t xml:space="preserve">The rate, converted to US dollars, expressed per physical unit appropriate to the line: per litre for fuel, per litre of pure alcohol for alcoholic beverages, per pack of twenty sticks for cigarettes, per kilogram for cement and tobacco leaf. This is the most robust comparator and the easiest to cross-reference against international benchmarks. It is unaffected by the differentiation structure — a hybrid higher-of rate is converted to the binding rate at typical prices, an ABV-banded rate is evaluated at a representative ABV — and so cuts through architectural differences between schedules. Its weakness is that it loses information about whether the rate is specific or ad valorem, which matters for inflation behaviour.</w:t>
      </w:r>
    </w:p>
    <w:p>
      <w:pPr>
        <w:pStyle w:val="Heading3"/>
        <w:keepNext/>
        <w:spacing w:after="80" w:before="180"/>
      </w:pPr>
      <w:r>
        <w:t xml:space="preserve">2.2 Excise as a percentage of consumer price</w:t>
      </w:r>
    </w:p>
    <w:p>
      <w:pPr>
        <w:spacing w:after="140" w:line="276"/>
        <w:jc w:val="both"/>
      </w:pPr>
      <w:r>
        <w:t xml:space="preserve">The rate divided by the typical retail price of the taxed good — pump price for fuel, retail pack price for cigarettes, retail bottle price for alcohol and SSBs. This measure speaks directly to affordability and to pass-through: it is the share of what the consumer pays that goes to excise. It is the standard health-policy comparator (the WHO benchmark for tobacco is at least 75 per cent of retail price as excise) and the standard energy-policy comparator (OECD fuel excise typically runs 30 to 50 per cent of the pump price). Its weakness is that it depends on the chosen reference price, which moves materially within a year and between market segments.</w:t>
      </w:r>
    </w:p>
    <w:p>
      <w:pPr>
        <w:pStyle w:val="Heading3"/>
        <w:keepNext/>
        <w:spacing w:after="80" w:before="180"/>
      </w:pPr>
      <w:r>
        <w:t xml:space="preserve">2.3 Implied excise revenue as a percentage of GDP</w:t>
      </w:r>
    </w:p>
    <w:p>
      <w:pPr>
        <w:spacing w:after="140" w:line="276"/>
        <w:jc w:val="both"/>
      </w:pPr>
      <w:r>
        <w:t xml:space="preserve">Rate multiplied by estimated annual consumption volume, divided by nominal GDP. This is the macroeconomic comparator — how much revenue the line generates relative to the size of the economy. It is the most informative measure for international fiscal comparison but also the most error-prone, because it depends on consumption volumes that are usually not published at the tariff-line level. Implied figures are sensitive to volume assumptions, so ranges are reported where the volume is uncertain. Where reported revenue is available it should be preferred; this paper uses implied figures because line-level excise revenue is not published in Sierra Leone.</w:t>
      </w:r>
    </w:p>
    <w:p>
      <w:pPr>
        <w:spacing w:after="140" w:line="276"/>
        <w:jc w:val="both"/>
      </w:pPr>
      <w:r>
        <w:t xml:space="preserve">The three measures are complementary. The dollar-per-unit measure is best for international comparison; the share-of-consumer-price measure is best for domestic policy debate; the share-of-GDP measure is best for macro-fiscal framing. Read together, they triangulate the policy intensity of an excise line: a rate that looks low in dollar-per-unit terms but high as a share of consumer price tells a different story from one that looks the opposite way around.</w:t>
      </w:r>
    </w:p>
    <w:p>
      <w:pPr>
        <w:pStyle w:val="Heading1"/>
        <w:keepNext/>
        <w:spacing w:after="160" w:before="360"/>
      </w:pPr>
      <w:r>
        <w:t xml:space="preserve">3. Methodology</w:t>
      </w:r>
    </w:p>
    <w:p>
      <w:pPr>
        <w:pStyle w:val="Heading2"/>
        <w:keepNext/>
        <w:spacing w:after="120" w:before="260"/>
      </w:pPr>
      <w:r>
        <w:t xml:space="preserve">3.1 Coverage</w:t>
      </w:r>
    </w:p>
    <w:p>
      <w:pPr>
        <w:spacing w:after="140" w:line="276"/>
        <w:jc w:val="both"/>
      </w:pPr>
      <w:r>
        <w:t xml:space="preserve">The diagnostic covers Sierra Leone at a single point in time: the law in force under the Excise Act, 1982 as amended through the Finance Act, 2026, which was assented to by President Bio on 29 December 2025, gazetted on 7 January 2026, and took effect on 1 January 2026. Within the schedule, every excisable line is included. Where lines have been administratively grouped, the grouping in the schedule is preserved. The diagnostic also notes adjacent fiscal instruments that function as excises in economic substance — the regulatory cellular levies introduced under the Finance Act, 2023, and the vehicle annual circulation levy introduced in the Finance Act, 2026 — even where they sit outside the Excise Act. Uganda figures are retained in the worked computations of Appendix C purely as a regional comparator; the diagnostic itself is of Sierra Leone.</w:t>
      </w:r>
    </w:p>
    <w:p>
      <w:pPr>
        <w:pStyle w:val="Heading2"/>
        <w:keepNext/>
        <w:spacing w:after="120" w:before="260"/>
      </w:pPr>
      <w:r>
        <w:t xml:space="preserve">3.2 Typology</w:t>
      </w:r>
    </w:p>
    <w:p>
      <w:pPr>
        <w:spacing w:after="140" w:line="276"/>
        <w:jc w:val="both"/>
      </w:pPr>
      <w:r>
        <w:t xml:space="preserve">Each line is assigned to one of seven categories: energy and environment; health (tobacco, alcohol, sugar-sweetened beverages); luxury; telecommunications and digital; financial transactions; industrial-input and “nuisance” residuals; and resource or extractive. The categorisation is by stated or implicit policy rationale, not by HS code or schedule placement. Lines that could fit two categories are assigned to the dominant rationale (a vehicle levy goes under transport or energy rather than luxury; a gambling excise goes under health rather than luxury). A small number of procedural provisions — payment-window and filing rules — are categorised separately as procedural.</w:t>
      </w:r>
    </w:p>
    <w:p>
      <w:pPr>
        <w:pStyle w:val="Heading2"/>
        <w:keepNext/>
        <w:spacing w:after="120" w:before="260"/>
      </w:pPr>
      <w:r>
        <w:t xml:space="preserve">3.3 Recording each line</w:t>
      </w:r>
    </w:p>
    <w:p>
      <w:pPr>
        <w:spacing w:after="140" w:line="276"/>
        <w:jc w:val="both"/>
      </w:pPr>
      <w:r>
        <w:t xml:space="preserve">Each line is recorded on five fields: </w:t>
      </w:r>
      <w:r>
        <w:rPr>
          <w:i/>
          <w:iCs/>
        </w:rPr>
        <w:t xml:space="preserve">category </w:t>
      </w:r>
      <w:r>
        <w:t xml:space="preserve">(per the typology above); </w:t>
      </w:r>
      <w:r>
        <w:rPr>
          <w:i/>
          <w:iCs/>
        </w:rPr>
        <w:t xml:space="preserve">item </w:t>
      </w:r>
      <w:r>
        <w:t xml:space="preserve">(the name of the good or service as it appears in the schedule); </w:t>
      </w:r>
      <w:r>
        <w:rPr>
          <w:i/>
          <w:iCs/>
        </w:rPr>
        <w:t xml:space="preserve">current rate </w:t>
      </w:r>
      <w:r>
        <w:t xml:space="preserve">(in local-currency units, at the cut-off date); </w:t>
      </w:r>
      <w:r>
        <w:rPr>
          <w:i/>
          <w:iCs/>
        </w:rPr>
        <w:t xml:space="preserve">structure and differentiation </w:t>
      </w:r>
      <w:r>
        <w:t xml:space="preserve">(specific, ad valorem or hybrid; differentiation by origin, content, user, ABV band); and </w:t>
      </w:r>
      <w:r>
        <w:rPr>
          <w:i/>
          <w:iCs/>
        </w:rPr>
        <w:t xml:space="preserve">recent changes </w:t>
      </w:r>
      <w:r>
        <w:t xml:space="preserve">(the trajectory since 2020, with each Finance Act noted).</w:t>
      </w:r>
    </w:p>
    <w:p>
      <w:pPr>
        <w:pStyle w:val="Heading2"/>
        <w:keepNext/>
        <w:spacing w:after="120" w:before="260"/>
      </w:pPr>
      <w:r>
        <w:t xml:space="preserve">3.4 Computing the three measures</w:t>
      </w:r>
    </w:p>
    <w:p>
      <w:pPr>
        <w:pStyle w:val="Heading3"/>
        <w:keepNext/>
        <w:spacing w:after="80" w:before="180"/>
      </w:pPr>
      <w:r>
        <w:t xml:space="preserve">3.4.1 Currency conversion</w:t>
      </w:r>
    </w:p>
    <w:p>
      <w:pPr>
        <w:spacing w:after="140" w:line="276"/>
        <w:jc w:val="both"/>
      </w:pPr>
      <w:r>
        <w:t xml:space="preserve">Rates are converted to US dollars at a working exchange rate of NLe 22 per US dollar, a mid-rate in force around the cut-off date and consistent with the observed average of about NLe 22.6 through the first half of 2025. Sierra Leone redenominated the Leone in April 2022 at 1,000 Old Leones to one New Leone. Rates still quoted in the schedule in Old Leones are converted on the assumption that the redenomination has not been formally applied to those lines (so Le X per litre is treated as nominally NLe X divided by 1,000 per litre) and explicitly flagged where the result is anomalous.</w:t>
      </w:r>
    </w:p>
    <w:p>
      <w:pPr>
        <w:pStyle w:val="Heading3"/>
        <w:keepNext/>
        <w:spacing w:after="80" w:before="180"/>
      </w:pPr>
      <w:r>
        <w:t xml:space="preserve">3.4.2 Standardising physical units</w:t>
      </w:r>
    </w:p>
    <w:p>
      <w:pPr>
        <w:spacing w:after="140" w:line="276"/>
        <w:jc w:val="both"/>
      </w:pPr>
      <w:r>
        <w:t xml:space="preserve">Where the schedule uses a non-standard unit, the rate is converted to a standard one. Cigarette rates per 1,000 sticks are converted to per pack of twenty. Specific alcohol rates per litre of product are converted to per litre of pure alcohol (LPA) by dividing by the representative ABV (5 per cent for beer, 12 per cent for wine, 40 per cent for spirits). Hybrid higher-of rates are evaluated at a representative price and the binding component reported. The conversions are documented in the worked tables in Appendix C.</w:t>
      </w:r>
    </w:p>
    <w:p>
      <w:pPr>
        <w:pStyle w:val="Heading3"/>
        <w:keepNext/>
        <w:spacing w:after="80" w:before="180"/>
      </w:pPr>
      <w:r>
        <w:t xml:space="preserve">3.4.3 Reference prices for the share-of-consumer-price measure</w:t>
      </w:r>
    </w:p>
    <w:p>
      <w:pPr>
        <w:spacing w:after="140" w:line="276"/>
        <w:jc w:val="both"/>
      </w:pPr>
      <w:r>
        <w:t xml:space="preserve">Consumer prices are taken from the most recent published source closest to the cut-off date. Fuel pump prices: NLe 28 per litre for petrol and diesel (National Petroleum Regulatory Authority, September 2024), with diesel at approximately NLe 27.4 per litre (about USD 1.39) per GlobalPetrolPrices, November 2025. Cigarette retail is estimated at about NLe 22 per pack. Alcohol and SSB retail prices are estimated from market surveys and import data and are best-estimate ranges rather than point estimates. The pump-price increases of early 2026 (about 14 per cent in January and 12 per cent in March) postdate the reference prices used and would, if anything, lower the excise-to-price ratios reported here.</w:t>
      </w:r>
    </w:p>
    <w:p>
      <w:pPr>
        <w:pStyle w:val="Heading3"/>
        <w:keepNext/>
        <w:spacing w:after="80" w:before="180"/>
      </w:pPr>
      <w:r>
        <w:t xml:space="preserve">3.4.4 Volumes for the implied-revenue measure</w:t>
      </w:r>
    </w:p>
    <w:p>
      <w:pPr>
        <w:spacing w:after="140" w:line="276"/>
        <w:jc w:val="both"/>
      </w:pPr>
      <w:r>
        <w:rPr>
          <w:b/>
          <w:bCs/>
        </w:rPr>
        <w:t xml:space="preserve">Fuel: </w:t>
      </w:r>
      <w:r>
        <w:t xml:space="preserve">approximately 524 million litres of total petroleum sales (Petroleum Regulatory Authority, 2023), assumed to have grown about 10 per cent to roughly 575 million litres by 2026; the petrol–diesel split is assumed at roughly 50:50 in the absence of a published breakdown. </w:t>
      </w:r>
      <w:r>
        <w:rPr>
          <w:b/>
          <w:bCs/>
        </w:rPr>
        <w:t xml:space="preserve">Cigarettes: </w:t>
      </w:r>
      <w:r>
        <w:t xml:space="preserve">Sierra Leone has no domestic tobacco production and all consumption is imported; prevalence is reported in older sources at 3 to 5 per cent of adults, giving on the order of 120,000 to 200,000 smokers and roughly 0.5 to 1.0 billion sticks per year. </w:t>
      </w:r>
      <w:r>
        <w:rPr>
          <w:b/>
          <w:bCs/>
        </w:rPr>
        <w:t xml:space="preserve">Alcohol: </w:t>
      </w:r>
      <w:r>
        <w:t xml:space="preserve">the WHO Global Status Report estimates total adult per-capita consumption at about 6.7 litres of pure alcohol per year, mostly informal and home-brewed; the volume captured by the formal excise net is a fraction of this, perhaps 30 to 40 per cent. </w:t>
      </w:r>
      <w:r>
        <w:rPr>
          <w:b/>
          <w:bCs/>
        </w:rPr>
        <w:t xml:space="preserve">SSBs: </w:t>
      </w:r>
      <w:r>
        <w:t xml:space="preserve">no published volume data exist; figures are best-effort estimates from import data and assumed per-capita consumption.</w:t>
      </w:r>
    </w:p>
    <w:p>
      <w:pPr>
        <w:pStyle w:val="Heading3"/>
        <w:keepNext/>
        <w:spacing w:after="80" w:before="180"/>
      </w:pPr>
      <w:r>
        <w:t xml:space="preserve">3.4.5 GDP denominator</w:t>
      </w:r>
    </w:p>
    <w:p>
      <w:pPr>
        <w:spacing w:after="140" w:line="276"/>
        <w:jc w:val="both"/>
      </w:pPr>
      <w:r>
        <w:t xml:space="preserve">The working figure is a nominal GDP of about USD 7.5 to 8.4 billion (World Bank 2024 of USD 7.0 billion; nominal 2025 estimates of about USD 8.4 billion). Using the higher figure would proportionally lower the implied share-of-GDP estimates; ranges reported here should be read with that sensitivity in mind.</w:t>
      </w:r>
    </w:p>
    <w:p>
      <w:pPr>
        <w:pStyle w:val="Heading2"/>
        <w:keepNext/>
        <w:spacing w:after="120" w:before="260"/>
      </w:pPr>
      <w:r>
        <w:t xml:space="preserve">3.5 Limitations and what the diagnostic does not do</w:t>
      </w:r>
    </w:p>
    <w:p>
      <w:pPr>
        <w:spacing w:after="140" w:line="276"/>
        <w:jc w:val="both"/>
      </w:pPr>
      <w:r>
        <w:t xml:space="preserve">Five caveats. </w:t>
      </w:r>
      <w:r>
        <w:rPr>
          <w:b/>
          <w:bCs/>
        </w:rPr>
        <w:t xml:space="preserve">First</w:t>
      </w:r>
      <w:r>
        <w:t xml:space="preserve">, the implied share-of-GDP figures are approximations within a factor of perhaps 1.5, owing to volume uncertainty; reported revenue should always be preferred where available. </w:t>
      </w:r>
      <w:r>
        <w:rPr>
          <w:b/>
          <w:bCs/>
        </w:rPr>
        <w:t xml:space="preserve">Second</w:t>
      </w:r>
      <w:r>
        <w:t xml:space="preserve">, the share-of-consumer-price figures move materially with the chosen reference price; ranges are used where appropriate. </w:t>
      </w:r>
      <w:r>
        <w:rPr>
          <w:b/>
          <w:bCs/>
        </w:rPr>
        <w:t xml:space="preserve">Third</w:t>
      </w:r>
      <w:r>
        <w:t xml:space="preserve">, the diagnostic does not model behavioural response — pass-through, demand elasticity, evasion — so figures are static. </w:t>
      </w:r>
      <w:r>
        <w:rPr>
          <w:b/>
          <w:bCs/>
        </w:rPr>
        <w:t xml:space="preserve">Fourth</w:t>
      </w:r>
      <w:r>
        <w:t xml:space="preserve">, informal and home-produced goods (palm wine, akpeteshi, untaxed cigarettes from neighbouring countries) sit largely outside the formal excise net, so the diagnostic understates the consumption footprint while accurately representing the formal-sector base. </w:t>
      </w:r>
      <w:r>
        <w:rPr>
          <w:b/>
          <w:bCs/>
        </w:rPr>
        <w:t xml:space="preserve">Fifth</w:t>
      </w:r>
      <w:r>
        <w:t xml:space="preserve">, the diagnostic surfaces but does not adjudicate policy choices; it does not pronounce a rate too high or too low.</w:t>
      </w:r>
    </w:p>
    <w:p>
      <w:pPr>
        <w:pStyle w:val="Heading1"/>
        <w:keepNext/>
        <w:pageBreakBefore/>
        <w:spacing w:after="160" w:before="0"/>
      </w:pPr>
      <w:r>
        <w:t xml:space="preserve">4. Results</w:t>
      </w:r>
    </w:p>
    <w:p>
      <w:pPr>
        <w:spacing w:after="140" w:line="276"/>
        <w:jc w:val="both"/>
      </w:pPr>
      <w:r>
        <w:t xml:space="preserve">The full diagnostic — every line in the schedule, on the five fields of Section 3.3 — is in Appendix A. The year-by-year trajectory of the rates from 2020 to the current law is in Appendix B. The worked computations of the three comparable measures, line by line, are in Appendix C, with international benchmarks in Appendix D. This section reports the headline findings.</w:t>
      </w:r>
    </w:p>
    <w:p>
      <w:pPr>
        <w:pStyle w:val="Heading2"/>
        <w:keepNext/>
        <w:spacing w:after="120" w:before="260"/>
      </w:pPr>
      <w:r>
        <w:t xml:space="preserve">4.1 Energy and vehicles</w:t>
      </w:r>
    </w:p>
    <w:p>
      <w:pPr>
        <w:spacing w:after="140" w:line="276"/>
        <w:jc w:val="both"/>
      </w:pPr>
      <w:r>
        <w:t xml:space="preserve">Fuel is the largest excise line in the schedule and the one where the recent story is most striking. On the dollar-per-unit measure, petrol and diesel are taxed at NLe 5.00 per litre, about USD 0.23, with kerosene at NLe 2.00 (about USD 0.09) and fuel oil at NLe 7.40 (about USD 0.34). On the share-of-pump-price measure, petrol and diesel excise runs at roughly 18 per cent — below the OECD range of 30 to 50 per cent, though Sierra Leonean pump prices are high in dollar terms because of landed costs rather than tax. On the implied share-of-GDP measure, fuel excise raises on the order of 0.6 per cent of GDP on the schedule rates used here.</w:t>
      </w:r>
    </w:p>
    <w:p>
      <w:pPr>
        <w:spacing w:after="140" w:line="276"/>
        <w:jc w:val="both"/>
      </w:pPr>
      <w:r>
        <w:rPr>
          <w:b/>
          <w:bCs/>
        </w:rPr>
        <w:t xml:space="preserve">The headline development, however, sits outside the rate schedule. </w:t>
      </w:r>
      <w:r>
        <w:t xml:space="preserve">Fuel excise revenue rose from an average of about 0.4 per cent of GDP over 2021–23 to around 1.1 per cent in 2025 — roughly a trebling in share — following the 2024 pricing reform, which replaced a thirty-year-old formula and brought domestic prices closer to international pass-through. The Finance Act, 2026 then repealed and replaced the entire petroleum section of the schedule, aligning petrol and diesel at NLe 5.00 and carving out liquefied petroleum gas on clean-cooking grounds. The revenue gain came through the pricing regime rather than through rate increases, and because the rates carry no indexation, their real value erodes between Finance Acts — a fragility underscored by the pump-price increases of early 2026.</w:t>
      </w:r>
    </w:p>
    <w:p>
      <w:pPr>
        <w:spacing w:after="140" w:line="276"/>
        <w:jc w:val="both"/>
      </w:pPr>
      <w:r>
        <w:t xml:space="preserve">Vehicle taxation is structurally weak. The Finance Act, 2026 introduced an annual circulation levy — NLe 500 (about USD 23) for cars, trucks and buses; NLe 200 (about USD 9) for motorbikes; and USD 500 to 1,000 for vessels by capacity — which is a welcome new base but carries no emissions, engine-capacity or age signal. Given the dominance of used imports and the absence of an age limit, an emissions- or age-graduated component is the largest single structural gap on the environmental side.</w:t>
      </w:r>
    </w:p>
    <w:p>
      <w:pPr>
        <w:pStyle w:val="Heading2"/>
        <w:keepNext/>
        <w:spacing w:after="120" w:before="260"/>
      </w:pPr>
      <w:r>
        <w:t xml:space="preserve">4.2 Health — tobacco</w:t>
      </w:r>
    </w:p>
    <w:p>
      <w:pPr>
        <w:spacing w:after="140" w:line="276"/>
        <w:jc w:val="both"/>
      </w:pPr>
      <w:r>
        <w:t xml:space="preserve">Cigarettes are taxed at a single specific rate of NLe 3 per pack of twenty, about USD 0.14, raised 50 per cent from NLe 2 in the Finance Act, 2026. On the share-of-retail measure this is roughly 10 to 15 per cent of the pack price — far below the WHO benchmark of at least 75 per cent. Implied revenue is on the order of 0.02 per cent of GDP, reflecting low measured prevalence and a narrow formal base rather than the rate alone. Because Sierra Leone has no domestic tobacco industry — all product is imported — there is no organised production lobby to resist increases, which makes tobacco one of the more tractable lines on which to build. The Finance Act, 2026 also raised cigars, unmanufactured and other manufactured tobacco, shisha and e-cigarette rates by roughly 50 per cent, so the direction of travel is already upward.</w:t>
      </w:r>
    </w:p>
    <w:p>
      <w:pPr>
        <w:pStyle w:val="Heading2"/>
        <w:keepNext/>
        <w:spacing w:after="120" w:before="260"/>
      </w:pPr>
      <w:r>
        <w:t xml:space="preserve">4.3 Health — alcohol</w:t>
      </w:r>
    </w:p>
    <w:p>
      <w:pPr>
        <w:spacing w:after="140" w:line="276"/>
        <w:jc w:val="both"/>
      </w:pPr>
      <w:r>
        <w:t xml:space="preserve">Alcohol is the hardest sector to read because of architectural complexity. Beer under tariff item 22.09 is taxed ad valorem through a four-band local-content matrix (D1 to D4) crossed with ABV bands, with rates from 5 to 20 per cent; the strictest band (D4) works out at roughly USD 7 per litre of pure alcohol, well below OECD benchmarks of USD 15 to 40. The local-content graduation functions as producer protection in fiscal clothing and should be read as such.</w:t>
      </w:r>
    </w:p>
    <w:p>
      <w:pPr>
        <w:spacing w:after="140" w:line="276"/>
        <w:jc w:val="both"/>
      </w:pPr>
      <w:r>
        <w:rPr>
          <w:b/>
          <w:bCs/>
        </w:rPr>
        <w:t xml:space="preserve">The diagnostic flags a redenomination anomaly in the wine schedule. </w:t>
      </w:r>
      <w:r>
        <w:t xml:space="preserve">The Finance Act, 2024 set wine excise at Le 4.20 to 22 per litre by ABV band and origin, in Old Leones. If those rates were not redenominated at the 2022 conversion of 1,000 Old Leones to one New Leone, they would translate to roughly USD 0.0002 to 0.001 per litre — effectively zero — and they appear not to have been restated through the two subsequent Finance Acts. At face value, wine would then be untaxed by excise. This rests on a contested reading of how the redenomination was applied to legacy lines, so it is presented as a matter to verify against the gazetted schedule rather than as an established finding; if confirmed, remediation is a one-line amendment in the next Finance Act. Formal-sector alcohol excise overall raises on the order of 0.05 per cent of GDP, held down by the large informal and home-brewed share of the market.</w:t>
      </w:r>
    </w:p>
    <w:p>
      <w:pPr>
        <w:pStyle w:val="Heading2"/>
        <w:keepNext/>
        <w:spacing w:after="120" w:before="260"/>
      </w:pPr>
      <w:r>
        <w:t xml:space="preserve">4.4 Health — sugar-sweetened beverages</w:t>
      </w:r>
    </w:p>
    <w:p>
      <w:pPr>
        <w:spacing w:after="140" w:line="276"/>
        <w:jc w:val="both"/>
      </w:pPr>
      <w:r>
        <w:t xml:space="preserve">Sierra Leone taxes only energy drinks (20 per cent ad valorem) and imported fruit and vegetable juice (20 per cent), leaving general soft drinks essentially untaxed and applying no sugar-content graduation. Implied revenue is below 0.05 per cent of GDP. By comparison, the UK soft drinks industry levy runs at GBP 0.18 to 0.24 per litre by sugar content, Mexico at about USD 0.05 per litre flat, and South Africa's Health Promotion Levy at ZAR 0.0221 per gram of sugar above 4g per 100ml. This is the clearest single gap in the schedule relative to peers, and the one where the public-health evidence base is strongest.</w:t>
      </w:r>
    </w:p>
    <w:p>
      <w:pPr>
        <w:pStyle w:val="Heading2"/>
        <w:keepNext/>
        <w:spacing w:after="120" w:before="260"/>
      </w:pPr>
      <w:r>
        <w:t xml:space="preserve">4.5 Aggregate picture</w:t>
      </w:r>
    </w:p>
    <w:p>
      <w:pPr>
        <w:spacing w:after="140" w:line="276"/>
        <w:jc w:val="both"/>
      </w:pPr>
      <w:r>
        <w:t xml:space="preserve">Combining the priority sectors, Sierra Leone's energy, tobacco, alcohol and SSB excise raises on the order of 0.7 to 0.9 per cent of GDP on the schedule rates used here, with fuel accounting for the large majority. Adding cement, gambling and the regulatory cellular levies raises the total modestly. On rate intensity the country sits below international peers across every priority category — fuel at 18 per cent of pump price against an OECD 30 to 50 per cent; tobacco at 10 to 15 per cent of retail against a WHO 75 per cent; beer at roughly USD 7 per litre of pure alcohol against an OECD USD 15 to 40; SSBs largely untaxed. The consistent direction of the gap is what makes the reform pathway in Section 5 relatively clear: there is headroom on every priority line, and the binding constraints are political and administrative rather than analytical.</w:t>
      </w:r>
    </w:p>
    <w:p>
      <w:pPr>
        <w:pStyle w:val="Heading1"/>
        <w:keepNext/>
        <w:pageBreakBefore/>
        <w:spacing w:after="160" w:before="0"/>
      </w:pPr>
      <w:r>
        <w:t xml:space="preserve">5. A sequenced reform pathway</w:t>
      </w:r>
    </w:p>
    <w:p>
      <w:pPr>
        <w:spacing w:after="140" w:line="276"/>
        <w:jc w:val="both"/>
      </w:pPr>
      <w:r>
        <w:t xml:space="preserve">The reform candidates below follow from the results in Section 4 and the fiscal setting in the executive summary. They are ordered by revenue potential, but the recommended sequencing is by administrative readiness and political tractability — protect the recent revenue gains first, then broaden the base on the lines where the rate gap to peers is largest and the resistance is weakest. The pathway is a starting point for country dialogue, not a finished package: it identifies which reforms are tractable, in what order, with what design, and leaves compensation and delivery detail to the country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Reform</w:t>
            </w:r>
          </w:p>
        </w:tc>
        <w:tc>
          <w:tcPr>
            <w:tcW w:type="dxa" w:w="416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What it would do</w:t>
            </w:r>
          </w:p>
        </w:tc>
        <w:tc>
          <w:tcPr>
            <w:tcW w:type="dxa" w:w="26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Indicative yield</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Extend GST to transport fuels</w:t>
            </w:r>
          </w:p>
        </w:tc>
        <w:tc>
          <w:tcPr>
            <w:tcW w:type="dxa" w:w="41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Petrol and diesel sit outside the GST base. Bringing them in is the largest single fuel-side lever; requires no change to the excise schedule. Identified in the IMF Climate Policy Diagnostic.</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Large. The biggest untapped fuel revenue lever.</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Index specific rates to inflation</w:t>
            </w:r>
          </w:p>
        </w:tc>
        <w:tc>
          <w:tcPr>
            <w:tcW w:type="dxa" w:w="41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 CPI (or CPI-and-FX) formula in the Excise Act, operable through the NPRA price-review cadence, converts one-off catch-up amendments into sustained real revenue.</w:t>
            </w:r>
          </w:p>
        </w:tc>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Material over time. Preserves the real value of the 2024–26 gains.</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Lift tobacco excise</w:t>
            </w:r>
          </w:p>
        </w:tc>
        <w:tc>
          <w:tcPr>
            <w:tcW w:type="dxa" w:w="41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Phased Finance-Act increases (e.g. +30% each) toward regional norms and the WHO 75% benchmark. No domestic industry to resist.</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Modest (narrow base); strong public-health case.</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Sugar-graduated SSB excise</w:t>
            </w:r>
          </w:p>
        </w:tc>
        <w:tc>
          <w:tcPr>
            <w:tcW w:type="dxa" w:w="41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Graduate the rate by sugar content on the UK model; extend beyond energy drinks and imported juice to general soft drinks.</w:t>
            </w:r>
          </w:p>
        </w:tc>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Moderate; clearest gap to peers.</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Emissions/age vehicle component</w:t>
            </w:r>
          </w:p>
        </w:tc>
        <w:tc>
          <w:tcPr>
            <w:tcW w:type="dxa" w:w="41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Add an emissions-, engine-capacity- or age-graduated element to the new circulation levy and to import taxation, addressing fleet composition.</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Small at first; grows with the fleet.</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Carbon-content fuel excise (option)</w:t>
            </w:r>
          </w:p>
        </w:tc>
        <w:tc>
          <w:tcPr>
            <w:tcW w:type="dxa" w:w="41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Recast the specific fuel excise as NLe per tCO₂ — arithmetically close to current rates but tied to NDC 3.0 and to climate-finance positioning.</w:t>
            </w:r>
          </w:p>
        </w:tc>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Revenue-neutral at introduction; a framing and finance move.</w:t>
            </w:r>
          </w:p>
        </w:tc>
      </w:tr>
    </w:tbl>
    <w:p>
      <w:pPr>
        <w:spacing w:after="120"/>
      </w:pPr>
      <w:r>
        <w:t xml:space="preserve"/>
      </w:r>
    </w:p>
    <w:p>
      <w:pPr>
        <w:pStyle w:val="Heading2"/>
        <w:keepNext/>
        <w:spacing w:after="120" w:before="260"/>
      </w:pPr>
      <w:r>
        <w:t xml:space="preserve">5.1 Protecting the gains: indexation and GST</w:t>
      </w:r>
    </w:p>
    <w:p>
      <w:pPr>
        <w:spacing w:after="140" w:line="276"/>
        <w:jc w:val="both"/>
      </w:pPr>
      <w:r>
        <w:t xml:space="preserve">The 2024–2026 reforms delivered a real step-change in fuel-excise revenue, but the gain rests on nominal rates that no longer keep pace with prices. Indexation is therefore the highest-value structural reform, because it preserves real revenue without requiring a fresh political decision each year. It can be implemented either as an explicit formula in the Excise Act or as a formalised quarterly review under the National Petroleum Regulatory Authority, which already conducts monthly-to-quarterly price revisions. Extending GST to petrol and diesel is the complementary revenue move and the largest single lever on the fuel side; it operates outside the excise schedule and so can proceed independently.</w:t>
      </w:r>
    </w:p>
    <w:p>
      <w:pPr>
        <w:pStyle w:val="Heading2"/>
        <w:keepNext/>
        <w:spacing w:after="120" w:before="260"/>
      </w:pPr>
      <w:r>
        <w:t xml:space="preserve">5.2 Broadening the base: tobacco, SSBs and vehicles</w:t>
      </w:r>
    </w:p>
    <w:p>
      <w:pPr>
        <w:spacing w:after="140" w:line="276"/>
        <w:jc w:val="both"/>
      </w:pPr>
      <w:r>
        <w:t xml:space="preserve">The health and environmental lines are where the rate gap to peers is largest. Tobacco is the most tractable because there is no domestic industry to resist increases; a phased path toward regional norms would close much of the gap at limited political cost. A sugar-content-graduated SSB excise plugs the clearest single gap in the schedule and creates a reformulation incentive. On vehicles, an emissions- or age-graduated component addresses the fleet-composition problem that the flat circulation levy leaves untouched — the used-import dominance and the absence of an age limit make this a high-impact reform per unit of administrative effort.</w:t>
      </w:r>
    </w:p>
    <w:p>
      <w:pPr>
        <w:pStyle w:val="Heading2"/>
        <w:keepNext/>
        <w:spacing w:after="120" w:before="260"/>
      </w:pPr>
      <w:r>
        <w:t xml:space="preserve">5.3 A carbon-content framing for fuel</w:t>
      </w:r>
    </w:p>
    <w:p>
      <w:pPr>
        <w:spacing w:after="140" w:line="276"/>
        <w:jc w:val="both"/>
      </w:pPr>
      <w:r>
        <w:t xml:space="preserve">A more ambitious option is to recast the specific fuel excise as a carbon-content excise, with rates expressed in Leones per tonne of carbon dioxide rather than per litre. This is arithmetically close to the current specific rates — scaling by an emission factor of roughly 2.31 kilograms of CO₂ per litre for petrol and 2.68 for diesel — but the framing matters. It creates an explicit link to Sierra Leone's NDC 3.0 commitment to reduce emissions by 36.2 per cent against business-as-usual by 2035, and it improves the country's positioning for climate finance and for Article 6 transactions under the Paris Agreement. NDC 3.0 frames the energy transition as central to the low-carbon vision, which strengthens rather than weakens the case for a fuel instrument tied explicitly to carbon content. The diagnostic presents this as a direction of travel, to be weighed against the administrative cost of re-expressing the schedule, rather than as an immediate recommendation.</w:t>
      </w:r>
    </w:p>
    <w:p>
      <w:pPr>
        <w:pStyle w:val="Heading1"/>
        <w:keepNext/>
        <w:spacing w:after="160" w:before="360"/>
      </w:pPr>
      <w:r>
        <w:t xml:space="preserve">6. Conclusion</w:t>
      </w:r>
    </w:p>
    <w:p>
      <w:pPr>
        <w:spacing w:after="140" w:line="276"/>
        <w:jc w:val="both"/>
      </w:pPr>
      <w:r>
        <w:t xml:space="preserve">The diagnostic delivers three things the schedule alone does not: a structured representation comparable across categories and against international benchmarks; a set of three scaled measures that triangulate the policy intensity of each line; and visibility on anomalies and gaps invisible on the face of the schedule, of which the wine redenomination question is the clearest example.</w:t>
      </w:r>
    </w:p>
    <w:p>
      <w:pPr>
        <w:spacing w:after="140" w:line="276"/>
        <w:jc w:val="both"/>
      </w:pPr>
      <w:r>
        <w:t xml:space="preserve">For Sierra Leone specifically, the picture is of a country that has made real fiscal progress and used excise policy — especially fuel-price reform — as part of it, but whose gains are fragile without indexation and whose priority-sector rates sit well below peers across the board. The near-term agenda is to protect what has been won, through indexation and the GST extension, and then to broaden the base incrementally on the health and environmental lines where the rate gap is largest and the political resistance weakest. None of the recommended reforms is structurally novel; all are extensions of the existing schedule architecture or of designs proven in comparator countries. That is by design: incremental reforms with clear framing have a better track record in this setting than transformative ones.</w:t>
      </w:r>
    </w:p>
    <w:p>
      <w:pPr>
        <w:spacing w:after="140" w:line="276"/>
        <w:jc w:val="both"/>
      </w:pPr>
      <w:r>
        <w:t xml:space="preserve">The framework is replicable. Applied to a peer country, the same five fields and three measures would produce a comparable diagnostic; applied across a region, they would generate a multi-country comparative table on identical structure. The methodology is intentionally light: it is the discipline of consistent recording and consistent measurement, not a sophisticated analytical apparatus, that does the work.</w:t>
      </w:r>
    </w:p>
    <w:p>
      <w:pPr>
        <w:pStyle w:val="Heading1"/>
        <w:keepNext/>
        <w:pageBreakBefore/>
        <w:spacing w:after="160" w:before="0"/>
      </w:pPr>
      <w:r>
        <w:t xml:space="preserve">Appendix A. The full diagnostic — Sierra Leone</w:t>
      </w:r>
    </w:p>
    <w:p>
      <w:pPr>
        <w:spacing w:after="140" w:line="276"/>
        <w:jc w:val="both"/>
      </w:pPr>
      <w:r>
        <w:t xml:space="preserve">The diagnostic uses the five-column structure described in Section 3.3, with the structure-and-differentiation fields compressed into one column. Rows are organised by the seven-category typology of Section 3.2. Sierra Leone's schedule sits in the First Schedule to the Excise Act, 1982, amended annually through the Finance Acts; the position shown reflects the Finance Act, 2026 (effective 1 January 2026). Some legacy lines remain quoted in Old Leones (Le) and are flagged in the recent-changes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650"/>
        <w:gridCol w:w="1700"/>
        <w:gridCol w:w="1760"/>
        <w:gridCol w:w="1900"/>
      </w:tblGrid>
      <w:tr>
        <w:trPr>
          <w:tblHeader/>
        </w:trPr>
        <w:tc>
          <w:tcPr>
            <w:tcW w:type="dxa" w:w="13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Category</w:t>
            </w:r>
          </w:p>
        </w:tc>
        <w:tc>
          <w:tcPr>
            <w:tcW w:type="dxa" w:w="26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Item</w:t>
            </w:r>
          </w:p>
        </w:tc>
        <w:tc>
          <w:tcPr>
            <w:tcW w:type="dxa" w:w="17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Current rate</w:t>
            </w:r>
          </w:p>
        </w:tc>
        <w:tc>
          <w:tcPr>
            <w:tcW w:type="dxa" w:w="176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Structure &amp; differentiation</w:t>
            </w:r>
          </w:p>
        </w:tc>
        <w:tc>
          <w:tcPr>
            <w:tcW w:type="dxa" w:w="1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Recent changes</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Energy</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Petrol</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5.00 / litre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Restated and raised in FA2026.</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Energy</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Diesel</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5.00 / litre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Restated and raised in FA2026. Was Le 1.22 → 2.40 in four steps in FA2024.</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Energy</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Kerosene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2.00 / litre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Restated and raised in FA2026 (was Le 0.81 in FA2024).</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Energy</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Fuel oil</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7.40 / litre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Restated in FA2026 (was Le 4.14 in FA2024).</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Energy</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Lubricating oils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4.00 / litre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Restated in FA2026 (was Le 2.20 in FA2024).</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Environment</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Polyethylene bags &amp; plastic bottles (with beverage, ex-water)</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16 / kg</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FA2024. Not yet redenominated to NLe.</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Transport</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Vehicle annual circulation levy — cars, trucks, buses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500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lump sum. By vehicle class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FA2026.</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Transport</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Vehicle circulation levy — large vessels (&gt;15-seater)</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1,000 (or NLe equiv.)</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By capacity</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FA2026.</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Transport</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Vehicle circulation levy — vessels (≤15-seater)</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500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By capacity</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FA2026.</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Transport</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Vehicle circulation levy — motorbikes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200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FA2026.</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(tobacco)</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Cigarettes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3 / packet of 20 sticks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Raised 50% from NLe 2 (FA2025) in FA2026.</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(tobacco)</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Cigars, cheroots, cigarillos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38 / packet</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Raised from NLe 25 (FA2025) in FA2026.</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(tobacco)</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Unmanufactured tobacco</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98 / kg</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Raised from NLe 65 (FA2025) in FA2026.</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(tobacco)</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Other manufactured / homogenised tobacco</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98 / kg</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Raised from NLe 65 (FA2025) in FA2026.</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(tobacco)</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Shisha, hookah, herbal molasses, vaping alternatives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98 / kg + NLe 225 / litre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(combined)</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Raised from NLe 65 + NLe 175 in FA2026.</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(tobacco)</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E-cigarette device</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0.75 / ml</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Raised from NLe 0.5 in FA2026 (introduced FA2024).</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(tobacco)</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E-cigarette cartridge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1.20 / unit</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Raised from NLe 0.8 in FA2026 (introduced FA2024).</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Beer from malt — stout, porter, beer, non-alcoholic</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0.01/cl OR Le 10/litre local; Le 0.015/cl OR Le 15/litre import</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Hybrid. By origin</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Restructured FA2024. Quoted in Old Le; not yet redenominated.</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Beer 22.09 — D1 (&gt;80% local raw material)</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5% (&lt;10% ABV); 8% (10–20%); 12% (≥20%)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 By local-content share &amp; ABV</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Re-tiered with ABV bands in FA2025.</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Beer 22.09 — D2 (&gt;70–80% local)</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8% / 12% / 15% across ABV bands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 By local-content share &amp; ABV</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Re-tiered with ABV bands in FA2025.</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Beer 22.09 — D3 (&gt;60–70% local)</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12% / 15% / 17.5% across ABV bands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 By local-content share &amp; ABV</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Re-tiered with ABV bands in FA2025.</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Beer 22.09 — D4 (&gt;30–60% local)</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15% / 17.5% / 20% across ABV bands</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 By local-content share &amp; ABV</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D4 widened from 50–60% to 30–60% in FA2025.</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Wine — sparkling, ≤10% ABV</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4.20/litre local; Le 10/litre import</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By origin &amp; ABV</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Set in FA2024. Old Le not yet redenominated — see §4.3.</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Wine — 10–20% ABV</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6.30/litre local; Le 12/litre import</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By origin &amp; ABV</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Set in FA2024. Old Le not yet redenominated.</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Wine — 20–30% ABV</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8.30/litre local; Le 14/litre import</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By origin &amp; ABV</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Set in FA2024. Old Le not yet redenominated.</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Wine — 30–40% ABV</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10.40/litre local; Le 16/litre import</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By origin &amp; ABV</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Set in FA2024. Old Le not yet redenominated.</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(alcohol)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Wine — &gt;40% ABV</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15.0/litre local; Le 22/litre import</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 By origin &amp; ABV</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Set in FA2024. Old Le not yet redenominated.</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(SSB)</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Energy drinks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Stable since pre-2020.</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(SSB)</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Imported fruit and vegetable juice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 Imported only</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Introduced in FA2020.</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Health (SSB)</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Bottled / processed water</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Within schedule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Stable.</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Health (other)</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Gambling, betting and lottery services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10% of net wagered</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 on (gross gambling revenue minus winnings)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FA2024 (item 98.01).</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Industrial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Cement (Portland, slag, super-sulphate, hydraulic)</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NLe 10 / 50 kg bag</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FA2026.</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Industrial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Vegetable oils, palm olein, margarine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Introduced in FA2021.</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Industrial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Soaps (toilet, multipurpose, household, laundry)</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Introduced in FA2021.</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Industrial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Industrial fatty-acid oils, palmitic/stearic acid</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20%</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Introduced in FA2021.</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Industrial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Nails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5%</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Introduced in FA2021.</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Telecoms (levy)</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On-net mobile voice calls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0.1 / minute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FA2023. Levy under Finance Act, not Excise Act.</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Telecoms (levy)</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Off-net mobile voice calls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0.05 / minute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FA2023.</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Telecoms (levy)</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Outgoing international voice calls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Le 0.2 / minute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Specific</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FA2023.</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Telecoms (levy)</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Mobile money commissions</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 on commissions</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FA2023.</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Telecoms (levy)</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Mobile data</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Up to 5% of recharge / bundle value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Ad valorem</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in FA2023.</w:t>
            </w:r>
          </w:p>
        </w:tc>
      </w:tr>
      <w:tr>
        <w:tc>
          <w:tcPr>
            <w:tcW w:type="dxa" w:w="13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Procedural</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Excise duty payment window</w:t>
            </w:r>
          </w:p>
        </w:tc>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21 days from removal / at importation</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n/a</w:t>
            </w:r>
          </w:p>
        </w:tc>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section 5 in FA2025.</w:t>
            </w:r>
          </w:p>
        </w:tc>
      </w:tr>
      <w:tr>
        <w:tc>
          <w:tcPr>
            <w:tcW w:type="dxa" w:w="13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Procedural</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Excise return filing</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Periodic, graduated late/non-filing penalties</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n/a. By taxpayer category</w:t>
            </w:r>
          </w:p>
        </w:tc>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New section 48A in FA2025.</w:t>
            </w:r>
          </w:p>
        </w:tc>
      </w:tr>
    </w:tbl>
    <w:p>
      <w:pPr>
        <w:pStyle w:val="Heading1"/>
        <w:keepNext/>
        <w:pageBreakBefore/>
        <w:spacing w:after="160" w:before="0"/>
      </w:pPr>
      <w:r>
        <w:t xml:space="preserve">Appendix B. Recent changes, year by year</w:t>
      </w:r>
    </w:p>
    <w:p>
      <w:pPr>
        <w:spacing w:after="140" w:line="276"/>
        <w:jc w:val="both"/>
      </w:pPr>
      <w:r>
        <w:t xml:space="preserve">This appendix tracks the substantive amendments to Sierra Leone's excise schedule from the starting position at the beginning of 2020 through each Finance Act to the most recent enacted instrument.</w:t>
      </w:r>
    </w:p>
    <w:p>
      <w:pPr>
        <w:pStyle w:val="Heading3"/>
        <w:keepNext/>
        <w:spacing w:after="80" w:before="180"/>
      </w:pPr>
      <w:r>
        <w:t xml:space="preserve">Starting position: at 1 January 2020 (post-FA2020)</w:t>
      </w:r>
    </w:p>
    <w:p>
      <w:pPr>
        <w:spacing w:after="140" w:line="276"/>
        <w:jc w:val="both"/>
      </w:pPr>
      <w:r>
        <w:rPr>
          <w:b/>
          <w:bCs/>
        </w:rPr>
        <w:t xml:space="preserve">Tobacco: </w:t>
      </w:r>
      <w:r>
        <w:t xml:space="preserve">30% ad valorem on the wholesale price of cigarettes (from the FA2018 reform) plus elevated import duties. </w:t>
      </w:r>
      <w:r>
        <w:rPr>
          <w:b/>
          <w:bCs/>
        </w:rPr>
        <w:t xml:space="preserve">Alcohol: </w:t>
      </w:r>
      <w:r>
        <w:t xml:space="preserve">specific excise of USD 1.5/litre up to 10% ABV and USD 2/litre above, applied uniformly to imports and most domestic production. </w:t>
      </w:r>
      <w:r>
        <w:rPr>
          <w:b/>
          <w:bCs/>
        </w:rPr>
        <w:t xml:space="preserve">Soft drinks: </w:t>
      </w:r>
      <w:r>
        <w:t xml:space="preserve">energy drinks at 20%; excise also on bottled and processed water. </w:t>
      </w:r>
      <w:r>
        <w:rPr>
          <w:b/>
          <w:bCs/>
        </w:rPr>
        <w:t xml:space="preserve">Fuel: </w:t>
      </w:r>
      <w:r>
        <w:t xml:space="preserve">specific excise on petrol, diesel, kerosene, fuel oil and lubricating oils under tariff item 27.10 (rates inherited from earlier Finance Acts). </w:t>
      </w:r>
      <w:r>
        <w:rPr>
          <w:b/>
          <w:bCs/>
        </w:rPr>
        <w:t xml:space="preserve">FA2020 itself: </w:t>
      </w:r>
      <w:r>
        <w:t xml:space="preserve">added one new line — imported fruit and vegetable juice at 20%. </w:t>
      </w:r>
      <w:r>
        <w:rPr>
          <w:b/>
          <w:bCs/>
        </w:rPr>
        <w:t xml:space="preserve">Telecoms and financial services: </w:t>
      </w:r>
      <w:r>
        <w:t xml:space="preserve">not subject to excise under the 1982 Act; telecom within the GST net at 15%, financial services GST-exempt.</w:t>
      </w:r>
    </w:p>
    <w:p>
      <w:pPr>
        <w:pStyle w:val="Heading3"/>
        <w:keepNext/>
        <w:spacing w:after="80" w:before="180"/>
      </w:pPr>
      <w:r>
        <w:t xml:space="preserve">Finance Act, 2021 (effective 1 January 2021)</w:t>
      </w:r>
    </w:p>
    <w:p>
      <w:pPr>
        <w:pStyle w:val="ListParagraph"/>
        <w:numPr>
          <w:ilvl w:val="0"/>
          <w:numId w:val="3"/>
        </w:numPr>
        <w:spacing w:after="90" w:line="276"/>
      </w:pPr>
      <w:r>
        <w:t xml:space="preserve">First major re-engineering of the alcohol regime. Tariff item 22.09 repealed and replaced with a four-band local-content beer regime: D1 (&gt;80% local) 5%; D2 (&gt;70–80%) 8%; D3 (&gt;60–70%) 12%; D4 (&gt;50–60%) 15%.</w:t>
      </w:r>
    </w:p>
    <w:p>
      <w:pPr>
        <w:pStyle w:val="ListParagraph"/>
        <w:numPr>
          <w:ilvl w:val="0"/>
          <w:numId w:val="3"/>
        </w:numPr>
        <w:spacing w:after="90" w:line="276"/>
      </w:pPr>
      <w:r>
        <w:t xml:space="preserve">Eligible local raw materials defined as sorghum, cassava, maize, sugar and barley.</w:t>
      </w:r>
    </w:p>
    <w:p>
      <w:pPr>
        <w:pStyle w:val="ListParagraph"/>
        <w:numPr>
          <w:ilvl w:val="0"/>
          <w:numId w:val="3"/>
        </w:numPr>
        <w:spacing w:after="90" w:line="276"/>
      </w:pPr>
      <w:r>
        <w:t xml:space="preserve">Vegetable oils, palm olein and margarine added at 10% (heading 15.11).</w:t>
      </w:r>
    </w:p>
    <w:p>
      <w:pPr>
        <w:pStyle w:val="ListParagraph"/>
        <w:numPr>
          <w:ilvl w:val="0"/>
          <w:numId w:val="3"/>
        </w:numPr>
        <w:spacing w:after="90" w:line="276"/>
      </w:pPr>
      <w:r>
        <w:t xml:space="preserve">Soaps at 20% (heading 34.01); industrial fatty-acid oils at 20% (heading 38.23); nails at 5% (heading 73.17).</w:t>
      </w:r>
    </w:p>
    <w:p>
      <w:pPr>
        <w:pStyle w:val="Heading3"/>
        <w:keepNext/>
        <w:spacing w:after="80" w:before="180"/>
      </w:pPr>
      <w:r>
        <w:t xml:space="preserve">Finance Act, 2022 (effective 1 January 2022)</w:t>
      </w:r>
    </w:p>
    <w:p>
      <w:pPr>
        <w:spacing w:after="140" w:line="276"/>
        <w:jc w:val="both"/>
      </w:pPr>
      <w:r>
        <w:t xml:space="preserve">No schedule-level excise changes. The Act focused on income tax (cutting petroleum operations from 30% to 25%), taxpayer segmentation and digital-marketplace definitions in GST. Excise rates from FA2021 carried forward.</w:t>
      </w:r>
    </w:p>
    <w:p>
      <w:pPr>
        <w:pStyle w:val="Heading3"/>
        <w:keepNext/>
        <w:spacing w:after="80" w:before="180"/>
      </w:pPr>
      <w:r>
        <w:t xml:space="preserve">Finance Act, 2023</w:t>
      </w:r>
    </w:p>
    <w:p>
      <w:pPr>
        <w:spacing w:after="140" w:line="276"/>
        <w:jc w:val="both"/>
      </w:pPr>
      <w:r>
        <w:t xml:space="preserve">Imposed a new set of regulatory levies on telecommunications operators — colloquially called “excise” but legally a separate levy under the Finance Act, not the Excise Act: on-net mobile voice calls Le 0.1/minute; off-net Le 0.05/minute; outgoing international calls Le 0.2/minute; mobile money commissions 2%; mobile data up to 5% of recharge or bundle value.</w:t>
      </w:r>
    </w:p>
    <w:p>
      <w:pPr>
        <w:pStyle w:val="Heading3"/>
        <w:keepNext/>
        <w:spacing w:after="80" w:before="180"/>
      </w:pPr>
      <w:r>
        <w:t xml:space="preserve">Finance Act, 2024 (effective 1 January 2024)</w:t>
      </w:r>
    </w:p>
    <w:p>
      <w:pPr>
        <w:spacing w:after="90" w:line="276"/>
        <w:jc w:val="both"/>
      </w:pPr>
      <w:r>
        <w:t xml:space="preserve">The most substantial single-Act re-write of the schedule in the period.</w:t>
      </w:r>
    </w:p>
    <w:p>
      <w:pPr>
        <w:pStyle w:val="ListParagraph"/>
        <w:numPr>
          <w:ilvl w:val="0"/>
          <w:numId w:val="3"/>
        </w:numPr>
        <w:spacing w:after="90" w:line="276"/>
      </w:pPr>
      <w:r>
        <w:t xml:space="preserve">Imported cement to 20%; iron rod 10%; cooking gas 5%; rice graduated from 0 to 5% then 10% from 2025.</w:t>
      </w:r>
    </w:p>
    <w:p>
      <w:pPr>
        <w:pStyle w:val="ListParagraph"/>
        <w:numPr>
          <w:ilvl w:val="0"/>
          <w:numId w:val="3"/>
        </w:numPr>
        <w:spacing w:after="90" w:line="276"/>
      </w:pPr>
      <w:r>
        <w:t xml:space="preserve">Beer (heading 22.03) restructured: malt beer, stout, porter, non-alcoholic beer (≤5%) and “other” at Le 0.01/cl or Le 10/litre local; Le 0.015/cl or Le 15/litre import.</w:t>
      </w:r>
    </w:p>
    <w:p>
      <w:pPr>
        <w:pStyle w:val="ListParagraph"/>
        <w:numPr>
          <w:ilvl w:val="0"/>
          <w:numId w:val="3"/>
        </w:numPr>
        <w:spacing w:after="90" w:line="276"/>
      </w:pPr>
      <w:r>
        <w:t xml:space="preserve">Wine (headings 22.04, 22.05) rebanded by ABV: Le 4.20/litre (≤10%), Le 6.30 (&gt;10–20%), Le 8.30 (&gt;20–30%), Le 10.40 (&gt;30–40%), Le 15.0 (&gt;40%) local; Le 10/12/14/16/22 import along the same bands.</w:t>
      </w:r>
    </w:p>
    <w:p>
      <w:pPr>
        <w:pStyle w:val="ListParagraph"/>
        <w:numPr>
          <w:ilvl w:val="0"/>
          <w:numId w:val="3"/>
        </w:numPr>
        <w:spacing w:after="90" w:line="276"/>
      </w:pPr>
      <w:r>
        <w:t xml:space="preserve">Cigarettes restructured under tariff items 24.01–24.03 (specific rates per kg and per packet).</w:t>
      </w:r>
    </w:p>
    <w:p>
      <w:pPr>
        <w:pStyle w:val="ListParagraph"/>
        <w:numPr>
          <w:ilvl w:val="0"/>
          <w:numId w:val="3"/>
        </w:numPr>
        <w:spacing w:after="90" w:line="276"/>
      </w:pPr>
      <w:r>
        <w:t xml:space="preserve">Electronic cigarettes and cartridges introduced at item 24.04: Le 0.2/ml device, Le 0.4/unit cartridge.</w:t>
      </w:r>
    </w:p>
    <w:p>
      <w:pPr>
        <w:pStyle w:val="ListParagraph"/>
        <w:numPr>
          <w:ilvl w:val="0"/>
          <w:numId w:val="3"/>
        </w:numPr>
        <w:spacing w:after="90" w:line="276"/>
      </w:pPr>
      <w:r>
        <w:t xml:space="preserve">Fuel rates set at Le 0.81/litre kerosene, Le 2.80/litre petrol, Le 1.22/litre diesel rising on a published quarterly schedule to Le 2.40/litre by 1 October 2024, Le 4.14/litre fuel oil, Le 2.20/litre lubricating oils.</w:t>
      </w:r>
    </w:p>
    <w:p>
      <w:pPr>
        <w:pStyle w:val="ListParagraph"/>
        <w:numPr>
          <w:ilvl w:val="0"/>
          <w:numId w:val="3"/>
        </w:numPr>
        <w:spacing w:after="90" w:line="276"/>
      </w:pPr>
      <w:r>
        <w:t xml:space="preserve">Plastics: polyethylene bags and plastic bottles (with beverage, excluding water) at Le 16/kg.</w:t>
      </w:r>
    </w:p>
    <w:p>
      <w:pPr>
        <w:pStyle w:val="ListParagraph"/>
        <w:numPr>
          <w:ilvl w:val="0"/>
          <w:numId w:val="3"/>
        </w:numPr>
        <w:spacing w:after="90" w:line="276"/>
      </w:pPr>
      <w:r>
        <w:t xml:space="preserve">New excise on gambling, betting and lottery services at 10% of net wagered — inserted at item 98.01.</w:t>
      </w:r>
    </w:p>
    <w:p>
      <w:pPr>
        <w:pStyle w:val="Heading3"/>
        <w:keepNext/>
        <w:spacing w:after="80" w:before="180"/>
      </w:pPr>
      <w:r>
        <w:t xml:space="preserve">Finance Act, 2025 (effective 1 January 2025)</w:t>
      </w:r>
    </w:p>
    <w:p>
      <w:pPr>
        <w:spacing w:after="90" w:line="276"/>
        <w:jc w:val="both"/>
      </w:pPr>
      <w:r>
        <w:t xml:space="preserve">First Finance Act in fully redenominated New Leone units. Two structural additions: section 5 (21-day excise payment rule) and section 48A (filing of excise returns with graduated penalties for large, medium and small taxpayers).</w:t>
      </w:r>
    </w:p>
    <w:p>
      <w:pPr>
        <w:pStyle w:val="ListParagraph"/>
        <w:numPr>
          <w:ilvl w:val="0"/>
          <w:numId w:val="3"/>
        </w:numPr>
        <w:spacing w:after="90" w:line="276"/>
      </w:pPr>
      <w:r>
        <w:t xml:space="preserve">Beer regime (item 22.09) re-tiered: D1 (&gt;80% local) 5/8/12% across &lt;10, 10–20, ≥20 ABV; D2 (&gt;70–80%) 8/12/15%; D3 (&gt;60–70%) 12/15/17.5%; D4 (&gt;30–60%) 15/17.5/20%. The D4 local-content threshold widened from 50–60% to 30–60%, bringing more producers into the higher band.</w:t>
      </w:r>
    </w:p>
    <w:p>
      <w:pPr>
        <w:pStyle w:val="ListParagraph"/>
        <w:numPr>
          <w:ilvl w:val="0"/>
          <w:numId w:val="3"/>
        </w:numPr>
        <w:spacing w:after="90" w:line="276"/>
      </w:pPr>
      <w:r>
        <w:t xml:space="preserve">Tobacco (24.01–24.04) restated in NLe: unmanufactured tobacco NLe 65/kg; cigars and cigarillos NLe 25/packet; cigarettes NLe 2/packet of 20; other manufactured tobacco NLe 65/kg; shisha and herbal molasses NLe 65/kg + NLe 175/litre; e-cigarette device NLe 0.5/ml; cartridge NLe 0.8/unit.</w:t>
      </w:r>
    </w:p>
    <w:p>
      <w:pPr>
        <w:pStyle w:val="Heading3"/>
        <w:keepNext/>
        <w:spacing w:after="80" w:before="180"/>
      </w:pPr>
      <w:r>
        <w:t xml:space="preserve">Finance Act, 2026 (effective 1 January 2026)</w:t>
      </w:r>
    </w:p>
    <w:p>
      <w:pPr>
        <w:spacing w:after="90" w:line="276"/>
        <w:jc w:val="both"/>
      </w:pPr>
      <w:r>
        <w:t xml:space="preserve">The latest enacted Finance Act. Tobacco and fuel re-tariffed upward and cement restated.</w:t>
      </w:r>
    </w:p>
    <w:p>
      <w:pPr>
        <w:pStyle w:val="ListParagraph"/>
        <w:numPr>
          <w:ilvl w:val="0"/>
          <w:numId w:val="3"/>
        </w:numPr>
        <w:spacing w:after="90" w:line="276"/>
      </w:pPr>
      <w:r>
        <w:t xml:space="preserve">Cigarettes: raised to NLe 3/packet of 20 (50% up from FA2025's NLe 2).</w:t>
      </w:r>
    </w:p>
    <w:p>
      <w:pPr>
        <w:pStyle w:val="ListParagraph"/>
        <w:numPr>
          <w:ilvl w:val="0"/>
          <w:numId w:val="3"/>
        </w:numPr>
        <w:spacing w:after="90" w:line="276"/>
      </w:pPr>
      <w:r>
        <w:t xml:space="preserve">Cigars / cigarillos: NLe 38/packet (up from NLe 25, ~52%).</w:t>
      </w:r>
    </w:p>
    <w:p>
      <w:pPr>
        <w:pStyle w:val="ListParagraph"/>
        <w:numPr>
          <w:ilvl w:val="0"/>
          <w:numId w:val="3"/>
        </w:numPr>
        <w:spacing w:after="90" w:line="276"/>
      </w:pPr>
      <w:r>
        <w:t xml:space="preserve">Unmanufactured / other manufactured tobacco: NLe 98/kg (up from NLe 65, ~51%).</w:t>
      </w:r>
    </w:p>
    <w:p>
      <w:pPr>
        <w:pStyle w:val="ListParagraph"/>
        <w:numPr>
          <w:ilvl w:val="0"/>
          <w:numId w:val="3"/>
        </w:numPr>
        <w:spacing w:after="90" w:line="276"/>
      </w:pPr>
      <w:r>
        <w:t xml:space="preserve">Shisha / hookah / vaping alternatives: NLe 98/kg + NLe 225/litre.</w:t>
      </w:r>
    </w:p>
    <w:p>
      <w:pPr>
        <w:pStyle w:val="ListParagraph"/>
        <w:numPr>
          <w:ilvl w:val="0"/>
          <w:numId w:val="3"/>
        </w:numPr>
        <w:spacing w:after="90" w:line="276"/>
      </w:pPr>
      <w:r>
        <w:t xml:space="preserve">E-cigarettes: NLe 0.75/ml device; NLe 1.20/unit cartridge (50% each).</w:t>
      </w:r>
    </w:p>
    <w:p>
      <w:pPr>
        <w:pStyle w:val="ListParagraph"/>
        <w:numPr>
          <w:ilvl w:val="0"/>
          <w:numId w:val="3"/>
        </w:numPr>
        <w:spacing w:after="90" w:line="276"/>
      </w:pPr>
      <w:r>
        <w:t xml:space="preserve">Cement (item 25.23): Portland, slag, super-sulphate and other hydraulic cement at NLe 10/50 kg bag.</w:t>
      </w:r>
    </w:p>
    <w:p>
      <w:pPr>
        <w:pStyle w:val="ListParagraph"/>
        <w:numPr>
          <w:ilvl w:val="0"/>
          <w:numId w:val="3"/>
        </w:numPr>
        <w:spacing w:after="90" w:line="276"/>
      </w:pPr>
      <w:r>
        <w:t xml:space="preserve">Fuel (item 27.10) restated in NLe: kerosene NLe 2; petrol NLe 5; diesel NLe 5; fuel oil NLe 7.40; lubricating oils NLe 4 per litre.</w:t>
      </w:r>
    </w:p>
    <w:p>
      <w:pPr>
        <w:pStyle w:val="ListParagraph"/>
        <w:numPr>
          <w:ilvl w:val="0"/>
          <w:numId w:val="3"/>
        </w:numPr>
        <w:spacing w:after="90" w:line="276"/>
      </w:pPr>
      <w:r>
        <w:t xml:space="preserve">New annual circulation levy on vehicles (NLe 500 for cars/trucks/buses; USD 1,000/500 for large vessels and water taxis by capacity; NLe 200 for motorbikes), payable at importation, registration or licensing — structurally outside the Excise Act but fiscally adjacent.</w:t>
      </w:r>
    </w:p>
    <w:p>
      <w:pPr>
        <w:pStyle w:val="Heading3"/>
        <w:keepNext/>
        <w:spacing w:after="80" w:before="180"/>
      </w:pPr>
      <w:r>
        <w:t xml:space="preserve">Regional context</w:t>
      </w:r>
    </w:p>
    <w:p>
      <w:pPr>
        <w:spacing w:after="140" w:line="276"/>
        <w:jc w:val="both"/>
      </w:pPr>
      <w:r>
        <w:t xml:space="preserve">Sierra Leone's amendment history rhymes with Uganda's over the same period: both used the 2020 cycle for selective COVID concessions and modest fuel rises, the 2021 cycle to re-engineer the alcohol regime around local-content discounts, the 2024 cycle to broaden the base (Sierra Leone introducing e-cigarettes, gambling and plastic bottles), and the 2025–26 cycles primarily for inflation catch-up. The Uganda comparison is retained in Appendix C purely to give the Sierra Leone figures a regional reference point.</w:t>
      </w:r>
    </w:p>
    <w:p>
      <w:pPr>
        <w:pStyle w:val="Heading1"/>
        <w:keepNext/>
        <w:pageBreakBefore/>
        <w:spacing w:after="160" w:before="0"/>
      </w:pPr>
      <w:r>
        <w:t xml:space="preserve">Appendix C. Worked computations of the three measures</w:t>
      </w:r>
    </w:p>
    <w:p>
      <w:pPr>
        <w:spacing w:after="140" w:line="276"/>
        <w:jc w:val="both"/>
      </w:pPr>
      <w:r>
        <w:t xml:space="preserve">This appendix presents the line-by-line computations underlying Section 4. The methodology is in Section 3.4. Tables follow a five-column structure: country, item, dollars per standardised unit, share of consumer price, implied share of GDP. Uganda rows are shown alongside Sierra Leone purely as a regional comparator. Where a cell carries a range or a “~”, the range reflects the volume or price uncertainty discussed in Sections 3.4 and 3.5.</w:t>
      </w:r>
    </w:p>
    <w:p>
      <w:pPr>
        <w:pStyle w:val="Heading2"/>
        <w:keepNext/>
        <w:spacing w:after="120" w:before="260"/>
      </w:pPr>
      <w:r>
        <w:t xml:space="preserve">C.1 Energy and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650"/>
        <w:gridCol w:w="1850"/>
        <w:gridCol w:w="1850"/>
        <w:gridCol w:w="1760"/>
      </w:tblGrid>
      <w:tr>
        <w:trPr>
          <w:tblHeader/>
        </w:trPr>
        <w:tc>
          <w:tcPr>
            <w:tcW w:type="dxa" w:w="12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Country</w:t>
            </w:r>
          </w:p>
        </w:tc>
        <w:tc>
          <w:tcPr>
            <w:tcW w:type="dxa" w:w="26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Item</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Excise per unit (USD)</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 of consumer price</w:t>
            </w:r>
          </w:p>
        </w:tc>
        <w:tc>
          <w:tcPr>
            <w:tcW w:type="dxa" w:w="176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Implied % of GDP</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Petrol</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0.23 / litre (NLe 5.00)</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~18% of pump price (NLe 28)</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~0.3% at ~270 m litres/yr</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Diesel</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0.23 / litre (NLe 5.00)</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~18% of pump price (NLe 27.4)</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~0.3% at ~250 m litres/yr</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Kerosene</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0.09 / litre (NLe 2.00)</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~7% of pump price (NLe ~26)</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&lt;0.05%</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Fuel oil</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0.34 / litre (NLe 7.40)</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varies (industrial use)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&lt;0.1%</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Vehicle circulation levy (cars/trucks/buses)</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23 / yr (NLe 500)</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n/a (lump sum)</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Negligible — new FA2026</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Vehicle circulation levy — motorbikes</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9 / yr (NLe 200)</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n/a (lump sum)</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Negligible</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Uganda (ref.)</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Petrol</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0.41 / litre (UGX 1,550)</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~30% of pump price (UGX 5,244)</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~0.7% at ~1.0 bn litres/yr</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Uganda (ref.)</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Diesel</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0.33 / litre (UGX 1,230)</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~24% of pump price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~0.6% at ~0.9 bn litres/yr</w:t>
            </w:r>
          </w:p>
        </w:tc>
      </w:tr>
    </w:tbl>
    <w:p>
      <w:pPr>
        <w:spacing w:after="120"/>
      </w:pPr>
      <w:r>
        <w:t xml:space="preserve"/>
      </w:r>
    </w:p>
    <w:p>
      <w:pPr>
        <w:pStyle w:val="Heading2"/>
        <w:keepNext/>
        <w:spacing w:after="120" w:before="260"/>
      </w:pPr>
      <w:r>
        <w:t xml:space="preserve">C.2 Health — tobacco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650"/>
        <w:gridCol w:w="1850"/>
        <w:gridCol w:w="1850"/>
        <w:gridCol w:w="1760"/>
      </w:tblGrid>
      <w:tr>
        <w:trPr>
          <w:tblHeader/>
        </w:trPr>
        <w:tc>
          <w:tcPr>
            <w:tcW w:type="dxa" w:w="12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Country</w:t>
            </w:r>
          </w:p>
        </w:tc>
        <w:tc>
          <w:tcPr>
            <w:tcW w:type="dxa" w:w="26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Item</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Excise per pack of 20</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 of consumer price</w:t>
            </w:r>
          </w:p>
        </w:tc>
        <w:tc>
          <w:tcPr>
            <w:tcW w:type="dxa" w:w="176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Implied % of GDP</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Cigarettes (specific, single rate)</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0.14 / pack (NLe 3)</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~10–15% of pack price (~NLe 22)</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~0.02%</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Uganda (ref.)</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Cigarettes — soft cap, local</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0.35 / pack (UGX 1,300)</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~30% of pack price</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~0.05% at ~700 m sticks/yr</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Uganda (ref.)</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Cigarettes — hinge lid, imported</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1.07 / pack (UGX 4,000)</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~55% of pack price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~0.02%</w:t>
            </w:r>
          </w:p>
        </w:tc>
      </w:tr>
    </w:tbl>
    <w:p>
      <w:pPr>
        <w:spacing w:after="120"/>
      </w:pPr>
      <w:r>
        <w:t xml:space="preserve"/>
      </w:r>
    </w:p>
    <w:p>
      <w:pPr>
        <w:pStyle w:val="Heading2"/>
        <w:keepNext/>
        <w:spacing w:after="120" w:before="260"/>
      </w:pPr>
      <w:r>
        <w:t xml:space="preserve">C.3 Health — alcohol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650"/>
        <w:gridCol w:w="1850"/>
        <w:gridCol w:w="1850"/>
        <w:gridCol w:w="1760"/>
      </w:tblGrid>
      <w:tr>
        <w:trPr>
          <w:tblHeader/>
        </w:trPr>
        <w:tc>
          <w:tcPr>
            <w:tcW w:type="dxa" w:w="12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Country</w:t>
            </w:r>
          </w:p>
        </w:tc>
        <w:tc>
          <w:tcPr>
            <w:tcW w:type="dxa" w:w="26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Item</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Excise per litre pure alcohol (USD, est.)</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 of consumer price</w:t>
            </w:r>
          </w:p>
        </w:tc>
        <w:tc>
          <w:tcPr>
            <w:tcW w:type="dxa" w:w="176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Implied % of GDP</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Beer 22.09 D1 (5%, ~5% ABV)</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~2 / LPA</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~5% of retail</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~0.05% — narrow base</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Beer 22.09 D4 (15–20% ad val)</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~7 / LPA</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~15–20% of retail</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(included above)</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Wine — sparkling local (Le 4.20/litre)</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~0.002 / LPA</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&lt;0.1% of retail</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Negligible — Old-Le rate not redenominated</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Wine — &gt;40% ABV import (Le 22/litre)</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~0.0025 / LPA</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&lt;0.1% of retail</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Negligible</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Uganda (ref.)</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Malt beer (~5% ABV)</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~11 / LPA</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~30% of retail</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~0.2% across all alcohol lines</w:t>
            </w:r>
          </w:p>
        </w:tc>
      </w:tr>
    </w:tbl>
    <w:p>
      <w:pPr>
        <w:spacing w:after="120"/>
      </w:pPr>
      <w:r>
        <w:t xml:space="preserve"/>
      </w:r>
    </w:p>
    <w:p>
      <w:pPr>
        <w:pStyle w:val="Heading2"/>
        <w:keepNext/>
        <w:spacing w:after="120" w:before="260"/>
      </w:pPr>
      <w:r>
        <w:t xml:space="preserve">C.4 Health — sugar-sweetened beverages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650"/>
        <w:gridCol w:w="1850"/>
        <w:gridCol w:w="1850"/>
        <w:gridCol w:w="1760"/>
      </w:tblGrid>
      <w:tr>
        <w:trPr>
          <w:tblHeader/>
        </w:trPr>
        <w:tc>
          <w:tcPr>
            <w:tcW w:type="dxa" w:w="12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Country</w:t>
            </w:r>
          </w:p>
        </w:tc>
        <w:tc>
          <w:tcPr>
            <w:tcW w:type="dxa" w:w="26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Item</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Excise per litre (USD)</w:t>
            </w:r>
          </w:p>
        </w:tc>
        <w:tc>
          <w:tcPr>
            <w:tcW w:type="dxa" w:w="185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 of consumer price</w:t>
            </w:r>
          </w:p>
        </w:tc>
        <w:tc>
          <w:tcPr>
            <w:tcW w:type="dxa" w:w="176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tcPr>
          <w:p>
            <w:pPr>
              <w:spacing w:after="0"/>
            </w:pPr>
            <w:r>
              <w:rPr>
                <w:b/>
                <w:bCs/>
                <w:color w:val="FFFFFF"/>
                <w:sz w:val="17"/>
                <w:szCs w:val="17"/>
              </w:rPr>
              <w:t xml:space="preserve">Implied % of GDP</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Energy drinks (20% ad valorem)</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0.10–0.20 / litre</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20% of CIF / wholesale</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&lt;0.05%</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Imported fruit &amp; vegetable juice (20%)</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Variable</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20% of CIF</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&lt;0.05%</w:t>
            </w:r>
          </w:p>
        </w:tc>
      </w:tr>
      <w:tr>
        <w:tc>
          <w:tcPr>
            <w:tcW w:type="dxa" w:w="12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bCs/>
                <w:i w:val="false"/>
                <w:iCs w:val="false"/>
                <w:sz w:val="17"/>
                <w:szCs w:val="17"/>
              </w:rPr>
              <w:t xml:space="preserve">Sierra Leone</w:t>
            </w:r>
          </w:p>
        </w:tc>
        <w:tc>
          <w:tcPr>
            <w:tcW w:type="dxa" w:w="26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General soft drinks</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No specific excise</w:t>
            </w:r>
          </w:p>
        </w:tc>
        <w:tc>
          <w:tcPr>
            <w:tcW w:type="dxa" w:w="18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n/a</w:t>
            </w:r>
          </w:p>
        </w:tc>
        <w:tc>
          <w:tcPr>
            <w:tcW w:type="dxa" w:w="1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n/a</w:t>
            </w:r>
          </w:p>
        </w:tc>
      </w:tr>
      <w:tr>
        <w:tc>
          <w:tcPr>
            <w:tcW w:type="dxa" w:w="12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bCs/>
                <w:i w:val="false"/>
                <w:iCs w:val="false"/>
                <w:sz w:val="17"/>
                <w:szCs w:val="17"/>
              </w:rPr>
              <w:t xml:space="preserve">Uganda (ref.)</w:t>
            </w:r>
          </w:p>
        </w:tc>
        <w:tc>
          <w:tcPr>
            <w:tcW w:type="dxa" w:w="26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Non-alcoholic beverages excl. juice</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~USD 0.07 / litre</w:t>
            </w:r>
          </w:p>
        </w:tc>
        <w:tc>
          <w:tcPr>
            <w:tcW w:type="dxa" w:w="185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~10–12% of retail</w:t>
            </w:r>
          </w:p>
        </w:tc>
        <w:tc>
          <w:tcPr>
            <w:tcW w:type="dxa" w:w="1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line="260"/>
              <w:jc w:val="left"/>
            </w:pPr>
            <w:r>
              <w:rPr>
                <w:b w:val="false"/>
                <w:bCs w:val="false"/>
                <w:i w:val="false"/>
                <w:iCs w:val="false"/>
                <w:sz w:val="17"/>
                <w:szCs w:val="17"/>
              </w:rPr>
              <w:t xml:space="preserve">~0.05%</w:t>
            </w:r>
          </w:p>
        </w:tc>
      </w:tr>
    </w:tbl>
    <w:p>
      <w:pPr>
        <w:pStyle w:val="Heading1"/>
        <w:keepNext/>
        <w:pageBreakBefore/>
        <w:spacing w:after="160" w:before="0"/>
      </w:pPr>
      <w:r>
        <w:t xml:space="preserve">Appendix D. International benchmarks</w:t>
      </w:r>
    </w:p>
    <w:p>
      <w:pPr>
        <w:spacing w:after="90" w:line="276"/>
        <w:jc w:val="both"/>
      </w:pPr>
      <w:r>
        <w:t xml:space="preserve">For the comparable measures referenced in Section 4 and Appendix C:</w:t>
      </w:r>
    </w:p>
    <w:p>
      <w:pPr>
        <w:pStyle w:val="ListParagraph"/>
        <w:numPr>
          <w:ilvl w:val="0"/>
          <w:numId w:val="3"/>
        </w:numPr>
        <w:spacing w:after="90" w:line="276"/>
      </w:pPr>
      <w:r>
        <w:rPr>
          <w:b/>
          <w:bCs/>
        </w:rPr>
        <w:t xml:space="preserve">Fuel. </w:t>
      </w:r>
      <w:r>
        <w:t xml:space="preserve">OECD-average fuel excise around USD 0.55 per litre on petrol, 30 to 50 per cent of pump price, 1.5 to 2.5 per cent of GDP; South Africa USD 0.20 to 0.25 per litre.</w:t>
      </w:r>
    </w:p>
    <w:p>
      <w:pPr>
        <w:pStyle w:val="ListParagraph"/>
        <w:numPr>
          <w:ilvl w:val="0"/>
          <w:numId w:val="3"/>
        </w:numPr>
        <w:spacing w:after="90" w:line="276"/>
      </w:pPr>
      <w:r>
        <w:rPr>
          <w:b/>
          <w:bCs/>
        </w:rPr>
        <w:t xml:space="preserve">Tobacco. </w:t>
      </w:r>
      <w:r>
        <w:t xml:space="preserve">WHO recommends excise of at least 75 per cent of the retail pack price; South Africa raises about 0.4 per cent of GDP from tobacco excise, the EU about 0.6 per cent.</w:t>
      </w:r>
    </w:p>
    <w:p>
      <w:pPr>
        <w:pStyle w:val="ListParagraph"/>
        <w:numPr>
          <w:ilvl w:val="0"/>
          <w:numId w:val="3"/>
        </w:numPr>
        <w:spacing w:after="90" w:line="276"/>
      </w:pPr>
      <w:r>
        <w:rPr>
          <w:b/>
          <w:bCs/>
        </w:rPr>
        <w:t xml:space="preserve">Alcohol. </w:t>
      </w:r>
      <w:r>
        <w:t xml:space="preserve">OECD alcohol excise USD 15 to 40 per litre of pure alcohol on beer and USD 25 to 50 on spirits; OECD alcohol revenue 0.4 to 0.6 per cent of GDP.</w:t>
      </w:r>
    </w:p>
    <w:p>
      <w:pPr>
        <w:pStyle w:val="ListParagraph"/>
        <w:numPr>
          <w:ilvl w:val="0"/>
          <w:numId w:val="3"/>
        </w:numPr>
        <w:spacing w:after="90" w:line="276"/>
      </w:pPr>
      <w:r>
        <w:rPr>
          <w:b/>
          <w:bCs/>
        </w:rPr>
        <w:t xml:space="preserve">Sugar-sweetened beverages. </w:t>
      </w:r>
      <w:r>
        <w:t xml:space="preserve">UK Soft Drinks Industry Levy GBP 0.18 to 0.24 per litre (about USD 0.23 to 0.30) by sugar content; Mexico about USD 0.05 per litre flat; South Africa Health Promotion Levy ZAR 0.0221 per gram of sugar above 4g per 100ml.</w:t>
      </w:r>
    </w:p>
    <w:p>
      <w:pPr>
        <w:spacing w:after="80"/>
      </w:pPr>
      <w:r>
        <w:t xml:space="preserve"/>
      </w:r>
    </w:p>
    <w:p>
      <w:pPr>
        <w:spacing w:after="140" w:line="276"/>
        <w:jc w:val="both"/>
      </w:pPr>
      <w:r>
        <w:rPr>
          <w:b/>
          <w:bCs/>
        </w:rPr>
        <w:t xml:space="preserve">Sources and further reading. </w:t>
      </w:r>
      <w:r>
        <w:t xml:space="preserve">IMF, Sierra Leone Climate Policy Diagnostic (2024); Government of Sierra Leone, Finance Acts 2020–2026 and the Excise Act, 1982 (First Schedule); National Petroleum Regulatory Authority pricing notices; Sierra Leone NDC 3.0 (October 2025); World Bank and AfDB country economic updates (2025–26); WHO Global Status Reports on alcohol and on road safety; OECD Taxing Energy Use. Macro-fiscal figures in the executive summary are drawn from World Bank and AfDB country reporting for 2025–26.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spacing w:before="120"/>
      <w:jc w:val="center"/>
    </w:pPr>
    <w:r>
      <w:rPr>
        <w:color w:val="595959"/>
        <w:sz w:val="16"/>
        <w:szCs w:val="16"/>
      </w:rPr>
      <w:t xml:space="preserve">Sierra Leone — An Excise Diagnostic    ·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80" w:before="180"/>
      <w:outlineLvl w:val="2"/>
    </w:pPr>
    <w:rPr>
      <w:rFonts w:ascii="Calibri" w:cs="Calibri" w:eastAsia="Calibri" w:hAnsi="Calibri"/>
      <w:b/>
      <w:bCs/>
      <w:i/>
      <w:iCs/>
      <w:color w:val="2E74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Sierra Leone — An Excise Diagnostic</dc:title>
  <dc:creator>Climate Fiscal Team</dc:creator>
  <dc:description>Excise diagnostic for Sierra Leone</dc:description>
  <cp:lastModifiedBy>Un-named</cp:lastModifiedBy>
  <cp:revision>1</cp:revision>
  <dcterms:created xsi:type="dcterms:W3CDTF">2026-07-30T21:58:15.123Z</dcterms:created>
  <dcterms:modified xsi:type="dcterms:W3CDTF">2026-07-30T21:58:15.137Z</dcterms:modified>
</cp:coreProperties>
</file>

<file path=docProps/custom.xml><?xml version="1.0" encoding="utf-8"?>
<Properties xmlns="http://schemas.openxmlformats.org/officeDocument/2006/custom-properties" xmlns:vt="http://schemas.openxmlformats.org/officeDocument/2006/docPropsVTypes"/>
</file>