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0C3B146" w14:textId="1089F352" w:rsidR="00CD4AFE" w:rsidRDefault="00CD4AFE" w:rsidP="5E48F23F">
      <w:pPr>
        <w:pStyle w:val="Title"/>
        <w:jc w:val="center"/>
      </w:pPr>
      <w:r>
        <w:t>Synthetic Sovereign Bonds for Green Energy Investment</w:t>
      </w:r>
    </w:p>
    <w:p w14:paraId="01F3346A" w14:textId="77777777" w:rsidR="000456CE" w:rsidRDefault="009676CA" w:rsidP="007C5BEE">
      <w:pPr>
        <w:pStyle w:val="Heading2"/>
        <w:jc w:val="both"/>
      </w:pPr>
      <w:r w:rsidRPr="00037A8E">
        <w:t>Summary</w:t>
      </w:r>
    </w:p>
    <w:p w14:paraId="72ABB65A" w14:textId="0AA084A5" w:rsidR="006215F4" w:rsidRDefault="000456CE" w:rsidP="5E48F23F">
      <w:pPr>
        <w:jc w:val="both"/>
      </w:pPr>
      <w:r>
        <w:t>W</w:t>
      </w:r>
      <w:r w:rsidR="002D43CB">
        <w:t>e propose the creation of ‘synthetic sovereign bonds’</w:t>
      </w:r>
      <w:r w:rsidR="0001601A">
        <w:t xml:space="preserve"> for green energy investment</w:t>
      </w:r>
      <w:r w:rsidR="1C427A55">
        <w:t xml:space="preserve"> - </w:t>
      </w:r>
      <w:r w:rsidR="2E3AD3AA">
        <w:t>i</w:t>
      </w:r>
      <w:r w:rsidR="1C427A55">
        <w:t>.e.</w:t>
      </w:r>
      <w:r w:rsidR="236459CE">
        <w:t>,</w:t>
      </w:r>
      <w:r w:rsidR="1C427A55">
        <w:t xml:space="preserve"> bonds partially co-guaranteed by a consortium of developed-country governments</w:t>
      </w:r>
      <w:r w:rsidR="0001601A">
        <w:t>.</w:t>
      </w:r>
      <w:r w:rsidR="003421C7">
        <w:rPr>
          <w:rStyle w:val="FootnoteReference"/>
        </w:rPr>
        <w:footnoteReference w:id="1"/>
      </w:r>
      <w:r w:rsidR="0001601A">
        <w:t xml:space="preserve"> </w:t>
      </w:r>
      <w:r w:rsidR="5480C922">
        <w:t xml:space="preserve">Such synthetic sovereign bonds could be arranged by MDBs without using developing countries’ scarce fiscal balance sheet space. </w:t>
      </w:r>
    </w:p>
    <w:p w14:paraId="702D177E" w14:textId="1331A5A0" w:rsidR="002D43CB" w:rsidRPr="002D43CB" w:rsidRDefault="00B51FD1" w:rsidP="5E48F23F">
      <w:pPr>
        <w:jc w:val="both"/>
      </w:pPr>
      <w:r>
        <w:t xml:space="preserve">We </w:t>
      </w:r>
      <w:r w:rsidR="1F48995E">
        <w:t xml:space="preserve">further </w:t>
      </w:r>
      <w:r>
        <w:t xml:space="preserve">propose that </w:t>
      </w:r>
      <w:r w:rsidR="574537D9">
        <w:t xml:space="preserve">the clean power generation assets underlying </w:t>
      </w:r>
      <w:r>
        <w:t xml:space="preserve">such bonds </w:t>
      </w:r>
      <w:r w:rsidR="66324358">
        <w:t xml:space="preserve">be </w:t>
      </w:r>
      <w:r>
        <w:t>derisked at the level of the</w:t>
      </w:r>
      <w:r w:rsidR="3D2BCAD3">
        <w:t>ir</w:t>
      </w:r>
      <w:r>
        <w:t xml:space="preserve"> </w:t>
      </w:r>
      <w:r w:rsidR="0071179A">
        <w:t>power purchase agreement</w:t>
      </w:r>
      <w:r w:rsidR="2D3D0DD5">
        <w:t>s</w:t>
      </w:r>
      <w:r w:rsidR="0071179A">
        <w:t xml:space="preserve"> through </w:t>
      </w:r>
      <w:r w:rsidR="074E630D">
        <w:t xml:space="preserve">national or regional supranational </w:t>
      </w:r>
      <w:r w:rsidR="0071179A">
        <w:t xml:space="preserve">institutions similar to </w:t>
      </w:r>
      <w:r w:rsidR="33D33BBB">
        <w:t>the</w:t>
      </w:r>
      <w:r w:rsidR="0071179A">
        <w:t xml:space="preserve"> Solar Energy Corporation of India (SECI)</w:t>
      </w:r>
      <w:r w:rsidR="00BA0F41">
        <w:t>,</w:t>
      </w:r>
      <w:r w:rsidR="0071179A">
        <w:t xml:space="preserve"> </w:t>
      </w:r>
      <w:r w:rsidR="5573C3EE">
        <w:t xml:space="preserve">a specialized government agency </w:t>
      </w:r>
      <w:r w:rsidR="0071179A">
        <w:t>which</w:t>
      </w:r>
      <w:r w:rsidR="00542B42">
        <w:t xml:space="preserve"> acts as an intermediary between </w:t>
      </w:r>
      <w:r w:rsidR="69E68FC9">
        <w:t xml:space="preserve">renewable energy </w:t>
      </w:r>
      <w:r w:rsidR="00542B42">
        <w:t xml:space="preserve">project developers and </w:t>
      </w:r>
      <w:r w:rsidR="3706109B">
        <w:t xml:space="preserve">wholesale electricity </w:t>
      </w:r>
      <w:r w:rsidR="00542B42">
        <w:t xml:space="preserve">purchasers </w:t>
      </w:r>
      <w:r w:rsidR="00D65873">
        <w:t>(in India’s case</w:t>
      </w:r>
      <w:r w:rsidR="00BA0F41">
        <w:t>,</w:t>
      </w:r>
      <w:r w:rsidR="00D65873">
        <w:t xml:space="preserve"> </w:t>
      </w:r>
      <w:r w:rsidR="2F1496F7">
        <w:t>electricity d</w:t>
      </w:r>
      <w:r w:rsidR="00D65873">
        <w:t>istribution companies</w:t>
      </w:r>
      <w:r w:rsidR="02126745">
        <w:t>, “Dis</w:t>
      </w:r>
      <w:r w:rsidR="027DADCD">
        <w:t>coms</w:t>
      </w:r>
      <w:r w:rsidR="02126745">
        <w:t>”</w:t>
      </w:r>
      <w:r w:rsidR="00D65873">
        <w:t>)</w:t>
      </w:r>
      <w:r w:rsidR="3CF007BC">
        <w:t xml:space="preserve">. SECI ensures that participating </w:t>
      </w:r>
      <w:r w:rsidR="0666BAA6">
        <w:t>power generators</w:t>
      </w:r>
      <w:r w:rsidR="1B6CA498">
        <w:t xml:space="preserve"> get paid in full and on time for the power they produce</w:t>
      </w:r>
      <w:r w:rsidR="00D65873">
        <w:t>.</w:t>
      </w:r>
      <w:r w:rsidR="00542B42">
        <w:t xml:space="preserve"> </w:t>
      </w:r>
    </w:p>
    <w:p w14:paraId="2E749A14" w14:textId="340D4203" w:rsidR="00CD4AFE" w:rsidRDefault="00DF7C5F" w:rsidP="007C5BEE">
      <w:pPr>
        <w:pStyle w:val="Heading2"/>
        <w:jc w:val="both"/>
      </w:pPr>
      <w:r>
        <w:t>Context and Narrative</w:t>
      </w:r>
      <w:r w:rsidR="00030D82">
        <w:t xml:space="preserve">  </w:t>
      </w:r>
    </w:p>
    <w:p w14:paraId="61EE936D" w14:textId="6904E98D" w:rsidR="00C94144" w:rsidRDefault="000B355C" w:rsidP="007C5BEE">
      <w:pPr>
        <w:jc w:val="both"/>
      </w:pPr>
      <w:r>
        <w:t xml:space="preserve">The International Energy Agency suggests that global </w:t>
      </w:r>
      <w:r w:rsidR="4A99CB62">
        <w:t xml:space="preserve">clean </w:t>
      </w:r>
      <w:r>
        <w:t xml:space="preserve">energy investment should reach $3tr per year by 2030 </w:t>
      </w:r>
      <w:sdt>
        <w:sdtPr>
          <w:rPr>
            <w:color w:val="000000" w:themeColor="text1"/>
          </w:rPr>
          <w:tag w:val="MENDELEY_CITATION_v3_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"/>
          <w:id w:val="2000994948"/>
          <w:placeholder>
            <w:docPart w:val="605775AB049A4FB199B03C347610BFC7"/>
          </w:placeholder>
        </w:sdtPr>
        <w:sdtContent>
          <w:r w:rsidRPr="5E48F23F">
            <w:rPr>
              <w:color w:val="000000" w:themeColor="text1"/>
            </w:rPr>
            <w:t>(IEA, 2021b, 2021a)</w:t>
          </w:r>
        </w:sdtContent>
      </w:sdt>
      <w:r>
        <w:t xml:space="preserve"> if the world is to meet the goals of the Paris agreement</w:t>
      </w:r>
      <w:r w:rsidR="7E07267B">
        <w:t xml:space="preserve"> of 2015</w:t>
      </w:r>
      <w:r>
        <w:t xml:space="preserve">. </w:t>
      </w:r>
      <w:r w:rsidR="00C94144">
        <w:t>Of</w:t>
      </w:r>
      <w:r w:rsidR="00A7551B">
        <w:t xml:space="preserve"> this,</w:t>
      </w:r>
      <w:r w:rsidR="00C94144">
        <w:t xml:space="preserve"> approximately one-third ($1tr per year by 2030) is needed directly for energy supply – principally renewables – with similar quantities needed for end-use technologies and public infrastructure.</w:t>
      </w:r>
      <w:r w:rsidR="00BA0099">
        <w:t xml:space="preserve"> </w:t>
      </w:r>
      <w:r w:rsidR="003A3CE0">
        <w:t xml:space="preserve">This investment can be split roughly equally between </w:t>
      </w:r>
      <w:r w:rsidR="00BA0099">
        <w:t xml:space="preserve">China, the developed world, and the developing world. </w:t>
      </w:r>
    </w:p>
    <w:p w14:paraId="4045D5F3" w14:textId="50C8A533" w:rsidR="00E77588" w:rsidRDefault="003217CD" w:rsidP="007C5BEE">
      <w:pPr>
        <w:jc w:val="both"/>
      </w:pPr>
      <w:r>
        <w:t>Such</w:t>
      </w:r>
      <w:r w:rsidR="003A3CE0">
        <w:t xml:space="preserve"> massive</w:t>
      </w:r>
      <w:r>
        <w:t xml:space="preserve"> investment </w:t>
      </w:r>
      <w:r w:rsidR="00815105">
        <w:t xml:space="preserve">needs to take place </w:t>
      </w:r>
      <w:r w:rsidR="00A7551B">
        <w:t xml:space="preserve">within the current </w:t>
      </w:r>
      <w:r w:rsidR="25111399">
        <w:t xml:space="preserve">context of </w:t>
      </w:r>
      <w:r w:rsidR="00A7551B">
        <w:t>fi</w:t>
      </w:r>
      <w:r w:rsidR="29EC3DFB">
        <w:t>scal</w:t>
      </w:r>
      <w:r w:rsidR="00A7551B">
        <w:t xml:space="preserve"> constrain</w:t>
      </w:r>
      <w:r w:rsidR="6793F490">
        <w:t>ts affecting many developing countries</w:t>
      </w:r>
      <w:r w:rsidR="1597E7E2">
        <w:t>,</w:t>
      </w:r>
      <w:r w:rsidR="00815105">
        <w:t xml:space="preserve"> given the Covid pandemic and </w:t>
      </w:r>
      <w:r w:rsidR="00D17327">
        <w:t>the recent spike in</w:t>
      </w:r>
      <w:r w:rsidR="00815105">
        <w:t xml:space="preserve"> energy prices.</w:t>
      </w:r>
      <w:r w:rsidR="00401654">
        <w:t xml:space="preserve"> </w:t>
      </w:r>
      <w:r w:rsidR="5A1F3155">
        <w:t>Infrastructure</w:t>
      </w:r>
      <w:r w:rsidR="00D17327">
        <w:t xml:space="preserve"> investment</w:t>
      </w:r>
      <w:r w:rsidR="00964D4A">
        <w:t xml:space="preserve"> in </w:t>
      </w:r>
      <w:r w:rsidR="0F31517E">
        <w:t>developing</w:t>
      </w:r>
      <w:r w:rsidR="00964D4A">
        <w:t xml:space="preserve"> countries typically involves a large</w:t>
      </w:r>
      <w:r w:rsidR="00A7551B">
        <w:t xml:space="preserve"> role of the state and MDBs </w:t>
      </w:r>
      <w:r w:rsidR="00D51BE9">
        <w:t xml:space="preserve">– </w:t>
      </w:r>
      <w:r w:rsidR="005A3E9B">
        <w:t>particularly</w:t>
      </w:r>
      <w:r w:rsidR="00401654">
        <w:t xml:space="preserve"> in </w:t>
      </w:r>
      <w:r w:rsidR="00D51BE9">
        <w:t>LDCs</w:t>
      </w:r>
      <w:r w:rsidR="0059479B">
        <w:t>.</w:t>
      </w:r>
      <w:r w:rsidR="00D51BE9">
        <w:t xml:space="preserve"> The state also has an outsized role in </w:t>
      </w:r>
      <w:r w:rsidR="6085C7B9">
        <w:t xml:space="preserve">electricity </w:t>
      </w:r>
      <w:r w:rsidR="00D51BE9">
        <w:t>markets</w:t>
      </w:r>
      <w:r w:rsidR="00944F62">
        <w:t xml:space="preserve">, as power </w:t>
      </w:r>
      <w:r w:rsidR="18C41687">
        <w:t xml:space="preserve">generation and distribution </w:t>
      </w:r>
      <w:r w:rsidR="00944F62">
        <w:t>system</w:t>
      </w:r>
      <w:r w:rsidR="122310C2">
        <w:t>s</w:t>
      </w:r>
      <w:r w:rsidR="00944F62">
        <w:t xml:space="preserve"> </w:t>
      </w:r>
      <w:r w:rsidR="245347EF">
        <w:t xml:space="preserve">are </w:t>
      </w:r>
      <w:r w:rsidR="00944F62">
        <w:t xml:space="preserve">often </w:t>
      </w:r>
      <w:r w:rsidR="093EB094">
        <w:t xml:space="preserve">in the hands of </w:t>
      </w:r>
      <w:r w:rsidR="005A3E9B">
        <w:t>state-owned</w:t>
      </w:r>
      <w:r w:rsidR="00944F62">
        <w:t xml:space="preserve"> enterprise</w:t>
      </w:r>
      <w:r w:rsidR="0AF6BF81">
        <w:t>s</w:t>
      </w:r>
      <w:r w:rsidR="001D229D">
        <w:t>; and markets, where they are exist, are designed and regulated by governments and government agencies</w:t>
      </w:r>
      <w:r w:rsidR="00D51BE9">
        <w:t>.</w:t>
      </w:r>
      <w:r w:rsidR="00017910">
        <w:t xml:space="preserve"> </w:t>
      </w:r>
    </w:p>
    <w:p w14:paraId="5AED4F51" w14:textId="77777777" w:rsidR="006215F4" w:rsidRDefault="00401654" w:rsidP="007C5BEE">
      <w:pPr>
        <w:jc w:val="both"/>
      </w:pPr>
      <w:r>
        <w:t xml:space="preserve">We can split the energy-related emissions problem into two halves: energy supply and energy demand. </w:t>
      </w:r>
    </w:p>
    <w:p w14:paraId="0F310C04" w14:textId="5C0DE164" w:rsidR="002662FC" w:rsidRDefault="002662FC" w:rsidP="007C5BEE">
      <w:pPr>
        <w:jc w:val="both"/>
      </w:pPr>
      <w:r>
        <w:t xml:space="preserve">In this paper, we restrict our scope to needed investment in energy supply in developing countries. </w:t>
      </w:r>
      <w:r w:rsidR="00EE75F1">
        <w:t>Renewable</w:t>
      </w:r>
      <w:r w:rsidR="10A87E6C">
        <w:t xml:space="preserve"> electricity generators</w:t>
      </w:r>
      <w:r w:rsidR="00EE75F1">
        <w:t xml:space="preserve"> (and other </w:t>
      </w:r>
      <w:r w:rsidR="00774954">
        <w:t>low-carbon</w:t>
      </w:r>
      <w:r w:rsidR="00EE75F1">
        <w:t xml:space="preserve"> power sources) </w:t>
      </w:r>
      <w:r w:rsidR="7FD12126">
        <w:t>play</w:t>
      </w:r>
      <w:r w:rsidR="00EE75F1">
        <w:t xml:space="preserve"> </w:t>
      </w:r>
      <w:r w:rsidR="00BF1FFE">
        <w:t>a key role in the green transition</w:t>
      </w:r>
      <w:r w:rsidR="0050082F">
        <w:t xml:space="preserve"> as </w:t>
      </w:r>
      <w:r w:rsidR="78A7C49D">
        <w:t xml:space="preserve">the </w:t>
      </w:r>
      <w:r w:rsidR="00037A8E">
        <w:t>principal</w:t>
      </w:r>
      <w:r w:rsidR="00EE75F1">
        <w:t xml:space="preserve"> </w:t>
      </w:r>
      <w:r w:rsidR="644331DC">
        <w:t xml:space="preserve">primary </w:t>
      </w:r>
      <w:r w:rsidR="00EE75F1">
        <w:t>energy source</w:t>
      </w:r>
      <w:r w:rsidR="18F5E399">
        <w:t>s</w:t>
      </w:r>
      <w:r w:rsidR="009F2702">
        <w:t xml:space="preserve"> for future </w:t>
      </w:r>
      <w:r w:rsidR="00774954">
        <w:t>low-carbon</w:t>
      </w:r>
      <w:r w:rsidR="00376624">
        <w:t xml:space="preserve"> energy system</w:t>
      </w:r>
      <w:r w:rsidR="48E6CD39">
        <w:t>s</w:t>
      </w:r>
      <w:r w:rsidR="0050082F">
        <w:t xml:space="preserve">. The existing power </w:t>
      </w:r>
      <w:r w:rsidR="5870B0F3">
        <w:t xml:space="preserve">generation </w:t>
      </w:r>
      <w:r w:rsidR="0050082F">
        <w:t>sector</w:t>
      </w:r>
      <w:r w:rsidR="00EE75F1">
        <w:t xml:space="preserve"> </w:t>
      </w:r>
      <w:r w:rsidR="008F015E">
        <w:t>needs to be</w:t>
      </w:r>
      <w:r w:rsidR="00EE75F1">
        <w:t xml:space="preserve"> </w:t>
      </w:r>
      <w:r w:rsidR="009676CA">
        <w:t>decarbonized</w:t>
      </w:r>
      <w:r w:rsidR="21F50DD8">
        <w:t xml:space="preserve"> – and </w:t>
      </w:r>
      <w:r w:rsidR="10388604">
        <w:t>power generation also</w:t>
      </w:r>
      <w:r w:rsidR="00037A8E">
        <w:t xml:space="preserve"> </w:t>
      </w:r>
      <w:r w:rsidR="000C2F7E">
        <w:t xml:space="preserve">needs to be scaled </w:t>
      </w:r>
      <w:r w:rsidR="1D6A30D5">
        <w:t xml:space="preserve">up far </w:t>
      </w:r>
      <w:r w:rsidR="000C2F7E">
        <w:t>beyond its current size</w:t>
      </w:r>
      <w:r w:rsidR="1A6F32ED">
        <w:t>, as per capita energy use increases, populations grow, and some sectors</w:t>
      </w:r>
      <w:r w:rsidR="530ACDC0">
        <w:t xml:space="preserve">, </w:t>
      </w:r>
      <w:r w:rsidR="1A6F32ED">
        <w:t xml:space="preserve">e.g. transportation and heating, </w:t>
      </w:r>
      <w:r w:rsidR="104D559A">
        <w:t>increasingly electrify.</w:t>
      </w:r>
      <w:r w:rsidR="00862AE6">
        <w:rPr>
          <w:rStyle w:val="FootnoteReference"/>
        </w:rPr>
        <w:footnoteReference w:id="2"/>
      </w:r>
      <w:r w:rsidR="65B39ADF">
        <w:t xml:space="preserve"> </w:t>
      </w:r>
    </w:p>
    <w:p w14:paraId="62683727" w14:textId="6E6D5670" w:rsidR="00E77588" w:rsidRDefault="00E77588" w:rsidP="007C5BEE">
      <w:pPr>
        <w:jc w:val="both"/>
      </w:pPr>
      <w:r>
        <w:t xml:space="preserve">The costs of wind and solar </w:t>
      </w:r>
      <w:r w:rsidR="1A58D978">
        <w:t xml:space="preserve">electricity </w:t>
      </w:r>
      <w:r>
        <w:t xml:space="preserve">fell dramatically from 2010-2020 and are cost competitive with fossil fuels for new investment in </w:t>
      </w:r>
      <w:r w:rsidR="3228C609">
        <w:t>a growing number of regions around</w:t>
      </w:r>
      <w:r>
        <w:t xml:space="preserve"> the world, notably </w:t>
      </w:r>
      <w:r w:rsidR="67612767">
        <w:t xml:space="preserve">including </w:t>
      </w:r>
      <w:r>
        <w:t xml:space="preserve">India. </w:t>
      </w:r>
      <w:r>
        <w:lastRenderedPageBreak/>
        <w:t xml:space="preserve">Notwithstanding recent cost increases driven by supply chain increases and </w:t>
      </w:r>
      <w:r w:rsidR="0BE9C266">
        <w:t xml:space="preserve">anticipated short-term </w:t>
      </w:r>
      <w:r>
        <w:t>mineral constraints, solar energy is expected to continue to fall in price over time.</w:t>
      </w:r>
    </w:p>
    <w:p w14:paraId="7D557F13" w14:textId="3411E972" w:rsidR="009419C5" w:rsidRDefault="00E77588" w:rsidP="5E48F23F">
      <w:pPr>
        <w:jc w:val="both"/>
      </w:pPr>
      <w:r>
        <w:t xml:space="preserve">Nevertheless, </w:t>
      </w:r>
      <w:r w:rsidR="0017731B">
        <w:t xml:space="preserve">low-carbon electricity has a </w:t>
      </w:r>
      <w:r w:rsidR="0017731B" w:rsidRPr="5E48F23F">
        <w:rPr>
          <w:i/>
          <w:iCs/>
        </w:rPr>
        <w:t>scaling problem</w:t>
      </w:r>
      <w:r w:rsidR="00752A45" w:rsidRPr="5E48F23F">
        <w:rPr>
          <w:i/>
          <w:iCs/>
        </w:rPr>
        <w:t>:</w:t>
      </w:r>
      <w:r w:rsidR="00752A45">
        <w:t xml:space="preserve"> how can</w:t>
      </w:r>
      <w:r w:rsidR="00577FD5">
        <w:t xml:space="preserve"> renewables,</w:t>
      </w:r>
      <w:r w:rsidR="00752A45">
        <w:t xml:space="preserve"> </w:t>
      </w:r>
      <w:r w:rsidR="7F701A4F">
        <w:t xml:space="preserve">at present </w:t>
      </w:r>
      <w:r w:rsidR="00752A45">
        <w:t xml:space="preserve">a relatively small </w:t>
      </w:r>
      <w:r w:rsidR="00577FD5">
        <w:t>sector, be</w:t>
      </w:r>
      <w:r w:rsidR="00006E32">
        <w:t xml:space="preserve"> </w:t>
      </w:r>
      <w:r w:rsidR="00752A45">
        <w:t>scale</w:t>
      </w:r>
      <w:r w:rsidR="00006E32">
        <w:t>d up</w:t>
      </w:r>
      <w:r w:rsidR="00752A45">
        <w:t xml:space="preserve"> at the pace needed</w:t>
      </w:r>
      <w:r w:rsidR="001533A6">
        <w:t xml:space="preserve"> to cover the </w:t>
      </w:r>
      <w:r w:rsidR="2911FBBD">
        <w:t xml:space="preserve">bulk of total </w:t>
      </w:r>
      <w:r w:rsidR="001533A6">
        <w:t xml:space="preserve">energy </w:t>
      </w:r>
      <w:r w:rsidR="7A694494">
        <w:t>demand</w:t>
      </w:r>
      <w:r w:rsidR="1EE9D6D1">
        <w:t xml:space="preserve"> – within </w:t>
      </w:r>
      <w:r w:rsidR="00006E32">
        <w:t xml:space="preserve">the </w:t>
      </w:r>
      <w:r w:rsidR="7C1B73AF">
        <w:t xml:space="preserve">tight </w:t>
      </w:r>
      <w:r w:rsidR="00006E32">
        <w:t xml:space="preserve">timescales </w:t>
      </w:r>
      <w:r w:rsidR="5934B26F">
        <w:t>driven by</w:t>
      </w:r>
      <w:r w:rsidR="00006E32">
        <w:t xml:space="preserve"> the Paris temperature targets</w:t>
      </w:r>
      <w:r w:rsidR="2C3E2A62">
        <w:t xml:space="preserve"> (</w:t>
      </w:r>
      <w:r w:rsidR="7CFA91AB" w:rsidRPr="5E48F23F">
        <w:rPr>
          <w:rFonts w:ascii="Symbol" w:eastAsia="Symbol" w:hAnsi="Symbol" w:cs="Symbol"/>
          <w:color w:val="222222"/>
          <w:sz w:val="24"/>
          <w:szCs w:val="24"/>
        </w:rPr>
        <w:t></w:t>
      </w:r>
      <w:r w:rsidR="2C3E2A62">
        <w:t>T&lt;1.5C)</w:t>
      </w:r>
      <w:r w:rsidR="00752A45">
        <w:t>?</w:t>
      </w:r>
      <w:r w:rsidR="0075653A">
        <w:t xml:space="preserve"> </w:t>
      </w:r>
    </w:p>
    <w:p w14:paraId="09F3FD90" w14:textId="13A2EE3A" w:rsidR="009419C5" w:rsidRDefault="0075653A" w:rsidP="5E48F23F">
      <w:pPr>
        <w:jc w:val="both"/>
      </w:pPr>
      <w:r>
        <w:t xml:space="preserve">Some of the scaling constraints may be endogenous, meaning that it will be necessary to </w:t>
      </w:r>
      <w:r w:rsidRPr="5E48F23F">
        <w:rPr>
          <w:i/>
          <w:iCs/>
        </w:rPr>
        <w:t>push</w:t>
      </w:r>
      <w:r>
        <w:t xml:space="preserve"> the system to expand rapidly </w:t>
      </w:r>
      <w:r w:rsidR="00DC3D65">
        <w:t>to</w:t>
      </w:r>
      <w:r>
        <w:t xml:space="preserve"> </w:t>
      </w:r>
      <w:r w:rsidR="194E4949">
        <w:t>overcome those constraints</w:t>
      </w:r>
      <w:r w:rsidR="000618FC">
        <w:t>.</w:t>
      </w:r>
      <w:r w:rsidR="00006E32">
        <w:t xml:space="preserve"> It will also be important to unlock physical supply constraints </w:t>
      </w:r>
      <w:r w:rsidR="71205FAF">
        <w:t xml:space="preserve">on </w:t>
      </w:r>
      <w:r w:rsidR="00006E32">
        <w:t>renewables</w:t>
      </w:r>
      <w:r w:rsidR="2BB2AEFC">
        <w:t xml:space="preserve"> expansion</w:t>
      </w:r>
      <w:r w:rsidR="00006E32">
        <w:t>: grid connection</w:t>
      </w:r>
      <w:r w:rsidR="26060C99">
        <w:t>s</w:t>
      </w:r>
      <w:r w:rsidR="00006E32">
        <w:t>, supply chain</w:t>
      </w:r>
      <w:r w:rsidR="10EF8455">
        <w:t>s</w:t>
      </w:r>
      <w:r w:rsidR="00006E32">
        <w:t xml:space="preserve">, </w:t>
      </w:r>
      <w:r w:rsidR="009E056D">
        <w:t>mineral resources (and the speed at which mines can open)</w:t>
      </w:r>
      <w:r w:rsidR="009E056D">
        <w:rPr>
          <w:rStyle w:val="FootnoteReference"/>
        </w:rPr>
        <w:footnoteReference w:id="3"/>
      </w:r>
      <w:r w:rsidR="009E056D">
        <w:t xml:space="preserve">, </w:t>
      </w:r>
      <w:r w:rsidR="00006E32">
        <w:t>land and labor markets.</w:t>
      </w:r>
      <w:r w:rsidR="009419C5">
        <w:t xml:space="preserve"> </w:t>
      </w:r>
      <w:r w:rsidR="000F7EA4">
        <w:t xml:space="preserve">Perhaps the most important of those scale constraints is </w:t>
      </w:r>
      <w:r w:rsidR="0273D0FA">
        <w:t xml:space="preserve">that associated with the challenge of </w:t>
      </w:r>
      <w:r w:rsidR="2903C2A3">
        <w:t>achieving the necessary scale</w:t>
      </w:r>
      <w:r w:rsidR="0856353C">
        <w:t xml:space="preserve"> and speed</w:t>
      </w:r>
      <w:r w:rsidR="2903C2A3">
        <w:t xml:space="preserve"> of </w:t>
      </w:r>
      <w:r w:rsidR="7B3AC5C0" w:rsidRPr="5E48F23F">
        <w:rPr>
          <w:i/>
          <w:iCs/>
        </w:rPr>
        <w:t xml:space="preserve">low-cost </w:t>
      </w:r>
      <w:r w:rsidR="50A10B06" w:rsidRPr="5E48F23F">
        <w:rPr>
          <w:i/>
          <w:iCs/>
        </w:rPr>
        <w:t xml:space="preserve">renewable energy project development </w:t>
      </w:r>
      <w:r w:rsidR="000F7EA4" w:rsidRPr="5E48F23F">
        <w:rPr>
          <w:i/>
          <w:iCs/>
        </w:rPr>
        <w:t>financing</w:t>
      </w:r>
      <w:r w:rsidR="000F7EA4">
        <w:t xml:space="preserve">. </w:t>
      </w:r>
    </w:p>
    <w:p w14:paraId="62B9D80E" w14:textId="79EC22E2" w:rsidR="003E3CEE" w:rsidRDefault="009419C5" w:rsidP="5E48F23F">
      <w:pPr>
        <w:jc w:val="both"/>
      </w:pPr>
      <w:r>
        <w:t>Developing countries have a range of power market structures, from state monopolies to</w:t>
      </w:r>
      <w:r w:rsidR="004E55E1">
        <w:t xml:space="preserve"> fully liberalized </w:t>
      </w:r>
      <w:r w:rsidR="00536B4A">
        <w:t>generation and distribution markets.</w:t>
      </w:r>
      <w:r w:rsidR="000864FD">
        <w:t xml:space="preserve"> In all countries, policies </w:t>
      </w:r>
      <w:r w:rsidR="03CFF0BA">
        <w:t xml:space="preserve">exist </w:t>
      </w:r>
      <w:r w:rsidR="000864FD">
        <w:t xml:space="preserve">that are intended to both encourage renewables and reduce </w:t>
      </w:r>
      <w:r w:rsidR="00707360">
        <w:t xml:space="preserve">their </w:t>
      </w:r>
      <w:r w:rsidR="000864FD">
        <w:t xml:space="preserve">financing cost. </w:t>
      </w:r>
      <w:r w:rsidR="000225AA">
        <w:t>A</w:t>
      </w:r>
      <w:r w:rsidR="003252B7">
        <w:t xml:space="preserve"> </w:t>
      </w:r>
      <w:r w:rsidR="003252B7" w:rsidRPr="0C0BB584">
        <w:rPr>
          <w:i/>
          <w:iCs/>
        </w:rPr>
        <w:t>contract</w:t>
      </w:r>
      <w:r w:rsidR="003252B7">
        <w:t xml:space="preserve"> for the power produced is made between the </w:t>
      </w:r>
      <w:r w:rsidR="004E50E2">
        <w:t>independent power project</w:t>
      </w:r>
      <w:r w:rsidR="00774BB5">
        <w:t xml:space="preserve"> (or generation company</w:t>
      </w:r>
      <w:r w:rsidR="004E50E2">
        <w:t>)</w:t>
      </w:r>
      <w:r w:rsidR="00774BB5">
        <w:t xml:space="preserve"> and the </w:t>
      </w:r>
      <w:r w:rsidR="006A1830">
        <w:t xml:space="preserve">power distributor (often a </w:t>
      </w:r>
      <w:r w:rsidR="003E3CEE">
        <w:t>State-Owned</w:t>
      </w:r>
      <w:r w:rsidR="006A1830">
        <w:t xml:space="preserve"> Enterprise</w:t>
      </w:r>
      <w:r w:rsidR="76D650B2">
        <w:t>, SOE</w:t>
      </w:r>
      <w:r w:rsidR="006A1830">
        <w:t>)</w:t>
      </w:r>
      <w:r w:rsidR="00C51E56">
        <w:t xml:space="preserve">. </w:t>
      </w:r>
      <w:r w:rsidR="000225AA">
        <w:t>The</w:t>
      </w:r>
      <w:r w:rsidR="4F011A1D">
        <w:t xml:space="preserve"> terms of the</w:t>
      </w:r>
      <w:r w:rsidR="000225AA">
        <w:t xml:space="preserve">se </w:t>
      </w:r>
      <w:r w:rsidR="25E5CD18">
        <w:t xml:space="preserve">contracts </w:t>
      </w:r>
      <w:r w:rsidR="000225AA">
        <w:t>can be set by state</w:t>
      </w:r>
      <w:r w:rsidR="7E30D603">
        <w:t xml:space="preserve"> fiat</w:t>
      </w:r>
      <w:r w:rsidR="000225AA">
        <w:t xml:space="preserve"> (</w:t>
      </w:r>
      <w:r w:rsidR="45C405FC">
        <w:t xml:space="preserve">e.g. in the form of </w:t>
      </w:r>
      <w:r w:rsidR="000225AA">
        <w:t>Feed</w:t>
      </w:r>
      <w:r w:rsidR="076D4DFD">
        <w:t>-in</w:t>
      </w:r>
      <w:r w:rsidR="000225AA">
        <w:t xml:space="preserve"> </w:t>
      </w:r>
      <w:r w:rsidR="003B64F5">
        <w:t>Tariffs</w:t>
      </w:r>
      <w:r w:rsidR="2F6C2B96">
        <w:t>, FiTs</w:t>
      </w:r>
      <w:r w:rsidR="000225AA">
        <w:t xml:space="preserve">) or </w:t>
      </w:r>
      <w:r w:rsidR="08124925">
        <w:t>auctioned</w:t>
      </w:r>
      <w:r w:rsidR="000B107E">
        <w:t xml:space="preserve"> </w:t>
      </w:r>
      <w:r w:rsidR="58D5E658">
        <w:t xml:space="preserve">(via </w:t>
      </w:r>
      <w:r w:rsidR="000B107E" w:rsidRPr="0C0BB584">
        <w:rPr>
          <w:i/>
          <w:iCs/>
        </w:rPr>
        <w:t>reverse auctions</w:t>
      </w:r>
      <w:r w:rsidR="69564A3A">
        <w:t>, in which prospective electricity suppliers compete to win contracts by offe</w:t>
      </w:r>
      <w:r w:rsidR="4F0F5337">
        <w:t>ring lower prices per</w:t>
      </w:r>
      <w:r w:rsidR="60397E39">
        <w:t xml:space="preserve"> MWh </w:t>
      </w:r>
      <w:r w:rsidR="523B81DC">
        <w:t xml:space="preserve">than their competitors, </w:t>
      </w:r>
      <w:r w:rsidR="4F0F5337">
        <w:t xml:space="preserve">e.g. </w:t>
      </w:r>
      <w:r w:rsidR="02DD34BF">
        <w:t xml:space="preserve">in the context of </w:t>
      </w:r>
      <w:r w:rsidR="4F0F5337">
        <w:t>20-year power purchase agreements)</w:t>
      </w:r>
      <w:r w:rsidR="000B107E" w:rsidRPr="0C0BB584">
        <w:rPr>
          <w:i/>
          <w:iCs/>
        </w:rPr>
        <w:t xml:space="preserve">. </w:t>
      </w:r>
      <w:r w:rsidR="009D2B81">
        <w:t>Rever</w:t>
      </w:r>
      <w:r w:rsidR="6F202A2C">
        <w:t>s</w:t>
      </w:r>
      <w:r w:rsidR="009D2B81">
        <w:t>e auctions guaranteeing power prices for project financing</w:t>
      </w:r>
      <w:r w:rsidR="000B107E">
        <w:t xml:space="preserve"> are relevant across the board</w:t>
      </w:r>
      <w:r w:rsidR="00707360">
        <w:t>,</w:t>
      </w:r>
      <w:r w:rsidR="000B107E">
        <w:t xml:space="preserve"> from </w:t>
      </w:r>
      <w:r w:rsidR="003B64F5">
        <w:t xml:space="preserve">state monopolies that can reduce financing costs by </w:t>
      </w:r>
      <w:r w:rsidR="009D2B81">
        <w:t>creating standalone public</w:t>
      </w:r>
      <w:r w:rsidR="003B64F5">
        <w:t xml:space="preserve"> to fully liberalized markets. </w:t>
      </w:r>
      <w:r w:rsidR="00FF0B61">
        <w:t xml:space="preserve">For </w:t>
      </w:r>
      <w:r w:rsidR="003E3CEE">
        <w:t>example,</w:t>
      </w:r>
      <w:r w:rsidR="00C51E56">
        <w:t xml:space="preserve"> </w:t>
      </w:r>
      <w:r w:rsidR="006A1830">
        <w:t xml:space="preserve">the </w:t>
      </w:r>
      <w:r w:rsidR="00C51E56">
        <w:t>United Kingdom</w:t>
      </w:r>
      <w:r w:rsidR="00FF0B61">
        <w:t>, a liberalized market,</w:t>
      </w:r>
      <w:r w:rsidR="00173BA2">
        <w:t xml:space="preserve"> has a reverse auction in place</w:t>
      </w:r>
      <w:r w:rsidR="00707360">
        <w:t xml:space="preserve"> for offshore wind</w:t>
      </w:r>
      <w:r w:rsidR="370FF81A">
        <w:t xml:space="preserve"> project developments</w:t>
      </w:r>
      <w:r w:rsidR="00173BA2">
        <w:t>,</w:t>
      </w:r>
      <w:r w:rsidR="006A1830">
        <w:t xml:space="preserve"> which </w:t>
      </w:r>
      <w:r w:rsidR="002D7B46">
        <w:t>defines</w:t>
      </w:r>
      <w:r w:rsidR="00FF0B61">
        <w:t xml:space="preserve"> </w:t>
      </w:r>
      <w:r w:rsidR="006A1830" w:rsidRPr="0C0BB584">
        <w:rPr>
          <w:i/>
          <w:iCs/>
        </w:rPr>
        <w:t>contracts for difference</w:t>
      </w:r>
      <w:r w:rsidR="006A1830">
        <w:t xml:space="preserve"> (</w:t>
      </w:r>
      <w:r w:rsidR="5841B7A3">
        <w:t xml:space="preserve">contracts </w:t>
      </w:r>
      <w:r w:rsidR="006A1830">
        <w:t>which pay renewable</w:t>
      </w:r>
      <w:r w:rsidR="7534303A">
        <w:t xml:space="preserve"> power generators</w:t>
      </w:r>
      <w:r w:rsidR="006A1830">
        <w:t xml:space="preserve"> the difference betwee</w:t>
      </w:r>
      <w:r w:rsidR="00EB75D4">
        <w:t>n the</w:t>
      </w:r>
      <w:r w:rsidR="00497E63">
        <w:t xml:space="preserve"> market price</w:t>
      </w:r>
      <w:r w:rsidR="00FF0B61">
        <w:t xml:space="preserve"> and a </w:t>
      </w:r>
      <w:r w:rsidR="00FF0B61" w:rsidRPr="0C0BB584">
        <w:rPr>
          <w:i/>
          <w:iCs/>
        </w:rPr>
        <w:t>strike price</w:t>
      </w:r>
      <w:r w:rsidR="00FF0B61">
        <w:t xml:space="preserve"> defined by the auction</w:t>
      </w:r>
      <w:r w:rsidR="00497E63">
        <w:t>)</w:t>
      </w:r>
      <w:r w:rsidR="006A1830">
        <w:t>.</w:t>
      </w:r>
      <w:r w:rsidR="003E3CEE">
        <w:t xml:space="preserve"> </w:t>
      </w:r>
    </w:p>
    <w:p w14:paraId="13DC0924" w14:textId="3C4CA690" w:rsidR="000B4681" w:rsidRDefault="009D2B81" w:rsidP="007C5BEE">
      <w:pPr>
        <w:jc w:val="both"/>
      </w:pPr>
      <w:r>
        <w:t>Auctioned power purchase agreements for renewables</w:t>
      </w:r>
      <w:r w:rsidR="00497E63">
        <w:t xml:space="preserve"> have two main </w:t>
      </w:r>
      <w:r w:rsidR="00925914">
        <w:t xml:space="preserve">purposes: a) they have historically been used to </w:t>
      </w:r>
      <w:r w:rsidR="003E3CEE">
        <w:t>subsidize</w:t>
      </w:r>
      <w:r w:rsidR="00925914">
        <w:t xml:space="preserve"> renewables</w:t>
      </w:r>
      <w:r w:rsidR="020C110C">
        <w:t>;</w:t>
      </w:r>
      <w:r w:rsidR="00925914">
        <w:t xml:space="preserve"> b) they provide</w:t>
      </w:r>
      <w:r w:rsidR="00401A95">
        <w:t xml:space="preserve"> a higher degree of certainty</w:t>
      </w:r>
      <w:r w:rsidR="00707360">
        <w:t>,</w:t>
      </w:r>
      <w:r w:rsidR="00401A95">
        <w:t xml:space="preserve"> </w:t>
      </w:r>
      <w:r w:rsidR="79098C29">
        <w:t xml:space="preserve">and so </w:t>
      </w:r>
      <w:r w:rsidR="00401A95">
        <w:t xml:space="preserve">they can be used to </w:t>
      </w:r>
      <w:r w:rsidR="009C1582">
        <w:t>reduce financing cost</w:t>
      </w:r>
      <w:r w:rsidR="53A1A85B">
        <w:t>s</w:t>
      </w:r>
      <w:r w:rsidR="009C1582">
        <w:t>.</w:t>
      </w:r>
      <w:r w:rsidR="00707360">
        <w:t xml:space="preserve"> Since the costs of renewables are </w:t>
      </w:r>
      <w:r w:rsidR="3A4A5FD9">
        <w:t xml:space="preserve">largely </w:t>
      </w:r>
      <w:r w:rsidR="00707360">
        <w:t>fixed</w:t>
      </w:r>
      <w:r w:rsidR="2DAB8D54">
        <w:t xml:space="preserve"> (rather than variable)</w:t>
      </w:r>
      <w:r w:rsidR="00707360">
        <w:t>, such contracts make economic and financial sense.</w:t>
      </w:r>
    </w:p>
    <w:p w14:paraId="2A907CDF" w14:textId="77777777" w:rsidR="00A00AA4" w:rsidRDefault="003E3CEE" w:rsidP="007C5BEE">
      <w:pPr>
        <w:jc w:val="both"/>
      </w:pPr>
      <w:r>
        <w:t xml:space="preserve">There are </w:t>
      </w:r>
      <w:r w:rsidR="00A10B7B">
        <w:t>a few</w:t>
      </w:r>
      <w:r>
        <w:t xml:space="preserve"> things to say about these contracts in the context of fiscal risks. </w:t>
      </w:r>
    </w:p>
    <w:p w14:paraId="710C4FA7" w14:textId="3B22E26C" w:rsidR="00A00AA4" w:rsidRDefault="003E3CEE" w:rsidP="007C5BEE">
      <w:pPr>
        <w:jc w:val="both"/>
      </w:pPr>
      <w:r>
        <w:t>Firstly, these contracts themselves constitute a macroeconomic risk.</w:t>
      </w:r>
      <w:r w:rsidR="00A00AA4">
        <w:t xml:space="preserve"> PPAs are long term contracts for renewable energy. Assuming for a moment, the contract is long term and does not decline in time. So for example, the contract is for solar power at 5c/kWh in 2023, but the same real terms price in 2030. Let’s say now that renewable energy falls in price to 2.5c/kWh</w:t>
      </w:r>
      <w:r w:rsidR="0044277B">
        <w:t>. That would mean that relative to new investment, old solar would be making a loss of 2.5c/kWh per kWh produced. Thus it may make sense to consider auctions for RE that decline in time, in sync with the expected decline of the costs of RE. Rather than contracting for 5c/kWh constant real terms, we might contract for 6c/kWh now, falling to 3c/kWh in 2030.</w:t>
      </w:r>
    </w:p>
    <w:p w14:paraId="2350BC20" w14:textId="1B603CBF" w:rsidR="00C732D9" w:rsidRDefault="003E3CEE" w:rsidP="007C5BEE">
      <w:pPr>
        <w:jc w:val="both"/>
      </w:pPr>
      <w:r>
        <w:lastRenderedPageBreak/>
        <w:t>If the real</w:t>
      </w:r>
      <w:r w:rsidR="00E5803D">
        <w:t>-</w:t>
      </w:r>
      <w:r>
        <w:t xml:space="preserve">terms value of these contracts does not decline, they potentially store up financial risks for the long term. </w:t>
      </w:r>
      <w:r w:rsidR="00F26609">
        <w:t>Second, the existence of these contracts may reduce the macro</w:t>
      </w:r>
      <w:r w:rsidR="00AF75B4">
        <w:t xml:space="preserve">economic </w:t>
      </w:r>
      <w:r w:rsidR="00F26609">
        <w:t>risks and costs elsewhere. Higher certainty may reduce the</w:t>
      </w:r>
      <w:r w:rsidR="00C732D9">
        <w:t xml:space="preserve"> financing cost.</w:t>
      </w:r>
      <w:r w:rsidR="00F26609">
        <w:t xml:space="preserve"> </w:t>
      </w:r>
      <w:r w:rsidR="00C732D9">
        <w:t xml:space="preserve"> </w:t>
      </w:r>
    </w:p>
    <w:p w14:paraId="5D7DC833" w14:textId="3465B4C2" w:rsidR="00006E32" w:rsidRDefault="70A03CCC" w:rsidP="007C5BEE">
      <w:pPr>
        <w:jc w:val="both"/>
      </w:pPr>
      <w:r>
        <w:t>T</w:t>
      </w:r>
      <w:r w:rsidR="00C732D9">
        <w:t>hese contracts can be made more certain</w:t>
      </w:r>
      <w:r w:rsidR="6F5C8001">
        <w:t>,</w:t>
      </w:r>
      <w:r w:rsidR="00C732D9">
        <w:t xml:space="preserve"> t</w:t>
      </w:r>
      <w:r w:rsidR="39574F0C">
        <w:t xml:space="preserve">hereby </w:t>
      </w:r>
      <w:r w:rsidR="00C732D9">
        <w:t>reduc</w:t>
      </w:r>
      <w:r w:rsidR="531033A8">
        <w:t>ing</w:t>
      </w:r>
      <w:r w:rsidR="00C732D9">
        <w:t xml:space="preserve"> financing costs. </w:t>
      </w:r>
      <w:r w:rsidR="00F63320">
        <w:t>T</w:t>
      </w:r>
      <w:r w:rsidR="00C732D9">
        <w:t xml:space="preserve">he credit rating of the </w:t>
      </w:r>
      <w:r w:rsidR="00CE1C26">
        <w:t>payment guarantor makes a big difference to the certainty of the payments and thus of the power projects themselves.</w:t>
      </w:r>
      <w:r w:rsidR="00F63320">
        <w:t xml:space="preserve"> Guarantees can be used, but in the context of power markets</w:t>
      </w:r>
      <w:r w:rsidR="00826804">
        <w:t>,</w:t>
      </w:r>
      <w:r w:rsidR="00F63320">
        <w:t xml:space="preserve"> it makes sense to guarantee </w:t>
      </w:r>
      <w:r w:rsidR="00826804">
        <w:t>the payor of these reverse auctions as the cornerstone of risk reduction.</w:t>
      </w:r>
    </w:p>
    <w:p w14:paraId="5303E10A" w14:textId="2F63DD40" w:rsidR="006D3429" w:rsidRPr="00CB20B0" w:rsidRDefault="006D3429" w:rsidP="007C5BEE">
      <w:pPr>
        <w:pStyle w:val="Heading2"/>
        <w:jc w:val="both"/>
      </w:pPr>
      <w:r w:rsidRPr="00CB20B0">
        <w:t>What are green synthetic-sovereign-rated bonds?</w:t>
      </w:r>
    </w:p>
    <w:p w14:paraId="6AC91520" w14:textId="5ABDCFEE" w:rsidR="0071241A" w:rsidRDefault="006D3429" w:rsidP="007C5BEE">
      <w:pPr>
        <w:jc w:val="both"/>
      </w:pPr>
      <w:r>
        <w:t xml:space="preserve">Synthetic </w:t>
      </w:r>
      <w:r w:rsidR="00DF4C41">
        <w:t>s</w:t>
      </w:r>
      <w:r>
        <w:t xml:space="preserve">overeign </w:t>
      </w:r>
      <w:r w:rsidR="00DF4C41">
        <w:t>b</w:t>
      </w:r>
      <w:r>
        <w:t xml:space="preserve">onds for </w:t>
      </w:r>
      <w:r w:rsidR="00DF4C41">
        <w:t>g</w:t>
      </w:r>
      <w:r>
        <w:t xml:space="preserve">reen </w:t>
      </w:r>
      <w:r w:rsidR="00DF4C41">
        <w:t>e</w:t>
      </w:r>
      <w:r>
        <w:t xml:space="preserve">nergy </w:t>
      </w:r>
      <w:r w:rsidR="00DF4C41">
        <w:t>i</w:t>
      </w:r>
      <w:r>
        <w:t xml:space="preserve">nvestment are </w:t>
      </w:r>
      <w:r w:rsidR="00B94211">
        <w:t xml:space="preserve">structured </w:t>
      </w:r>
      <w:r w:rsidR="00AB0A3B">
        <w:t>to be</w:t>
      </w:r>
      <w:r w:rsidR="00B94211">
        <w:t xml:space="preserve"> </w:t>
      </w:r>
      <w:r>
        <w:t xml:space="preserve">rated similarly to the </w:t>
      </w:r>
      <w:r w:rsidR="00B94211">
        <w:t>highest-rated</w:t>
      </w:r>
      <w:r>
        <w:t xml:space="preserve"> developed country sovereigns. </w:t>
      </w:r>
      <w:r w:rsidR="0071241A">
        <w:t>The</w:t>
      </w:r>
      <w:r w:rsidR="45E2E898">
        <w:t>se bonds can be used to</w:t>
      </w:r>
      <w:r w:rsidR="0071241A">
        <w:t xml:space="preserve"> fund green energy</w:t>
      </w:r>
      <w:r w:rsidR="0830FE33">
        <w:t xml:space="preserve"> projects on a large scale</w:t>
      </w:r>
      <w:r w:rsidR="0071241A">
        <w:t xml:space="preserve">, </w:t>
      </w:r>
      <w:r w:rsidR="55E414FC">
        <w:t>and they will be especially useful in</w:t>
      </w:r>
      <w:r w:rsidR="0071241A">
        <w:t xml:space="preserve"> developing countries. The bonds would be backed by real assets a</w:t>
      </w:r>
      <w:r w:rsidR="555811E3">
        <w:t>s well as</w:t>
      </w:r>
      <w:r w:rsidR="0071241A">
        <w:t xml:space="preserve"> payment guarantees issued by an AAA-rated entity.</w:t>
      </w:r>
    </w:p>
    <w:p w14:paraId="15EBA490" w14:textId="270A0109" w:rsidR="006D3429" w:rsidRDefault="006D3429" w:rsidP="007C5BEE">
      <w:pPr>
        <w:jc w:val="both"/>
      </w:pPr>
      <w:r>
        <w:t xml:space="preserve">Achieving a very high credit rating allows capital to be </w:t>
      </w:r>
      <w:r w:rsidR="074533C5">
        <w:t>rais</w:t>
      </w:r>
      <w:r>
        <w:t xml:space="preserve">ed </w:t>
      </w:r>
      <w:r w:rsidR="5EF519E5">
        <w:t xml:space="preserve">at scale </w:t>
      </w:r>
      <w:r>
        <w:t xml:space="preserve">both from international markets and from domestic savings. </w:t>
      </w:r>
      <w:r w:rsidR="2FEE820D">
        <w:t>A high credit rating</w:t>
      </w:r>
      <w:r>
        <w:t xml:space="preserve"> also reduces the interest cost, which is a </w:t>
      </w:r>
      <w:r w:rsidR="4177B144">
        <w:t xml:space="preserve">major </w:t>
      </w:r>
      <w:r w:rsidR="3B111AE0">
        <w:t xml:space="preserve">component </w:t>
      </w:r>
      <w:r>
        <w:t xml:space="preserve">of </w:t>
      </w:r>
      <w:r w:rsidR="30B23E73">
        <w:t xml:space="preserve">the </w:t>
      </w:r>
      <w:r w:rsidR="05B66171">
        <w:t xml:space="preserve">total costs of </w:t>
      </w:r>
      <w:r>
        <w:t>green in</w:t>
      </w:r>
      <w:r w:rsidR="081BE5CC">
        <w:t>frastructure</w:t>
      </w:r>
      <w:r w:rsidR="1B9BDF81">
        <w:t xml:space="preserve"> development</w:t>
      </w:r>
      <w:r w:rsidR="1D8FBC1E">
        <w:t>. A low risk of bond default reduces</w:t>
      </w:r>
      <w:r>
        <w:t xml:space="preserve"> the overall (levelized) cost</w:t>
      </w:r>
      <w:r w:rsidR="34B1B4DA">
        <w:t xml:space="preserve"> of producing green electricity</w:t>
      </w:r>
      <w:r>
        <w:t>. This reduced cost can lead to some combination of higher profit margins for developers or reduced energy costs for consumers.</w:t>
      </w:r>
    </w:p>
    <w:p w14:paraId="0EB14D1F" w14:textId="10702BDC" w:rsidR="00CD5D71" w:rsidRDefault="00CD5D71" w:rsidP="007C5BEE">
      <w:pPr>
        <w:jc w:val="both"/>
      </w:pPr>
      <w:r>
        <w:t>The goals of</w:t>
      </w:r>
      <w:r w:rsidR="00104510">
        <w:t xml:space="preserve"> this proposal for</w:t>
      </w:r>
      <w:r>
        <w:t xml:space="preserve"> synthetic sovereign bonds are to:</w:t>
      </w:r>
    </w:p>
    <w:p w14:paraId="42E84B4B" w14:textId="77777777" w:rsidR="00CD5D71" w:rsidRDefault="00CD5D71" w:rsidP="007C5BEE">
      <w:pPr>
        <w:pStyle w:val="ListParagraph"/>
        <w:numPr>
          <w:ilvl w:val="0"/>
          <w:numId w:val="5"/>
        </w:numPr>
        <w:jc w:val="both"/>
      </w:pPr>
      <w:r>
        <w:t>Reduce the cost of capital on renewable investment</w:t>
      </w:r>
    </w:p>
    <w:p w14:paraId="649D5C74" w14:textId="430FEB21" w:rsidR="00CD5D71" w:rsidRDefault="00CD5D71" w:rsidP="007C5BEE">
      <w:pPr>
        <w:pStyle w:val="ListParagraph"/>
        <w:numPr>
          <w:ilvl w:val="0"/>
          <w:numId w:val="5"/>
        </w:numPr>
        <w:jc w:val="both"/>
      </w:pPr>
      <w:r>
        <w:t>Access sources of low-cost capital at scale</w:t>
      </w:r>
      <w:r w:rsidR="27A907E9">
        <w:t xml:space="preserve"> - </w:t>
      </w:r>
      <w:r w:rsidR="06FB7A82">
        <w:t>i</w:t>
      </w:r>
      <w:r w:rsidR="27A907E9">
        <w:t>.e.</w:t>
      </w:r>
      <w:r w:rsidR="314E595E">
        <w:t>,</w:t>
      </w:r>
      <w:r>
        <w:t xml:space="preserve"> access international </w:t>
      </w:r>
      <w:r w:rsidR="6ECB7866">
        <w:t xml:space="preserve">institutional investors </w:t>
      </w:r>
      <w:r>
        <w:t>a</w:t>
      </w:r>
      <w:r w:rsidR="3A9229AD">
        <w:t xml:space="preserve">s well as </w:t>
      </w:r>
      <w:r>
        <w:t>attract domestic savings.</w:t>
      </w:r>
    </w:p>
    <w:p w14:paraId="03F0B0AD" w14:textId="28401433" w:rsidR="00CD5D71" w:rsidRDefault="00CD5D71" w:rsidP="007C5BEE">
      <w:pPr>
        <w:pStyle w:val="ListParagraph"/>
        <w:numPr>
          <w:ilvl w:val="0"/>
          <w:numId w:val="5"/>
        </w:numPr>
        <w:jc w:val="both"/>
      </w:pPr>
      <w:r>
        <w:t>Allow investment into poorer countries where typically investment is dominated by state- or MDBs (</w:t>
      </w:r>
      <w:r w:rsidR="1165884C">
        <w:t>s</w:t>
      </w:r>
      <w:r>
        <w:t>ee UNCTAD report).</w:t>
      </w:r>
    </w:p>
    <w:p w14:paraId="43B68ADB" w14:textId="4B487245" w:rsidR="00CD5D71" w:rsidRDefault="00CD5D71" w:rsidP="007C5BEE">
      <w:pPr>
        <w:pStyle w:val="ListParagraph"/>
        <w:numPr>
          <w:ilvl w:val="0"/>
          <w:numId w:val="5"/>
        </w:numPr>
        <w:jc w:val="both"/>
      </w:pPr>
      <w:r>
        <w:t xml:space="preserve">Enable </w:t>
      </w:r>
      <w:r w:rsidR="12BDEE66">
        <w:t xml:space="preserve">green infrastructure </w:t>
      </w:r>
      <w:r>
        <w:t xml:space="preserve">investment to be scaled up in situations of </w:t>
      </w:r>
      <w:r w:rsidR="74981549">
        <w:t xml:space="preserve">constrained </w:t>
      </w:r>
      <w:r>
        <w:t>fiscal space.</w:t>
      </w:r>
    </w:p>
    <w:p w14:paraId="56BAB1A0" w14:textId="7E6625C9" w:rsidR="00CE1C26" w:rsidRDefault="000456CE" w:rsidP="007C5BEE">
      <w:pPr>
        <w:pStyle w:val="Heading2"/>
        <w:jc w:val="both"/>
      </w:pPr>
      <w:r>
        <w:t>Guaranteeing Power Purchase Agreements:</w:t>
      </w:r>
      <w:r w:rsidR="00CD4AFE">
        <w:t xml:space="preserve"> </w:t>
      </w:r>
      <w:r>
        <w:t xml:space="preserve">The Solar Energy Corporation of India </w:t>
      </w:r>
      <w:r w:rsidR="3DA1F4FB">
        <w:t xml:space="preserve">as a </w:t>
      </w:r>
      <w:r>
        <w:t>model</w:t>
      </w:r>
      <w:r w:rsidR="00DE2620">
        <w:t xml:space="preserve"> </w:t>
      </w:r>
    </w:p>
    <w:p w14:paraId="56791475" w14:textId="77777777" w:rsidR="00A10A2D" w:rsidRDefault="007E4FC1" w:rsidP="007E4FC1">
      <w:pPr>
        <w:jc w:val="both"/>
      </w:pPr>
      <w:r>
        <w:t xml:space="preserve">The key difference of this specific proposal for synthetic sovereign bonds to previous mechanisms is that the guarantees exist principally at the level of the </w:t>
      </w:r>
      <w:r w:rsidRPr="5E48F23F">
        <w:rPr>
          <w:i/>
          <w:iCs/>
        </w:rPr>
        <w:t>off-taker</w:t>
      </w:r>
      <w:r>
        <w:t xml:space="preserve"> for the power rather than the level of the financing of debt. We reduce the payment risk at source.</w:t>
      </w:r>
      <w:r w:rsidR="00A10A2D">
        <w:t xml:space="preserve"> </w:t>
      </w:r>
    </w:p>
    <w:p w14:paraId="03F9FFF6" w14:textId="42397F7F" w:rsidR="007E4FC1" w:rsidRDefault="00A10A2D" w:rsidP="007E4FC1">
      <w:pPr>
        <w:jc w:val="both"/>
      </w:pPr>
      <w:r>
        <w:t xml:space="preserve">Why is this important? It’s just more efficient. If the </w:t>
      </w:r>
      <w:r w:rsidR="000476AA">
        <w:t>PPA is guaranteed, then the specific risk can be isolated from the other types of risk. Also, if the borrower is guaranteed, there’s unlikely to be recource (unless we create an even more complex structure) to the source of the risk. Whereas if the payment guarantee is guaranteed, then even if the offtaker cannot pay now, over the long term it can still pay the guarantor back.</w:t>
      </w:r>
    </w:p>
    <w:p w14:paraId="6CA7585C" w14:textId="4188DBF8" w:rsidR="00CC4FCE" w:rsidRDefault="00CC4FCE" w:rsidP="5E48F23F">
      <w:pPr>
        <w:jc w:val="both"/>
      </w:pPr>
      <w:r>
        <w:t xml:space="preserve">India provides a useful model </w:t>
      </w:r>
      <w:r w:rsidR="70B7FAE4">
        <w:t>of how institutional innovation can</w:t>
      </w:r>
      <w:r>
        <w:t xml:space="preserve"> reduce financing costs. In India, </w:t>
      </w:r>
      <w:r w:rsidR="0E2B208D">
        <w:t xml:space="preserve">some </w:t>
      </w:r>
      <w:r w:rsidR="00D7029C">
        <w:t>solar energy contracts are routed through a high-rated central auctioning</w:t>
      </w:r>
      <w:r w:rsidR="00F9616C">
        <w:t xml:space="preserve"> company called Solar Energy Corporation of India</w:t>
      </w:r>
      <w:r w:rsidR="00793932">
        <w:t xml:space="preserve"> (SECI). </w:t>
      </w:r>
      <w:r w:rsidR="00E500A6">
        <w:t xml:space="preserve">SECI acts as an intermediary between </w:t>
      </w:r>
      <w:r w:rsidR="79C68DCB">
        <w:t xml:space="preserve">wholesale </w:t>
      </w:r>
      <w:r w:rsidR="00E500A6">
        <w:t>purchaser</w:t>
      </w:r>
      <w:r w:rsidR="375DC09C">
        <w:t>s</w:t>
      </w:r>
      <w:r w:rsidR="00E500A6">
        <w:t xml:space="preserve"> of electricity</w:t>
      </w:r>
      <w:r w:rsidR="5E573CBA">
        <w:t xml:space="preserve"> (</w:t>
      </w:r>
      <w:r w:rsidR="00E500A6">
        <w:t xml:space="preserve">the </w:t>
      </w:r>
      <w:r w:rsidR="0098074C">
        <w:t>Distribution companies (Disco</w:t>
      </w:r>
      <w:r w:rsidR="463EC412">
        <w:t>m</w:t>
      </w:r>
      <w:r w:rsidR="0098074C">
        <w:t>s)</w:t>
      </w:r>
      <w:r w:rsidR="5E383DE3">
        <w:t>)</w:t>
      </w:r>
      <w:r w:rsidR="0098074C">
        <w:t xml:space="preserve"> and </w:t>
      </w:r>
      <w:r w:rsidR="0F2A3E24">
        <w:t xml:space="preserve">power </w:t>
      </w:r>
      <w:r w:rsidR="000B233D">
        <w:t xml:space="preserve">generators </w:t>
      </w:r>
      <w:r w:rsidR="74A1A807">
        <w:t xml:space="preserve">(independent power producers or partially state-owned </w:t>
      </w:r>
      <w:r w:rsidR="000B233D">
        <w:t>generation companies</w:t>
      </w:r>
      <w:r w:rsidR="2FCBA8C0">
        <w:t>)</w:t>
      </w:r>
      <w:r w:rsidR="000B233D">
        <w:t>.</w:t>
      </w:r>
      <w:r w:rsidR="004344B3">
        <w:t xml:space="preserve"> </w:t>
      </w:r>
      <w:r w:rsidR="005E6832">
        <w:t xml:space="preserve">SECI contracts with the generator </w:t>
      </w:r>
      <w:r w:rsidR="633F45AA">
        <w:t xml:space="preserve">to make timely payments for </w:t>
      </w:r>
      <w:r w:rsidR="633F45AA">
        <w:lastRenderedPageBreak/>
        <w:t xml:space="preserve">delivered power, </w:t>
      </w:r>
      <w:r w:rsidR="005E6832">
        <w:t xml:space="preserve">and </w:t>
      </w:r>
      <w:r w:rsidR="7E1E3DE8">
        <w:t xml:space="preserve">it </w:t>
      </w:r>
      <w:r w:rsidR="005E6832">
        <w:t xml:space="preserve">then </w:t>
      </w:r>
      <w:r w:rsidR="000456CE">
        <w:t>sells</w:t>
      </w:r>
      <w:r w:rsidR="005E6832">
        <w:t xml:space="preserve"> the power </w:t>
      </w:r>
      <w:r w:rsidR="2C227857">
        <w:t xml:space="preserve">under </w:t>
      </w:r>
      <w:r w:rsidR="005E6832">
        <w:t xml:space="preserve">contracts with the Discoms. If the Discoms are late in paying SECI, SECI will </w:t>
      </w:r>
      <w:r w:rsidR="3ED20961">
        <w:t>nevertheless</w:t>
      </w:r>
      <w:r w:rsidR="69B9AB27">
        <w:t xml:space="preserve"> </w:t>
      </w:r>
      <w:r w:rsidR="005E6832">
        <w:t>pay the generators</w:t>
      </w:r>
      <w:r w:rsidR="00157ED1">
        <w:t xml:space="preserve">. SECI has credit lines with the Reserve </w:t>
      </w:r>
      <w:r w:rsidR="0E58DBAC">
        <w:t>B</w:t>
      </w:r>
      <w:r w:rsidR="00157ED1">
        <w:t>ank of India</w:t>
      </w:r>
      <w:r w:rsidR="3C809AFD">
        <w:t xml:space="preserve"> (RBI)</w:t>
      </w:r>
      <w:r w:rsidR="000456CE">
        <w:t>,</w:t>
      </w:r>
      <w:r w:rsidR="00157ED1">
        <w:t xml:space="preserve"> and SECI is indemnified by state governments </w:t>
      </w:r>
      <w:r w:rsidR="7CF393B2">
        <w:t xml:space="preserve">for the </w:t>
      </w:r>
      <w:r w:rsidR="00157ED1">
        <w:t xml:space="preserve">long term. This arrangement reduces the </w:t>
      </w:r>
      <w:r w:rsidR="1E247BFA">
        <w:t xml:space="preserve">counterparty </w:t>
      </w:r>
      <w:r w:rsidR="00157ED1">
        <w:t>payment risk</w:t>
      </w:r>
      <w:r w:rsidR="2E40F49B">
        <w:t>s</w:t>
      </w:r>
      <w:r w:rsidR="00157ED1">
        <w:t xml:space="preserve"> </w:t>
      </w:r>
      <w:r w:rsidR="50DBBCA3">
        <w:t>faced by power generators</w:t>
      </w:r>
      <w:r w:rsidR="6E39E4FF">
        <w:t xml:space="preserve">. Such risks </w:t>
      </w:r>
      <w:r w:rsidR="2BCAC52B">
        <w:t>are often</w:t>
      </w:r>
      <w:r w:rsidR="50DBBCA3">
        <w:t xml:space="preserve"> associated with India’s Discoms, </w:t>
      </w:r>
      <w:r w:rsidR="27330EE1">
        <w:t xml:space="preserve">most of which are owned by state governments and </w:t>
      </w:r>
      <w:r w:rsidR="50DBBCA3">
        <w:t xml:space="preserve">many of which are in poor financial shape for structural political-economic reasons. </w:t>
      </w:r>
    </w:p>
    <w:p w14:paraId="47AEDF31" w14:textId="77777777" w:rsidR="00F738DA" w:rsidRDefault="00F738DA" w:rsidP="007C5BEE">
      <w:pPr>
        <w:pStyle w:val="Heading2"/>
        <w:jc w:val="both"/>
      </w:pPr>
      <w:r>
        <w:t xml:space="preserve">How could such a model be scaled up in other localities? </w:t>
      </w:r>
    </w:p>
    <w:p w14:paraId="01564A16" w14:textId="788EE61D" w:rsidR="00497EC8" w:rsidRDefault="00F738DA" w:rsidP="007C5BEE">
      <w:pPr>
        <w:jc w:val="both"/>
      </w:pPr>
      <w:r>
        <w:t>In larger countries</w:t>
      </w:r>
      <w:r w:rsidR="00DB6AF8">
        <w:t xml:space="preserve"> (</w:t>
      </w:r>
      <w:r w:rsidR="000456CE">
        <w:t>e.g.,</w:t>
      </w:r>
      <w:r w:rsidR="00DB6AF8">
        <w:t xml:space="preserve"> Nigeria </w:t>
      </w:r>
      <w:r w:rsidR="000456CE">
        <w:t xml:space="preserve">or </w:t>
      </w:r>
      <w:r w:rsidR="00DB6AF8">
        <w:t>Brazil)</w:t>
      </w:r>
      <w:r>
        <w:t>, a</w:t>
      </w:r>
      <w:r w:rsidR="44A63489">
        <w:t>n intermediary institution similar to India’s SECI</w:t>
      </w:r>
      <w:r>
        <w:t xml:space="preserve"> could be </w:t>
      </w:r>
      <w:r w:rsidR="000456CE">
        <w:t>implemented</w:t>
      </w:r>
      <w:r w:rsidR="7741369A">
        <w:t xml:space="preserve"> nationally</w:t>
      </w:r>
      <w:r>
        <w:t xml:space="preserve">. For smaller </w:t>
      </w:r>
      <w:r w:rsidR="00497EC8">
        <w:t>countries</w:t>
      </w:r>
      <w:r>
        <w:t xml:space="preserve">, regional clubs </w:t>
      </w:r>
      <w:r w:rsidR="3EC3D047">
        <w:t xml:space="preserve">which share a SECI-like regional institution </w:t>
      </w:r>
      <w:r>
        <w:t>could be the way forward.</w:t>
      </w:r>
      <w:r w:rsidR="0007263F">
        <w:t xml:space="preserve"> </w:t>
      </w:r>
      <w:r w:rsidR="00497EC8">
        <w:t xml:space="preserve">Such an arrangement </w:t>
      </w:r>
      <w:r w:rsidR="4CA77BE0">
        <w:t xml:space="preserve">would </w:t>
      </w:r>
      <w:r w:rsidR="00497EC8">
        <w:t>provide high levels of certainty for bondholders</w:t>
      </w:r>
      <w:r w:rsidR="00FF2789">
        <w:t xml:space="preserve">, especially </w:t>
      </w:r>
      <w:r w:rsidR="09B1B01F">
        <w:t xml:space="preserve">for financing of operational infrastructure (i.e. bonds that finance portfolios of </w:t>
      </w:r>
      <w:r w:rsidR="3C0D9AAA">
        <w:t xml:space="preserve">operating </w:t>
      </w:r>
      <w:r w:rsidR="09B1B01F">
        <w:t xml:space="preserve">renewable energy assets </w:t>
      </w:r>
      <w:r w:rsidR="690422B7">
        <w:t>whose construction has already been completed)</w:t>
      </w:r>
      <w:r w:rsidR="00497EC8">
        <w:t>.</w:t>
      </w:r>
      <w:r w:rsidR="000456CE">
        <w:t xml:space="preserve"> The World Bank could </w:t>
      </w:r>
      <w:r w:rsidR="56B2FFB8">
        <w:t xml:space="preserve">help </w:t>
      </w:r>
      <w:r w:rsidR="000456CE">
        <w:t xml:space="preserve">create </w:t>
      </w:r>
      <w:r w:rsidR="34052C26">
        <w:t>SECI-like</w:t>
      </w:r>
      <w:r w:rsidR="000456CE">
        <w:t xml:space="preserve"> financial structures without taking </w:t>
      </w:r>
      <w:r w:rsidR="004B1FEF">
        <w:t>risks on</w:t>
      </w:r>
      <w:r w:rsidR="25CA1B0D">
        <w:t>to</w:t>
      </w:r>
      <w:r w:rsidR="004B1FEF">
        <w:t xml:space="preserve"> its own balance sheet</w:t>
      </w:r>
      <w:r w:rsidR="008159A8">
        <w:t>.</w:t>
      </w:r>
    </w:p>
    <w:p w14:paraId="292E22E3" w14:textId="649C41A6" w:rsidR="00104510" w:rsidRDefault="00104510" w:rsidP="007C5BEE">
      <w:pPr>
        <w:jc w:val="both"/>
        <w:rPr>
          <w:noProof/>
        </w:rPr>
      </w:pPr>
      <w:r>
        <w:t xml:space="preserve">An important aspect of this would be the </w:t>
      </w:r>
      <w:r>
        <w:rPr>
          <w:noProof/>
        </w:rPr>
        <w:t xml:space="preserve">carbon value of these investments, ie a certified measure of the avoided ton of carbon. This would be the main reason/value for international guarantees by developed countries. The Paris Agreement mentions "the social value of mitigation activities" in paragraph 108 of the Paris decision. That could be a legal basis to value carbon reduction in these SECI-like regional institutions. See here: </w:t>
      </w:r>
      <w:hyperlink r:id="rId8" w:history="1">
        <w:r w:rsidR="005162E2" w:rsidRPr="00B9361D">
          <w:rPr>
            <w:rStyle w:val="Hyperlink"/>
            <w:noProof/>
          </w:rPr>
          <w:t>https://www.greenclimate.fund/sites/default/files/document/scaling-climate-finance-context-covid-19-full-report_0.pdf</w:t>
        </w:r>
      </w:hyperlink>
    </w:p>
    <w:p w14:paraId="598F5B90" w14:textId="77777777" w:rsidR="005162E2" w:rsidRDefault="005162E2" w:rsidP="005162E2">
      <w:pPr>
        <w:pStyle w:val="Heading1"/>
      </w:pPr>
      <w:r>
        <w:t>Macroeconomic Risks</w:t>
      </w:r>
    </w:p>
    <w:p w14:paraId="6BB8907B" w14:textId="77777777" w:rsidR="005162E2" w:rsidRDefault="005162E2" w:rsidP="005162E2">
      <w:pPr>
        <w:jc w:val="both"/>
      </w:pPr>
      <w:r>
        <w:t>The currency of the original PPA, and potential revaluation risk if it changes relative to the revenues. Just as denominating government bonds in international currencies can amplify payments denominated in local currency, if the local currency devalues, the same can be true here. If PPAs are defined in USD or other hard currency, there’s a risk that in the long term, the PPAs would be a fiscal cost for developing countries, eventuating when currencies depreciate, similar to external debt when denominated in hard currency. To minimize that risk, PPAs that decline in time could be defined (meaning that the price paid in year two would be slightly less than year one and so on, matching the expected future cost of new solar in future time periods).</w:t>
      </w:r>
    </w:p>
    <w:p w14:paraId="228BB17A" w14:textId="77777777" w:rsidR="005162E2" w:rsidRDefault="005162E2" w:rsidP="005162E2">
      <w:pPr>
        <w:jc w:val="both"/>
      </w:pPr>
      <w:r>
        <w:t>If the PPAs are denominated in weak local currencies, the assets may be useful for domestic savings but will not be very attractive in international investment markets. In that case, bonds could be designed for mobilizing domestic savings.</w:t>
      </w:r>
    </w:p>
    <w:p w14:paraId="64245349" w14:textId="77777777" w:rsidR="005162E2" w:rsidRPr="00CC320D" w:rsidRDefault="005162E2" w:rsidP="005162E2">
      <w:pPr>
        <w:pStyle w:val="Heading3"/>
      </w:pPr>
      <w:r w:rsidRPr="005C283F">
        <w:t>Trade Balance</w:t>
      </w:r>
    </w:p>
    <w:p w14:paraId="609BF9AD" w14:textId="77777777" w:rsidR="005162E2" w:rsidRPr="00C37866" w:rsidRDefault="005162E2" w:rsidP="005162E2">
      <w:r w:rsidRPr="00C37866">
        <w:t>Related to the issue of currency risk is the ffect of RE equipment imports on the local economy. Certain "supply chain/industrial" policies may be needed, which would ensure that capabilities are built together with the deployment of RE capacities, at least at a regional scale.</w:t>
      </w:r>
    </w:p>
    <w:p w14:paraId="13A65FEA" w14:textId="77777777" w:rsidR="005162E2" w:rsidRDefault="005162E2" w:rsidP="007C5BEE">
      <w:pPr>
        <w:jc w:val="both"/>
      </w:pPr>
    </w:p>
    <w:p w14:paraId="4FCF1C91" w14:textId="6AD8A0A7" w:rsidR="000456CE" w:rsidRDefault="000456CE" w:rsidP="006020F7">
      <w:pPr>
        <w:pStyle w:val="Heading2"/>
      </w:pPr>
      <w:r>
        <w:lastRenderedPageBreak/>
        <w:t xml:space="preserve">Basics of the Issuance of Derisked </w:t>
      </w:r>
      <w:r w:rsidRPr="006020F7">
        <w:t>Bonds</w:t>
      </w:r>
    </w:p>
    <w:p w14:paraId="10F722A6" w14:textId="0C10A15F" w:rsidR="000456CE" w:rsidRDefault="000456CE" w:rsidP="007C5BEE">
      <w:pPr>
        <w:jc w:val="both"/>
      </w:pPr>
      <w:r>
        <w:t xml:space="preserve">The derisked power purchase agreement </w:t>
      </w:r>
      <w:r w:rsidR="008159A8">
        <w:t>ensures that, once the project is complete,</w:t>
      </w:r>
      <w:r w:rsidR="00397439">
        <w:t xml:space="preserve"> there will be a secure set of cash</w:t>
      </w:r>
      <w:r w:rsidR="247CE9C8">
        <w:t xml:space="preserve"> </w:t>
      </w:r>
      <w:r w:rsidR="00397439">
        <w:t>flows to back the i</w:t>
      </w:r>
      <w:r w:rsidR="3C956270">
        <w:t xml:space="preserve">ssued </w:t>
      </w:r>
      <w:r w:rsidR="00397439">
        <w:t>bonds or money market funds.</w:t>
      </w:r>
      <w:r w:rsidR="007C5653">
        <w:t xml:space="preserve"> The following sections add a few technical details.</w:t>
      </w:r>
    </w:p>
    <w:p w14:paraId="5CF5675F" w14:textId="00DCC3D4" w:rsidR="008F6A83" w:rsidRPr="008F6A83" w:rsidRDefault="000456CE" w:rsidP="007C5BEE">
      <w:pPr>
        <w:pStyle w:val="Heading3"/>
        <w:jc w:val="both"/>
      </w:pPr>
      <w:r>
        <w:t>Bond Priority to Cashflows</w:t>
      </w:r>
    </w:p>
    <w:p w14:paraId="5CA4748F" w14:textId="0445F4B9" w:rsidR="006D3429" w:rsidRDefault="008F6A83" w:rsidP="007C5BEE">
      <w:pPr>
        <w:jc w:val="both"/>
      </w:pPr>
      <w:r>
        <w:t xml:space="preserve">Such a </w:t>
      </w:r>
      <w:r w:rsidR="000456CE">
        <w:t>high-rated</w:t>
      </w:r>
      <w:r>
        <w:t xml:space="preserve"> intermediary provides a </w:t>
      </w:r>
      <w:r w:rsidR="008F211A">
        <w:t xml:space="preserve">secure source of </w:t>
      </w:r>
      <w:r w:rsidR="000456CE">
        <w:t>cash flow</w:t>
      </w:r>
      <w:r w:rsidR="008F211A">
        <w:t xml:space="preserve"> to back</w:t>
      </w:r>
      <w:r w:rsidR="000456CE">
        <w:t xml:space="preserve"> financial assets</w:t>
      </w:r>
      <w:r w:rsidR="008F211A">
        <w:t xml:space="preserve">. Once a </w:t>
      </w:r>
      <w:r w:rsidR="002E1F2A">
        <w:t>plan is finished and connected to the grid, a solar plant in a sunny location has very little business risk apart from the price paid for the power produced (which</w:t>
      </w:r>
      <w:r w:rsidR="002F189B">
        <w:t xml:space="preserve"> </w:t>
      </w:r>
      <w:r w:rsidR="002E1F2A">
        <w:t xml:space="preserve">is guaranteed). </w:t>
      </w:r>
      <w:r w:rsidR="000456CE">
        <w:t>There are</w:t>
      </w:r>
      <w:r w:rsidR="002E1F2A">
        <w:t xml:space="preserve"> potentially further </w:t>
      </w:r>
      <w:r w:rsidR="00AB674E">
        <w:t>innovations that can take place - a</w:t>
      </w:r>
      <w:r w:rsidR="006D3429">
        <w:t xml:space="preserve"> ‘securitization’ arrangement where the guaranteed cashflows from </w:t>
      </w:r>
      <w:r w:rsidR="00AB674E">
        <w:t xml:space="preserve">the power purchase </w:t>
      </w:r>
      <w:r w:rsidR="006D3429">
        <w:t xml:space="preserve">agreement flow directly to bondholders – meaning that the bondholders are subject only to the risk of the intermediate guaranteeing agency and not to the project developer. </w:t>
      </w:r>
    </w:p>
    <w:p w14:paraId="053F57A1" w14:textId="73030474" w:rsidR="005162E2" w:rsidRDefault="005162E2" w:rsidP="005162E2">
      <w:pPr>
        <w:pStyle w:val="Heading3"/>
        <w:jc w:val="both"/>
      </w:pPr>
      <w:r>
        <w:t>Construction Risks</w:t>
      </w:r>
    </w:p>
    <w:p w14:paraId="6A116E36" w14:textId="77777777" w:rsidR="005162E2" w:rsidRDefault="005162E2" w:rsidP="005162E2">
      <w:pPr>
        <w:jc w:val="both"/>
      </w:pPr>
      <w:r>
        <w:t xml:space="preserve">Given that many things can go wrong, further guarantees will be required to ensure that the bonds are rated AAA. One is the construction risk, meaning that a bank might make the initial investment, giving long-term financing as a refinancing option once the projects are complete. </w:t>
      </w:r>
    </w:p>
    <w:p w14:paraId="19B5A0B6" w14:textId="2FC90779" w:rsidR="00D96ECC" w:rsidRPr="00D96ECC" w:rsidRDefault="00D96ECC" w:rsidP="007C5BEE">
      <w:pPr>
        <w:pStyle w:val="Heading3"/>
        <w:jc w:val="both"/>
      </w:pPr>
      <w:r w:rsidRPr="00D96ECC">
        <w:t>Secondary Guarantees</w:t>
      </w:r>
    </w:p>
    <w:p w14:paraId="6994CCC9" w14:textId="2723323D" w:rsidR="00DB04FB" w:rsidRDefault="003A49F5" w:rsidP="007C5BEE">
      <w:pPr>
        <w:jc w:val="both"/>
      </w:pPr>
      <w:r>
        <w:t xml:space="preserve">Along with the </w:t>
      </w:r>
      <w:r w:rsidR="00F23FD9">
        <w:t xml:space="preserve">primary guarantee provided by the </w:t>
      </w:r>
      <w:r w:rsidR="009A6348">
        <w:t xml:space="preserve">centralized counterparty, secondary guarantees </w:t>
      </w:r>
      <w:r w:rsidR="66221EB8">
        <w:t xml:space="preserve">may be needed </w:t>
      </w:r>
      <w:r w:rsidR="009A6348">
        <w:t>to ensure a</w:t>
      </w:r>
      <w:r w:rsidR="7B79AC45">
        <w:t>n</w:t>
      </w:r>
      <w:r w:rsidR="009A6348">
        <w:t xml:space="preserve"> AAA rating </w:t>
      </w:r>
      <w:r w:rsidR="36F262D2">
        <w:t xml:space="preserve">for </w:t>
      </w:r>
      <w:r w:rsidR="009A6348">
        <w:t xml:space="preserve">the bonds. One </w:t>
      </w:r>
      <w:r w:rsidR="1819034D">
        <w:t xml:space="preserve">possible </w:t>
      </w:r>
      <w:r w:rsidR="009A6348">
        <w:t xml:space="preserve">approach </w:t>
      </w:r>
      <w:r w:rsidR="2DFCFC01">
        <w:t xml:space="preserve">is </w:t>
      </w:r>
      <w:r w:rsidR="00F44A8F">
        <w:t xml:space="preserve">a </w:t>
      </w:r>
      <w:r w:rsidR="00882235">
        <w:t>dual-use</w:t>
      </w:r>
      <w:r w:rsidR="00F44A8F">
        <w:t xml:space="preserve"> </w:t>
      </w:r>
      <w:r w:rsidR="009A6348">
        <w:t>equity fund</w:t>
      </w:r>
      <w:r w:rsidR="00F44A8F">
        <w:t>. The fund would co-invest</w:t>
      </w:r>
      <w:r w:rsidR="009A6348">
        <w:t xml:space="preserve"> in projects</w:t>
      </w:r>
      <w:r w:rsidR="5E09819F">
        <w:t>,</w:t>
      </w:r>
      <w:r w:rsidR="009A6348">
        <w:t xml:space="preserve"> and </w:t>
      </w:r>
      <w:r w:rsidR="00F44A8F">
        <w:t xml:space="preserve">also act, for a fee, as a </w:t>
      </w:r>
      <w:r w:rsidR="114FF9EB">
        <w:t>cross-</w:t>
      </w:r>
      <w:r w:rsidR="00F44A8F">
        <w:t>guarantor for the bonds of other projects, thereby receiving a diversification benefit.</w:t>
      </w:r>
      <w:r w:rsidR="00882235">
        <w:t xml:space="preserve"> In addition to this first</w:t>
      </w:r>
      <w:r w:rsidR="3CD945BE">
        <w:t>-</w:t>
      </w:r>
      <w:r w:rsidR="00882235">
        <w:t xml:space="preserve">loss fund, bonds would be guaranteed by a final guarantor such as a developed market sovereign </w:t>
      </w:r>
      <w:r w:rsidR="000456CE">
        <w:t>or a reinsurance company such as Swiss Re or Munich Re.</w:t>
      </w:r>
    </w:p>
    <w:p w14:paraId="7B1CB3FE" w14:textId="19E7A44E" w:rsidR="007C5653" w:rsidRDefault="007C5653" w:rsidP="006020F7">
      <w:pPr>
        <w:pStyle w:val="Heading1"/>
      </w:pPr>
      <w:r>
        <w:t>Conclusions</w:t>
      </w:r>
    </w:p>
    <w:p w14:paraId="6992C679" w14:textId="35ACA034" w:rsidR="006F71EE" w:rsidRPr="006F71EE" w:rsidRDefault="24510AE2" w:rsidP="007C5BEE">
      <w:pPr>
        <w:jc w:val="both"/>
      </w:pPr>
      <w:r>
        <w:t>C</w:t>
      </w:r>
      <w:r w:rsidR="006F71EE">
        <w:t xml:space="preserve">ost of capital and investment risks are large </w:t>
      </w:r>
      <w:r w:rsidR="007C5BEE">
        <w:t>barriers</w:t>
      </w:r>
      <w:r w:rsidR="006F71EE">
        <w:t xml:space="preserve"> to investing in developing countries. A derisked </w:t>
      </w:r>
      <w:r w:rsidR="007C5BEE">
        <w:t>project financing model</w:t>
      </w:r>
      <w:r w:rsidR="006F71EE">
        <w:t xml:space="preserve"> can reduce the cost of capital and mitigate risks. A key </w:t>
      </w:r>
      <w:r w:rsidR="03A37D7B">
        <w:t xml:space="preserve">innovation that has been successfully </w:t>
      </w:r>
      <w:r w:rsidR="006F71EE">
        <w:t xml:space="preserve">employed </w:t>
      </w:r>
      <w:r w:rsidR="6C1C52B3">
        <w:t xml:space="preserve">in India </w:t>
      </w:r>
      <w:r w:rsidR="2116A323">
        <w:t xml:space="preserve">(the Solar Energy Corporation of India, SECI) </w:t>
      </w:r>
      <w:r w:rsidR="006F71EE">
        <w:t>is a central counterparty or guarantor for power purchase agreements.</w:t>
      </w:r>
      <w:r w:rsidR="007C5BEE">
        <w:t xml:space="preserve"> </w:t>
      </w:r>
      <w:r w:rsidR="3342D352">
        <w:t>S</w:t>
      </w:r>
      <w:r w:rsidR="007C5BEE">
        <w:t xml:space="preserve">trong contracts </w:t>
      </w:r>
      <w:r w:rsidR="41026C52">
        <w:t xml:space="preserve">brokered </w:t>
      </w:r>
      <w:r w:rsidR="659DEC96">
        <w:t>by</w:t>
      </w:r>
      <w:r w:rsidR="41026C52">
        <w:t xml:space="preserve"> </w:t>
      </w:r>
      <w:r w:rsidR="62E25001">
        <w:t xml:space="preserve">an expert agency like SECI </w:t>
      </w:r>
      <w:r w:rsidR="007C5BEE">
        <w:t>can become the bas</w:t>
      </w:r>
      <w:r w:rsidR="784D7DA0">
        <w:t>i</w:t>
      </w:r>
      <w:r w:rsidR="007C5BEE">
        <w:t>s for issuance of AAA-rated bonds or bank deposit money market funds, which can provide institutional investors and domestic savers with safe, high-rated savings or investment products.</w:t>
      </w:r>
    </w:p>
    <w:sectPr w:rsidR="006F71EE" w:rsidRPr="006F71EE">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0C44E6C7" w14:textId="77777777" w:rsidR="00D84121" w:rsidRDefault="00D84121" w:rsidP="003421C7">
      <w:pPr>
        <w:spacing w:after="0" w:line="240" w:lineRule="auto"/>
      </w:pPr>
      <w:r>
        <w:separator/>
      </w:r>
    </w:p>
  </w:endnote>
  <w:endnote w:type="continuationSeparator" w:id="0">
    <w:p w14:paraId="614754FF" w14:textId="77777777" w:rsidR="00D84121" w:rsidRDefault="00D84121" w:rsidP="003421C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5C85201A" w14:textId="77777777" w:rsidR="00D84121" w:rsidRDefault="00D84121" w:rsidP="003421C7">
      <w:pPr>
        <w:spacing w:after="0" w:line="240" w:lineRule="auto"/>
      </w:pPr>
      <w:r>
        <w:separator/>
      </w:r>
    </w:p>
  </w:footnote>
  <w:footnote w:type="continuationSeparator" w:id="0">
    <w:p w14:paraId="392BEB03" w14:textId="77777777" w:rsidR="00D84121" w:rsidRDefault="00D84121" w:rsidP="003421C7">
      <w:pPr>
        <w:spacing w:after="0" w:line="240" w:lineRule="auto"/>
      </w:pPr>
      <w:r>
        <w:continuationSeparator/>
      </w:r>
    </w:p>
  </w:footnote>
  <w:footnote w:id="1">
    <w:p w14:paraId="4B0D60D1" w14:textId="656C5AA8" w:rsidR="003421C7" w:rsidRDefault="003421C7">
      <w:pPr>
        <w:pStyle w:val="FootnoteText"/>
      </w:pPr>
      <w:r>
        <w:rPr>
          <w:rStyle w:val="FootnoteReference"/>
        </w:rPr>
        <w:footnoteRef/>
      </w:r>
      <w:r>
        <w:t xml:space="preserve"> This relates to the idea of a ‘climate club’.</w:t>
      </w:r>
    </w:p>
  </w:footnote>
  <w:footnote w:id="2">
    <w:p w14:paraId="568CC12A" w14:textId="213B5330" w:rsidR="00862AE6" w:rsidRDefault="00862AE6">
      <w:pPr>
        <w:pStyle w:val="FootnoteText"/>
      </w:pPr>
      <w:r>
        <w:rPr>
          <w:rStyle w:val="FootnoteReference"/>
        </w:rPr>
        <w:footnoteRef/>
      </w:r>
      <w:r>
        <w:t xml:space="preserve"> Deployment of electrified end-user technologies (for example, air conditioning/heat pump units and lightweight, cheap electric vehicles) and infrastructure (charging point networks, transmission grids, utility-scale energy storage) must be scaled up quickly. This is not the topic of this paper, but rather the more general T2B report.</w:t>
      </w:r>
    </w:p>
  </w:footnote>
  <w:footnote w:id="3">
    <w:p w14:paraId="6C99DF90" w14:textId="276A53AC" w:rsidR="009E056D" w:rsidRDefault="009E056D">
      <w:pPr>
        <w:pStyle w:val="FootnoteText"/>
      </w:pPr>
      <w:r>
        <w:rPr>
          <w:rStyle w:val="FootnoteReference"/>
        </w:rPr>
        <w:footnoteRef/>
      </w:r>
      <w:r>
        <w:t xml:space="preserve"> See: </w:t>
      </w:r>
      <w:r w:rsidRPr="00CB4B81">
        <w:rPr>
          <w:noProof/>
        </w:rPr>
        <w:t>https://www.iea.org/reports/the-role-of-critical-minerals-in-clean-energy-transitions</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BB96B9D"/>
    <w:multiLevelType w:val="hybridMultilevel"/>
    <w:tmpl w:val="7FD22DD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448019B9"/>
    <w:multiLevelType w:val="hybridMultilevel"/>
    <w:tmpl w:val="B7ACDF82"/>
    <w:lvl w:ilvl="0" w:tplc="4EE40AAC">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47234745"/>
    <w:multiLevelType w:val="hybridMultilevel"/>
    <w:tmpl w:val="6B12F388"/>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4EFB3D3B"/>
    <w:multiLevelType w:val="hybridMultilevel"/>
    <w:tmpl w:val="737AB2E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6A1E594B"/>
    <w:multiLevelType w:val="hybridMultilevel"/>
    <w:tmpl w:val="BA2E07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948508120">
    <w:abstractNumId w:val="3"/>
  </w:num>
  <w:num w:numId="2" w16cid:durableId="656958948">
    <w:abstractNumId w:val="2"/>
  </w:num>
  <w:num w:numId="3" w16cid:durableId="453837879">
    <w:abstractNumId w:val="0"/>
  </w:num>
  <w:num w:numId="4" w16cid:durableId="60832059">
    <w:abstractNumId w:val="1"/>
  </w:num>
  <w:num w:numId="5" w16cid:durableId="109799023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2MDOztDA2NTA2NzA3tTRQ0lEKTi0uzszPAykwqwUAcfDzOywAAAA="/>
  </w:docVars>
  <w:rsids>
    <w:rsidRoot w:val="00CD4AFE"/>
    <w:rsid w:val="00006E32"/>
    <w:rsid w:val="0001601A"/>
    <w:rsid w:val="00017910"/>
    <w:rsid w:val="000225AA"/>
    <w:rsid w:val="00024FF5"/>
    <w:rsid w:val="00030D82"/>
    <w:rsid w:val="00037A8E"/>
    <w:rsid w:val="000456CE"/>
    <w:rsid w:val="000476AA"/>
    <w:rsid w:val="00055E79"/>
    <w:rsid w:val="00057869"/>
    <w:rsid w:val="000618FC"/>
    <w:rsid w:val="000679DD"/>
    <w:rsid w:val="0007263F"/>
    <w:rsid w:val="000864FD"/>
    <w:rsid w:val="000906C3"/>
    <w:rsid w:val="00092444"/>
    <w:rsid w:val="000A600B"/>
    <w:rsid w:val="000B107E"/>
    <w:rsid w:val="000B1C07"/>
    <w:rsid w:val="000B233D"/>
    <w:rsid w:val="000B2C3A"/>
    <w:rsid w:val="000B355C"/>
    <w:rsid w:val="000B41E0"/>
    <w:rsid w:val="000B4681"/>
    <w:rsid w:val="000C2F7E"/>
    <w:rsid w:val="000C682A"/>
    <w:rsid w:val="000C695C"/>
    <w:rsid w:val="000D4A30"/>
    <w:rsid w:val="000E4097"/>
    <w:rsid w:val="000E5D5C"/>
    <w:rsid w:val="000F5760"/>
    <w:rsid w:val="000F7EA4"/>
    <w:rsid w:val="00101417"/>
    <w:rsid w:val="00104510"/>
    <w:rsid w:val="001305BA"/>
    <w:rsid w:val="00135D51"/>
    <w:rsid w:val="001531B8"/>
    <w:rsid w:val="001533A6"/>
    <w:rsid w:val="00157ED1"/>
    <w:rsid w:val="00173BA2"/>
    <w:rsid w:val="0017731B"/>
    <w:rsid w:val="00177770"/>
    <w:rsid w:val="00181580"/>
    <w:rsid w:val="001850B8"/>
    <w:rsid w:val="001A0981"/>
    <w:rsid w:val="001A2F94"/>
    <w:rsid w:val="001A4A39"/>
    <w:rsid w:val="001C00E7"/>
    <w:rsid w:val="001C2E98"/>
    <w:rsid w:val="001D229D"/>
    <w:rsid w:val="001D22C9"/>
    <w:rsid w:val="001D3B63"/>
    <w:rsid w:val="001E2786"/>
    <w:rsid w:val="001E4C93"/>
    <w:rsid w:val="00214BD2"/>
    <w:rsid w:val="00222165"/>
    <w:rsid w:val="00241F22"/>
    <w:rsid w:val="0025324D"/>
    <w:rsid w:val="002662FC"/>
    <w:rsid w:val="002669D1"/>
    <w:rsid w:val="00276ED2"/>
    <w:rsid w:val="0028078A"/>
    <w:rsid w:val="0029581C"/>
    <w:rsid w:val="002B41C9"/>
    <w:rsid w:val="002D43CB"/>
    <w:rsid w:val="002D5658"/>
    <w:rsid w:val="002D7B46"/>
    <w:rsid w:val="002E1F2A"/>
    <w:rsid w:val="002F189B"/>
    <w:rsid w:val="002F3394"/>
    <w:rsid w:val="002F4AEE"/>
    <w:rsid w:val="003040DE"/>
    <w:rsid w:val="00313ECC"/>
    <w:rsid w:val="00317B9A"/>
    <w:rsid w:val="003217CD"/>
    <w:rsid w:val="003252B7"/>
    <w:rsid w:val="00335887"/>
    <w:rsid w:val="003421C7"/>
    <w:rsid w:val="00344420"/>
    <w:rsid w:val="0034536E"/>
    <w:rsid w:val="003504EA"/>
    <w:rsid w:val="0035114B"/>
    <w:rsid w:val="00376624"/>
    <w:rsid w:val="003823A4"/>
    <w:rsid w:val="00397439"/>
    <w:rsid w:val="003A0B6B"/>
    <w:rsid w:val="003A2FD9"/>
    <w:rsid w:val="003A3CE0"/>
    <w:rsid w:val="003A49F5"/>
    <w:rsid w:val="003B64F5"/>
    <w:rsid w:val="003D4E8C"/>
    <w:rsid w:val="003E3CEE"/>
    <w:rsid w:val="00401654"/>
    <w:rsid w:val="00401A95"/>
    <w:rsid w:val="00412EB7"/>
    <w:rsid w:val="004235B2"/>
    <w:rsid w:val="004235DC"/>
    <w:rsid w:val="00423F21"/>
    <w:rsid w:val="004344B3"/>
    <w:rsid w:val="0044277B"/>
    <w:rsid w:val="00445A1B"/>
    <w:rsid w:val="004531C5"/>
    <w:rsid w:val="00454339"/>
    <w:rsid w:val="0049221A"/>
    <w:rsid w:val="004940CF"/>
    <w:rsid w:val="00497E63"/>
    <w:rsid w:val="00497EC8"/>
    <w:rsid w:val="004A683D"/>
    <w:rsid w:val="004B1FEF"/>
    <w:rsid w:val="004E50E2"/>
    <w:rsid w:val="004E55E1"/>
    <w:rsid w:val="0050082F"/>
    <w:rsid w:val="005162E2"/>
    <w:rsid w:val="00523E64"/>
    <w:rsid w:val="00533993"/>
    <w:rsid w:val="00536B4A"/>
    <w:rsid w:val="00542B42"/>
    <w:rsid w:val="00545FD3"/>
    <w:rsid w:val="00556489"/>
    <w:rsid w:val="00564A4A"/>
    <w:rsid w:val="00577FD5"/>
    <w:rsid w:val="0059479B"/>
    <w:rsid w:val="005A164E"/>
    <w:rsid w:val="005A3E9B"/>
    <w:rsid w:val="005C283F"/>
    <w:rsid w:val="005E1D52"/>
    <w:rsid w:val="005E6832"/>
    <w:rsid w:val="006020F7"/>
    <w:rsid w:val="006215F4"/>
    <w:rsid w:val="00636747"/>
    <w:rsid w:val="00643509"/>
    <w:rsid w:val="00645CB4"/>
    <w:rsid w:val="006549CB"/>
    <w:rsid w:val="00695FCF"/>
    <w:rsid w:val="006A1830"/>
    <w:rsid w:val="006D179F"/>
    <w:rsid w:val="006D3429"/>
    <w:rsid w:val="006D3F53"/>
    <w:rsid w:val="006E13A3"/>
    <w:rsid w:val="006F2672"/>
    <w:rsid w:val="006F71EE"/>
    <w:rsid w:val="00707360"/>
    <w:rsid w:val="0071179A"/>
    <w:rsid w:val="0071241A"/>
    <w:rsid w:val="00752A45"/>
    <w:rsid w:val="00754E0C"/>
    <w:rsid w:val="00755046"/>
    <w:rsid w:val="00755521"/>
    <w:rsid w:val="0075653A"/>
    <w:rsid w:val="00763BE9"/>
    <w:rsid w:val="007703D1"/>
    <w:rsid w:val="00774954"/>
    <w:rsid w:val="00774BB5"/>
    <w:rsid w:val="007752E9"/>
    <w:rsid w:val="00793932"/>
    <w:rsid w:val="007B26D8"/>
    <w:rsid w:val="007C09F5"/>
    <w:rsid w:val="007C2B35"/>
    <w:rsid w:val="007C5653"/>
    <w:rsid w:val="007C5869"/>
    <w:rsid w:val="007C5BEE"/>
    <w:rsid w:val="007E38A0"/>
    <w:rsid w:val="007E4FC1"/>
    <w:rsid w:val="007F3D91"/>
    <w:rsid w:val="007F735F"/>
    <w:rsid w:val="0081277F"/>
    <w:rsid w:val="00815105"/>
    <w:rsid w:val="008159A8"/>
    <w:rsid w:val="00826804"/>
    <w:rsid w:val="00830AFB"/>
    <w:rsid w:val="00830CC3"/>
    <w:rsid w:val="008464D2"/>
    <w:rsid w:val="00862AE6"/>
    <w:rsid w:val="00882235"/>
    <w:rsid w:val="008D4DBB"/>
    <w:rsid w:val="008E40C8"/>
    <w:rsid w:val="008F015E"/>
    <w:rsid w:val="008F18CE"/>
    <w:rsid w:val="008F211A"/>
    <w:rsid w:val="008F4821"/>
    <w:rsid w:val="008F6A83"/>
    <w:rsid w:val="00925914"/>
    <w:rsid w:val="0092730A"/>
    <w:rsid w:val="009419C5"/>
    <w:rsid w:val="00944F62"/>
    <w:rsid w:val="0094559B"/>
    <w:rsid w:val="00963978"/>
    <w:rsid w:val="00964D4A"/>
    <w:rsid w:val="009666C5"/>
    <w:rsid w:val="009676CA"/>
    <w:rsid w:val="0098074C"/>
    <w:rsid w:val="00986AE6"/>
    <w:rsid w:val="00986F19"/>
    <w:rsid w:val="009A6348"/>
    <w:rsid w:val="009B7FF4"/>
    <w:rsid w:val="009C1582"/>
    <w:rsid w:val="009D2B81"/>
    <w:rsid w:val="009E056D"/>
    <w:rsid w:val="009E361E"/>
    <w:rsid w:val="009F2702"/>
    <w:rsid w:val="00A00AA4"/>
    <w:rsid w:val="00A10A2D"/>
    <w:rsid w:val="00A10B7B"/>
    <w:rsid w:val="00A11015"/>
    <w:rsid w:val="00A60238"/>
    <w:rsid w:val="00A627C4"/>
    <w:rsid w:val="00A6418A"/>
    <w:rsid w:val="00A7551B"/>
    <w:rsid w:val="00A764D9"/>
    <w:rsid w:val="00A85406"/>
    <w:rsid w:val="00A95C78"/>
    <w:rsid w:val="00AB0A3B"/>
    <w:rsid w:val="00AB674E"/>
    <w:rsid w:val="00AB7806"/>
    <w:rsid w:val="00AB78E9"/>
    <w:rsid w:val="00AE31CA"/>
    <w:rsid w:val="00AF75B4"/>
    <w:rsid w:val="00B02AC0"/>
    <w:rsid w:val="00B03DD6"/>
    <w:rsid w:val="00B12922"/>
    <w:rsid w:val="00B26BBA"/>
    <w:rsid w:val="00B26D92"/>
    <w:rsid w:val="00B51FD1"/>
    <w:rsid w:val="00B851F1"/>
    <w:rsid w:val="00B94211"/>
    <w:rsid w:val="00B9712E"/>
    <w:rsid w:val="00BA0099"/>
    <w:rsid w:val="00BA0F41"/>
    <w:rsid w:val="00BA657C"/>
    <w:rsid w:val="00BB5629"/>
    <w:rsid w:val="00BC28EE"/>
    <w:rsid w:val="00BC752C"/>
    <w:rsid w:val="00BE7A01"/>
    <w:rsid w:val="00BF1E4E"/>
    <w:rsid w:val="00BF1FFE"/>
    <w:rsid w:val="00C01730"/>
    <w:rsid w:val="00C20D39"/>
    <w:rsid w:val="00C34DA4"/>
    <w:rsid w:val="00C37866"/>
    <w:rsid w:val="00C40AB0"/>
    <w:rsid w:val="00C411EC"/>
    <w:rsid w:val="00C457DC"/>
    <w:rsid w:val="00C51E56"/>
    <w:rsid w:val="00C732D9"/>
    <w:rsid w:val="00C94144"/>
    <w:rsid w:val="00CA4554"/>
    <w:rsid w:val="00CB20B0"/>
    <w:rsid w:val="00CB4B81"/>
    <w:rsid w:val="00CC18BE"/>
    <w:rsid w:val="00CC320D"/>
    <w:rsid w:val="00CC4FCE"/>
    <w:rsid w:val="00CD4AFE"/>
    <w:rsid w:val="00CD5D71"/>
    <w:rsid w:val="00CE1407"/>
    <w:rsid w:val="00CE1C26"/>
    <w:rsid w:val="00CF0E7D"/>
    <w:rsid w:val="00CF30AE"/>
    <w:rsid w:val="00D16B4D"/>
    <w:rsid w:val="00D17327"/>
    <w:rsid w:val="00D20191"/>
    <w:rsid w:val="00D22085"/>
    <w:rsid w:val="00D23A77"/>
    <w:rsid w:val="00D25935"/>
    <w:rsid w:val="00D27C6E"/>
    <w:rsid w:val="00D51BE9"/>
    <w:rsid w:val="00D61EEA"/>
    <w:rsid w:val="00D65873"/>
    <w:rsid w:val="00D7029C"/>
    <w:rsid w:val="00D84121"/>
    <w:rsid w:val="00D96ECC"/>
    <w:rsid w:val="00DB04FB"/>
    <w:rsid w:val="00DB2151"/>
    <w:rsid w:val="00DB6AF8"/>
    <w:rsid w:val="00DC3D65"/>
    <w:rsid w:val="00DE2620"/>
    <w:rsid w:val="00DE79DD"/>
    <w:rsid w:val="00DF363F"/>
    <w:rsid w:val="00DF4C41"/>
    <w:rsid w:val="00DF60C5"/>
    <w:rsid w:val="00DF7109"/>
    <w:rsid w:val="00DF7C5F"/>
    <w:rsid w:val="00E26E9D"/>
    <w:rsid w:val="00E372D0"/>
    <w:rsid w:val="00E47014"/>
    <w:rsid w:val="00E500A6"/>
    <w:rsid w:val="00E5803D"/>
    <w:rsid w:val="00E60F0D"/>
    <w:rsid w:val="00E6644B"/>
    <w:rsid w:val="00E77588"/>
    <w:rsid w:val="00E91B9D"/>
    <w:rsid w:val="00EA4BE0"/>
    <w:rsid w:val="00EB5783"/>
    <w:rsid w:val="00EB75D4"/>
    <w:rsid w:val="00EC265E"/>
    <w:rsid w:val="00ED3384"/>
    <w:rsid w:val="00EE75F1"/>
    <w:rsid w:val="00EE7AAA"/>
    <w:rsid w:val="00EF5DF0"/>
    <w:rsid w:val="00F015F9"/>
    <w:rsid w:val="00F03FCD"/>
    <w:rsid w:val="00F137B9"/>
    <w:rsid w:val="00F23FD9"/>
    <w:rsid w:val="00F26609"/>
    <w:rsid w:val="00F307B6"/>
    <w:rsid w:val="00F337A5"/>
    <w:rsid w:val="00F44A8F"/>
    <w:rsid w:val="00F54D70"/>
    <w:rsid w:val="00F5786D"/>
    <w:rsid w:val="00F62605"/>
    <w:rsid w:val="00F63320"/>
    <w:rsid w:val="00F64C9D"/>
    <w:rsid w:val="00F738DA"/>
    <w:rsid w:val="00F95F36"/>
    <w:rsid w:val="00F9616C"/>
    <w:rsid w:val="00FD1A06"/>
    <w:rsid w:val="00FD2579"/>
    <w:rsid w:val="00FE6884"/>
    <w:rsid w:val="00FF0B61"/>
    <w:rsid w:val="00FF2789"/>
    <w:rsid w:val="00FF4138"/>
    <w:rsid w:val="00FF7865"/>
    <w:rsid w:val="01251C07"/>
    <w:rsid w:val="020C110C"/>
    <w:rsid w:val="02126745"/>
    <w:rsid w:val="0273D0FA"/>
    <w:rsid w:val="027DADCD"/>
    <w:rsid w:val="02DD34BF"/>
    <w:rsid w:val="03A37D7B"/>
    <w:rsid w:val="03CFF0BA"/>
    <w:rsid w:val="05B66171"/>
    <w:rsid w:val="060600C8"/>
    <w:rsid w:val="064CFD7D"/>
    <w:rsid w:val="0666BAA6"/>
    <w:rsid w:val="06FB7A82"/>
    <w:rsid w:val="071C2A4B"/>
    <w:rsid w:val="074533C5"/>
    <w:rsid w:val="074E630D"/>
    <w:rsid w:val="0767EE8C"/>
    <w:rsid w:val="076A7A1E"/>
    <w:rsid w:val="076D4DFD"/>
    <w:rsid w:val="08124925"/>
    <w:rsid w:val="081BE5CC"/>
    <w:rsid w:val="0830FE33"/>
    <w:rsid w:val="0856353C"/>
    <w:rsid w:val="08F3D525"/>
    <w:rsid w:val="09064A7F"/>
    <w:rsid w:val="093EB094"/>
    <w:rsid w:val="09733097"/>
    <w:rsid w:val="097A166B"/>
    <w:rsid w:val="09B1B01F"/>
    <w:rsid w:val="0A10E902"/>
    <w:rsid w:val="0A3AA2B0"/>
    <w:rsid w:val="0AA21AE0"/>
    <w:rsid w:val="0AF6BF81"/>
    <w:rsid w:val="0AFCBE6F"/>
    <w:rsid w:val="0B15E6CC"/>
    <w:rsid w:val="0B6221BB"/>
    <w:rsid w:val="0BD67311"/>
    <w:rsid w:val="0BE9C266"/>
    <w:rsid w:val="0C0BB584"/>
    <w:rsid w:val="0CAAD159"/>
    <w:rsid w:val="0E2B208D"/>
    <w:rsid w:val="0E58DBAC"/>
    <w:rsid w:val="0E77413C"/>
    <w:rsid w:val="0F0E13D3"/>
    <w:rsid w:val="0F1964F5"/>
    <w:rsid w:val="0F2A3E24"/>
    <w:rsid w:val="0F31517E"/>
    <w:rsid w:val="0FC949BE"/>
    <w:rsid w:val="0FF9E940"/>
    <w:rsid w:val="100A0D69"/>
    <w:rsid w:val="10388604"/>
    <w:rsid w:val="104D559A"/>
    <w:rsid w:val="108D52B1"/>
    <w:rsid w:val="10A87E6C"/>
    <w:rsid w:val="10A9E434"/>
    <w:rsid w:val="10EF8455"/>
    <w:rsid w:val="114FF9EB"/>
    <w:rsid w:val="1165884C"/>
    <w:rsid w:val="1201BF6F"/>
    <w:rsid w:val="122310C2"/>
    <w:rsid w:val="125105B7"/>
    <w:rsid w:val="125342D4"/>
    <w:rsid w:val="12BDEE66"/>
    <w:rsid w:val="140F0623"/>
    <w:rsid w:val="153D35D3"/>
    <w:rsid w:val="1597E7E2"/>
    <w:rsid w:val="1608315C"/>
    <w:rsid w:val="177AC546"/>
    <w:rsid w:val="17921734"/>
    <w:rsid w:val="1819034D"/>
    <w:rsid w:val="1837A37D"/>
    <w:rsid w:val="18C41687"/>
    <w:rsid w:val="18F5E399"/>
    <w:rsid w:val="194E4949"/>
    <w:rsid w:val="198A9053"/>
    <w:rsid w:val="1A15D1F5"/>
    <w:rsid w:val="1A51D709"/>
    <w:rsid w:val="1A58D978"/>
    <w:rsid w:val="1A6F32ED"/>
    <w:rsid w:val="1AAC3D35"/>
    <w:rsid w:val="1B6CA498"/>
    <w:rsid w:val="1B9BDF81"/>
    <w:rsid w:val="1C427A55"/>
    <w:rsid w:val="1D6A30D5"/>
    <w:rsid w:val="1D8FBC1E"/>
    <w:rsid w:val="1E247BFA"/>
    <w:rsid w:val="1E8E4AFA"/>
    <w:rsid w:val="1EE9D6D1"/>
    <w:rsid w:val="1F324C7F"/>
    <w:rsid w:val="1F48995E"/>
    <w:rsid w:val="1F508877"/>
    <w:rsid w:val="20851379"/>
    <w:rsid w:val="2116A323"/>
    <w:rsid w:val="218A1143"/>
    <w:rsid w:val="21B3CAF1"/>
    <w:rsid w:val="21C5EBBC"/>
    <w:rsid w:val="21F50DD8"/>
    <w:rsid w:val="225CBE53"/>
    <w:rsid w:val="226F1707"/>
    <w:rsid w:val="231EFBD0"/>
    <w:rsid w:val="234F9B52"/>
    <w:rsid w:val="236459CE"/>
    <w:rsid w:val="24510AE2"/>
    <w:rsid w:val="245347EF"/>
    <w:rsid w:val="246EA02A"/>
    <w:rsid w:val="247CE9C8"/>
    <w:rsid w:val="25111399"/>
    <w:rsid w:val="25CA1B0D"/>
    <w:rsid w:val="25D74120"/>
    <w:rsid w:val="25E5CD18"/>
    <w:rsid w:val="25F0697D"/>
    <w:rsid w:val="26060C99"/>
    <w:rsid w:val="261910E1"/>
    <w:rsid w:val="263D8A60"/>
    <w:rsid w:val="2692770B"/>
    <w:rsid w:val="269E4F05"/>
    <w:rsid w:val="27330EE1"/>
    <w:rsid w:val="27A907E9"/>
    <w:rsid w:val="2903C2A3"/>
    <w:rsid w:val="2911FBBD"/>
    <w:rsid w:val="29EC3DFB"/>
    <w:rsid w:val="2A3C8710"/>
    <w:rsid w:val="2A7A28EC"/>
    <w:rsid w:val="2BB2AEFC"/>
    <w:rsid w:val="2BCAC52B"/>
    <w:rsid w:val="2BD85771"/>
    <w:rsid w:val="2C227857"/>
    <w:rsid w:val="2C3E2A62"/>
    <w:rsid w:val="2CEAE37A"/>
    <w:rsid w:val="2D3D0DD5"/>
    <w:rsid w:val="2D439E7B"/>
    <w:rsid w:val="2DAB8D54"/>
    <w:rsid w:val="2DFCFC01"/>
    <w:rsid w:val="2E2F73E8"/>
    <w:rsid w:val="2E3AD3AA"/>
    <w:rsid w:val="2E40F49B"/>
    <w:rsid w:val="2F1496F7"/>
    <w:rsid w:val="2F6C2B96"/>
    <w:rsid w:val="2F70B4D1"/>
    <w:rsid w:val="2FCBA8C0"/>
    <w:rsid w:val="2FEE820D"/>
    <w:rsid w:val="30B23E73"/>
    <w:rsid w:val="30D04213"/>
    <w:rsid w:val="314E595E"/>
    <w:rsid w:val="3228C609"/>
    <w:rsid w:val="3342D352"/>
    <w:rsid w:val="33548445"/>
    <w:rsid w:val="33D33BBB"/>
    <w:rsid w:val="33E4EB06"/>
    <w:rsid w:val="34052C26"/>
    <w:rsid w:val="34B1B4DA"/>
    <w:rsid w:val="34BD5F43"/>
    <w:rsid w:val="355D6D8F"/>
    <w:rsid w:val="35B27065"/>
    <w:rsid w:val="36F262D2"/>
    <w:rsid w:val="3706109B"/>
    <w:rsid w:val="370FF81A"/>
    <w:rsid w:val="375DC09C"/>
    <w:rsid w:val="378FA081"/>
    <w:rsid w:val="379122D1"/>
    <w:rsid w:val="37A14B5E"/>
    <w:rsid w:val="38B7E4C9"/>
    <w:rsid w:val="38BEC7FF"/>
    <w:rsid w:val="39574F0C"/>
    <w:rsid w:val="39E8291D"/>
    <w:rsid w:val="3A4A5FD9"/>
    <w:rsid w:val="3A9229AD"/>
    <w:rsid w:val="3B111AE0"/>
    <w:rsid w:val="3C0D9AAA"/>
    <w:rsid w:val="3C1AE240"/>
    <w:rsid w:val="3C21B1E9"/>
    <w:rsid w:val="3C809AFD"/>
    <w:rsid w:val="3C956270"/>
    <w:rsid w:val="3CB88480"/>
    <w:rsid w:val="3CD945BE"/>
    <w:rsid w:val="3CE23E2E"/>
    <w:rsid w:val="3CF007BC"/>
    <w:rsid w:val="3D2BCAD3"/>
    <w:rsid w:val="3D7910C5"/>
    <w:rsid w:val="3D923922"/>
    <w:rsid w:val="3DA1F4FB"/>
    <w:rsid w:val="3EC3D047"/>
    <w:rsid w:val="3ED20961"/>
    <w:rsid w:val="3F402A4E"/>
    <w:rsid w:val="3F830C59"/>
    <w:rsid w:val="3FE26B4A"/>
    <w:rsid w:val="403E4244"/>
    <w:rsid w:val="4094A6DB"/>
    <w:rsid w:val="40B0B187"/>
    <w:rsid w:val="40EE3D38"/>
    <w:rsid w:val="41026C52"/>
    <w:rsid w:val="4177B144"/>
    <w:rsid w:val="4230773C"/>
    <w:rsid w:val="423A2992"/>
    <w:rsid w:val="424C81E8"/>
    <w:rsid w:val="429D1136"/>
    <w:rsid w:val="42AF12FD"/>
    <w:rsid w:val="430E9DA7"/>
    <w:rsid w:val="44567D7C"/>
    <w:rsid w:val="44A63489"/>
    <w:rsid w:val="459E30FB"/>
    <w:rsid w:val="45C405FC"/>
    <w:rsid w:val="45E2E898"/>
    <w:rsid w:val="463EC412"/>
    <w:rsid w:val="47DB3F21"/>
    <w:rsid w:val="486B9A5F"/>
    <w:rsid w:val="489FB8C0"/>
    <w:rsid w:val="48E6CD39"/>
    <w:rsid w:val="4A5BC2AD"/>
    <w:rsid w:val="4A71A21E"/>
    <w:rsid w:val="4A99CB62"/>
    <w:rsid w:val="4CA77BE0"/>
    <w:rsid w:val="4D38F093"/>
    <w:rsid w:val="4DC26B3D"/>
    <w:rsid w:val="4E1575D5"/>
    <w:rsid w:val="4E176E13"/>
    <w:rsid w:val="4F011A1D"/>
    <w:rsid w:val="4F0F5337"/>
    <w:rsid w:val="4FD06601"/>
    <w:rsid w:val="5037F040"/>
    <w:rsid w:val="50A10B06"/>
    <w:rsid w:val="50DBBCA3"/>
    <w:rsid w:val="5123BBDF"/>
    <w:rsid w:val="51736151"/>
    <w:rsid w:val="523B81DC"/>
    <w:rsid w:val="52A1DC46"/>
    <w:rsid w:val="52C0A31A"/>
    <w:rsid w:val="530ACDC0"/>
    <w:rsid w:val="531033A8"/>
    <w:rsid w:val="535668A5"/>
    <w:rsid w:val="53A1A85B"/>
    <w:rsid w:val="54188464"/>
    <w:rsid w:val="54190934"/>
    <w:rsid w:val="5480C922"/>
    <w:rsid w:val="555811E3"/>
    <w:rsid w:val="5573C3EE"/>
    <w:rsid w:val="55E414FC"/>
    <w:rsid w:val="5636FC65"/>
    <w:rsid w:val="56B2FFB8"/>
    <w:rsid w:val="574537D9"/>
    <w:rsid w:val="57627DDA"/>
    <w:rsid w:val="5841B7A3"/>
    <w:rsid w:val="585522F0"/>
    <w:rsid w:val="5870B0F3"/>
    <w:rsid w:val="58A14EE1"/>
    <w:rsid w:val="58D5E658"/>
    <w:rsid w:val="58ED3202"/>
    <w:rsid w:val="5934B26F"/>
    <w:rsid w:val="596B0A4F"/>
    <w:rsid w:val="59EA23A8"/>
    <w:rsid w:val="59F0F351"/>
    <w:rsid w:val="5A1AACFF"/>
    <w:rsid w:val="5A1F3155"/>
    <w:rsid w:val="5A33D55C"/>
    <w:rsid w:val="5A71667E"/>
    <w:rsid w:val="5A9A1E9C"/>
    <w:rsid w:val="5AB17F96"/>
    <w:rsid w:val="5AD5F915"/>
    <w:rsid w:val="5B456FDE"/>
    <w:rsid w:val="5D21AE3F"/>
    <w:rsid w:val="5D7DD229"/>
    <w:rsid w:val="5DBE9D5C"/>
    <w:rsid w:val="5E09819F"/>
    <w:rsid w:val="5E383DE3"/>
    <w:rsid w:val="5E48F23F"/>
    <w:rsid w:val="5E573CBA"/>
    <w:rsid w:val="5E6891F5"/>
    <w:rsid w:val="5EF519E5"/>
    <w:rsid w:val="60397E39"/>
    <w:rsid w:val="6085C7B9"/>
    <w:rsid w:val="6189503F"/>
    <w:rsid w:val="61DC0D30"/>
    <w:rsid w:val="62E25001"/>
    <w:rsid w:val="6317A6D4"/>
    <w:rsid w:val="63375966"/>
    <w:rsid w:val="633F45AA"/>
    <w:rsid w:val="6377DD91"/>
    <w:rsid w:val="644331DC"/>
    <w:rsid w:val="659DEC96"/>
    <w:rsid w:val="65B39ADF"/>
    <w:rsid w:val="66221EB8"/>
    <w:rsid w:val="66324358"/>
    <w:rsid w:val="67612767"/>
    <w:rsid w:val="6793F490"/>
    <w:rsid w:val="690422B7"/>
    <w:rsid w:val="690CA125"/>
    <w:rsid w:val="69564A3A"/>
    <w:rsid w:val="69A1EBB8"/>
    <w:rsid w:val="69B9AB27"/>
    <w:rsid w:val="69E68FC9"/>
    <w:rsid w:val="6B3DBC19"/>
    <w:rsid w:val="6B579571"/>
    <w:rsid w:val="6B946F2C"/>
    <w:rsid w:val="6C1C52B3"/>
    <w:rsid w:val="6CC08945"/>
    <w:rsid w:val="6D3FBF8F"/>
    <w:rsid w:val="6E0731A8"/>
    <w:rsid w:val="6E39E4FF"/>
    <w:rsid w:val="6ECB7866"/>
    <w:rsid w:val="6F202A2C"/>
    <w:rsid w:val="6F5C8001"/>
    <w:rsid w:val="6F601FFE"/>
    <w:rsid w:val="6F92535A"/>
    <w:rsid w:val="6FB522D4"/>
    <w:rsid w:val="6FC7655D"/>
    <w:rsid w:val="70A03CCC"/>
    <w:rsid w:val="70B7FAE4"/>
    <w:rsid w:val="71205FAF"/>
    <w:rsid w:val="7193D540"/>
    <w:rsid w:val="71B99A55"/>
    <w:rsid w:val="729C7841"/>
    <w:rsid w:val="72F74B6A"/>
    <w:rsid w:val="737CC684"/>
    <w:rsid w:val="7383962D"/>
    <w:rsid w:val="7476732C"/>
    <w:rsid w:val="74981549"/>
    <w:rsid w:val="74A1A807"/>
    <w:rsid w:val="74F13B17"/>
    <w:rsid w:val="7534303A"/>
    <w:rsid w:val="756FD6D8"/>
    <w:rsid w:val="75DD1084"/>
    <w:rsid w:val="76B46746"/>
    <w:rsid w:val="76BB36EF"/>
    <w:rsid w:val="76C32475"/>
    <w:rsid w:val="76D650B2"/>
    <w:rsid w:val="7741369A"/>
    <w:rsid w:val="784D7DA0"/>
    <w:rsid w:val="78563E02"/>
    <w:rsid w:val="78A7C49D"/>
    <w:rsid w:val="7900329B"/>
    <w:rsid w:val="79098C29"/>
    <w:rsid w:val="79C4AC3A"/>
    <w:rsid w:val="79C68DCB"/>
    <w:rsid w:val="79EC0808"/>
    <w:rsid w:val="7A5352EE"/>
    <w:rsid w:val="7A694494"/>
    <w:rsid w:val="7B3AC5C0"/>
    <w:rsid w:val="7B79AC45"/>
    <w:rsid w:val="7BC04F46"/>
    <w:rsid w:val="7C1B73AF"/>
    <w:rsid w:val="7CF393B2"/>
    <w:rsid w:val="7CFA91AB"/>
    <w:rsid w:val="7D616031"/>
    <w:rsid w:val="7E07267B"/>
    <w:rsid w:val="7E1E3DE8"/>
    <w:rsid w:val="7E30D603"/>
    <w:rsid w:val="7F701A4F"/>
    <w:rsid w:val="7FD1212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A82D00"/>
  <w15:chartTrackingRefBased/>
  <w15:docId w15:val="{9D8DB3C3-5AC0-4BFC-A443-4ED2604DCF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4536E"/>
  </w:style>
  <w:style w:type="paragraph" w:styleId="Heading1">
    <w:name w:val="heading 1"/>
    <w:basedOn w:val="Normal"/>
    <w:next w:val="Normal"/>
    <w:link w:val="Heading1Char"/>
    <w:uiPriority w:val="9"/>
    <w:qFormat/>
    <w:rsid w:val="00695FCF"/>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0456CE"/>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0456CE"/>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CD4AFE"/>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D4AFE"/>
    <w:rPr>
      <w:rFonts w:asciiTheme="majorHAnsi" w:eastAsiaTheme="majorEastAsia" w:hAnsiTheme="majorHAnsi" w:cstheme="majorBidi"/>
      <w:spacing w:val="-10"/>
      <w:kern w:val="28"/>
      <w:sz w:val="56"/>
      <w:szCs w:val="56"/>
    </w:rPr>
  </w:style>
  <w:style w:type="character" w:customStyle="1" w:styleId="Heading1Char">
    <w:name w:val="Heading 1 Char"/>
    <w:basedOn w:val="DefaultParagraphFont"/>
    <w:link w:val="Heading1"/>
    <w:uiPriority w:val="9"/>
    <w:rsid w:val="00695FCF"/>
    <w:rPr>
      <w:rFonts w:asciiTheme="majorHAnsi" w:eastAsiaTheme="majorEastAsia" w:hAnsiTheme="majorHAnsi" w:cstheme="majorBidi"/>
      <w:color w:val="2F5496" w:themeColor="accent1" w:themeShade="BF"/>
      <w:sz w:val="32"/>
      <w:szCs w:val="32"/>
    </w:rPr>
  </w:style>
  <w:style w:type="paragraph" w:styleId="ListParagraph">
    <w:name w:val="List Paragraph"/>
    <w:basedOn w:val="Normal"/>
    <w:uiPriority w:val="34"/>
    <w:qFormat/>
    <w:rsid w:val="0029581C"/>
    <w:pPr>
      <w:ind w:left="720"/>
      <w:contextualSpacing/>
    </w:pPr>
  </w:style>
  <w:style w:type="character" w:styleId="PlaceholderText">
    <w:name w:val="Placeholder Text"/>
    <w:basedOn w:val="DefaultParagraphFont"/>
    <w:uiPriority w:val="99"/>
    <w:semiHidden/>
    <w:rsid w:val="00CE1407"/>
    <w:rPr>
      <w:color w:val="808080"/>
    </w:rPr>
  </w:style>
  <w:style w:type="character" w:customStyle="1" w:styleId="Heading2Char">
    <w:name w:val="Heading 2 Char"/>
    <w:basedOn w:val="DefaultParagraphFont"/>
    <w:link w:val="Heading2"/>
    <w:uiPriority w:val="9"/>
    <w:rsid w:val="000456CE"/>
    <w:rPr>
      <w:rFonts w:asciiTheme="majorHAnsi" w:eastAsiaTheme="majorEastAsia" w:hAnsiTheme="majorHAnsi" w:cstheme="majorBidi"/>
      <w:color w:val="2F5496" w:themeColor="accent1" w:themeShade="BF"/>
      <w:sz w:val="26"/>
      <w:szCs w:val="26"/>
    </w:rPr>
  </w:style>
  <w:style w:type="character" w:customStyle="1" w:styleId="Heading3Char">
    <w:name w:val="Heading 3 Char"/>
    <w:basedOn w:val="DefaultParagraphFont"/>
    <w:link w:val="Heading3"/>
    <w:uiPriority w:val="9"/>
    <w:rsid w:val="000456CE"/>
    <w:rPr>
      <w:rFonts w:asciiTheme="majorHAnsi" w:eastAsiaTheme="majorEastAsia" w:hAnsiTheme="majorHAnsi" w:cstheme="majorBidi"/>
      <w:color w:val="1F3763" w:themeColor="accent1" w:themeShade="7F"/>
      <w:sz w:val="24"/>
      <w:szCs w:val="24"/>
    </w:rPr>
  </w:style>
  <w:style w:type="paragraph" w:styleId="CommentText">
    <w:name w:val="annotation text"/>
    <w:basedOn w:val="Normal"/>
    <w:link w:val="CommentTextChar"/>
    <w:uiPriority w:val="99"/>
    <w:semiHidden/>
    <w:unhideWhenUsed/>
    <w:pPr>
      <w:spacing w:line="240" w:lineRule="auto"/>
    </w:pPr>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paragraph" w:styleId="BalloonText">
    <w:name w:val="Balloon Text"/>
    <w:basedOn w:val="Normal"/>
    <w:link w:val="BalloonTextChar"/>
    <w:uiPriority w:val="99"/>
    <w:semiHidden/>
    <w:unhideWhenUsed/>
    <w:rsid w:val="0028078A"/>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28078A"/>
    <w:rPr>
      <w:rFonts w:ascii="Segoe UI" w:hAnsi="Segoe UI" w:cs="Segoe UI"/>
      <w:sz w:val="18"/>
      <w:szCs w:val="18"/>
    </w:rPr>
  </w:style>
  <w:style w:type="paragraph" w:styleId="CommentSubject">
    <w:name w:val="annotation subject"/>
    <w:basedOn w:val="CommentText"/>
    <w:next w:val="CommentText"/>
    <w:link w:val="CommentSubjectChar"/>
    <w:uiPriority w:val="99"/>
    <w:semiHidden/>
    <w:unhideWhenUsed/>
    <w:rsid w:val="006215F4"/>
    <w:rPr>
      <w:b/>
      <w:bCs/>
    </w:rPr>
  </w:style>
  <w:style w:type="character" w:customStyle="1" w:styleId="CommentSubjectChar">
    <w:name w:val="Comment Subject Char"/>
    <w:basedOn w:val="CommentTextChar"/>
    <w:link w:val="CommentSubject"/>
    <w:uiPriority w:val="99"/>
    <w:semiHidden/>
    <w:rsid w:val="006215F4"/>
    <w:rPr>
      <w:b/>
      <w:bCs/>
      <w:sz w:val="20"/>
      <w:szCs w:val="20"/>
    </w:rPr>
  </w:style>
  <w:style w:type="paragraph" w:styleId="Revision">
    <w:name w:val="Revision"/>
    <w:hidden/>
    <w:uiPriority w:val="99"/>
    <w:semiHidden/>
    <w:rsid w:val="006215F4"/>
    <w:pPr>
      <w:spacing w:after="0" w:line="240" w:lineRule="auto"/>
    </w:pPr>
  </w:style>
  <w:style w:type="paragraph" w:styleId="FootnoteText">
    <w:name w:val="footnote text"/>
    <w:basedOn w:val="Normal"/>
    <w:link w:val="FootnoteTextChar"/>
    <w:uiPriority w:val="99"/>
    <w:semiHidden/>
    <w:unhideWhenUsed/>
    <w:rsid w:val="003421C7"/>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3421C7"/>
    <w:rPr>
      <w:sz w:val="20"/>
      <w:szCs w:val="20"/>
    </w:rPr>
  </w:style>
  <w:style w:type="character" w:styleId="FootnoteReference">
    <w:name w:val="footnote reference"/>
    <w:basedOn w:val="DefaultParagraphFont"/>
    <w:uiPriority w:val="99"/>
    <w:semiHidden/>
    <w:unhideWhenUsed/>
    <w:rsid w:val="003421C7"/>
    <w:rPr>
      <w:vertAlign w:val="superscript"/>
    </w:rPr>
  </w:style>
  <w:style w:type="character" w:styleId="Hyperlink">
    <w:name w:val="Hyperlink"/>
    <w:basedOn w:val="DefaultParagraphFont"/>
    <w:uiPriority w:val="99"/>
    <w:unhideWhenUsed/>
    <w:rsid w:val="005162E2"/>
    <w:rPr>
      <w:color w:val="0563C1" w:themeColor="hyperlink"/>
      <w:u w:val="single"/>
    </w:rPr>
  </w:style>
  <w:style w:type="character" w:styleId="UnresolvedMention">
    <w:name w:val="Unresolved Mention"/>
    <w:basedOn w:val="DefaultParagraphFont"/>
    <w:uiPriority w:val="99"/>
    <w:semiHidden/>
    <w:unhideWhenUsed/>
    <w:rsid w:val="005162E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greenclimate.fund/sites/default/files/document/scaling-climate-finance-context-covid-19-full-report_0.pdf"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glossaryDocument" Target="glossary/document.xml"/><Relationship Id="rId4" Type="http://schemas.openxmlformats.org/officeDocument/2006/relationships/settings" Target="settings.xml"/><Relationship Id="rId9" Type="http://schemas.openxmlformats.org/officeDocument/2006/relationships/fontTable" Target="fontTable.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docParts>
    <w:docPart>
      <w:docPartPr>
        <w:name w:val="605775AB049A4FB199B03C347610BFC7"/>
        <w:category>
          <w:name w:val="General"/>
          <w:gallery w:val="placeholder"/>
        </w:category>
        <w:types>
          <w:type w:val="bbPlcHdr"/>
        </w:types>
        <w:behaviors>
          <w:behavior w:val="content"/>
        </w:behaviors>
        <w:guid w:val="{3A325226-29B6-44C7-8652-D235A1FBD1EB}"/>
      </w:docPartPr>
      <w:docPartBody>
        <w:p w:rsidR="00F732EB" w:rsidRDefault="00BD4C95" w:rsidP="00BD4C95">
          <w:pPr>
            <w:pStyle w:val="605775AB049A4FB199B03C347610BFC7"/>
          </w:pPr>
          <w:r w:rsidRPr="002067F7">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roman"/>
    <w:notTrueType/>
    <w:pitch w:val="default"/>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view w:val="normal"/>
  <w:revisionView w:comments="0" w:insDel="0" w:formatting="0"/>
  <w:defaultTabStop w:val="720"/>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D4C95"/>
    <w:rsid w:val="001A1428"/>
    <w:rsid w:val="0055077A"/>
    <w:rsid w:val="006A4B03"/>
    <w:rsid w:val="00BD4C95"/>
    <w:rsid w:val="00F732EB"/>
    <w:rsid w:val="00FD594D"/>
    <w:rsid w:val="00FE688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BD4C95"/>
    <w:rPr>
      <w:color w:val="808080"/>
    </w:rPr>
  </w:style>
  <w:style w:type="paragraph" w:customStyle="1" w:styleId="605775AB049A4FB199B03C347610BFC7">
    <w:name w:val="605775AB049A4FB199B03C347610BFC7"/>
    <w:rsid w:val="00BD4C95"/>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647" row="2">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E8433009-F162-42DC-A08D-706F8C046390}">
  <we:reference id="wa104382081" version="1.35.0.0" store="en-GB" storeType="OMEX"/>
  <we:alternateReferences>
    <we:reference id="WA104382081" version="1.35.0.0" store="" storeType="OMEX"/>
  </we:alternateReferences>
  <we:properties>
    <we:property name="MENDELEY_CITATIONS" value="[{&quot;citationID&quot;:&quot;MENDELEY_CITATION_80adf05d-a006-4d12-88c6-b6baf0ee34f4&quot;,&quot;properties&quot;:{&quot;noteIndex&quot;:0},&quot;isEdited&quot;:false,&quot;manualOverride&quot;:{&quot;isManuallyOverridden&quot;:false,&quot;citeprocText&quot;:&quot;(IEA, 2021b, 2021a)&quot;,&quot;manualOverrideText&quot;:&quot;&quot;},&quot;citationTag&quot;:&quot;MENDELEY_CITATION_v3_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&quot;,&quot;citationItems&quot;:[{&quot;id&quot;:&quot;7bd0cd80-6c7f-34cf-91d1-6ca8b14eb191&quot;,&quot;itemData&quot;:{&quot;type&quot;:&quot;report&quot;,&quot;id&quot;:&quot;7bd0cd80-6c7f-34cf-91d1-6ca8b14eb191&quot;,&quot;title&quot;:&quot;Net Zero by 2050 A Roadmap for the Global Energy Sector&quot;,&quot;groupId&quot;:&quot;9d691000-f273-3775-b7be-5ee236a532e4&quot;,&quot;author&quot;:[{&quot;family&quot;:&quot;IEA&quot;,&quot;given&quot;:&quot;&quot;,&quot;parse-names&quot;:false,&quot;dropping-particle&quot;:&quot;&quot;,&quot;non-dropping-particle&quot;:&quot;&quot;}],&quot;URL&quot;:&quot;www.iea.org/t&amp;c/&quot;,&quot;issued&quot;:{&quot;date-parts&quot;:[[2021]]},&quot;number-of-pages&quot;:&quot;222&quot;,&quot;abstract&quot;:&quot;The number of countries announcing pledges to achieve net-zero emissions over the coming decades continues to grow. But the pledges by governments to date – even if fully achieved – fall well short of what is required to bring global energy-related carbon dioxide emissions to net zero by 2050 and give the world an even chance of limiting the global temperature rise to 1.5 °C. This special report is the world’s first comprehensive study of how to transition to a net zero energy system by 2050 while ensuring stable and affordable energy supplies, providing universal energy access, and enabling robust economic growth. It sets out a cost-effective and economically productive pathway, resulting in a clean, dynamic and resilient energy economy dominated by renewables like solar and wind instead of fossil fuels. The report also examines key uncertainties, such as the roles of bioenergy, carbon capture and behavioural changes in reaching net zero.&quot;,&quot;container-title-short&quot;:&quot;&quot;},&quot;isTemporary&quot;:false},{&quot;id&quot;:&quot;a1038c95-f19b-3a18-8608-a01cb05a84e2&quot;,&quot;itemData&quot;:{&quot;type&quot;:&quot;report&quot;,&quot;id&quot;:&quot;a1038c95-f19b-3a18-8608-a01cb05a84e2&quot;,&quot;title&quot;:&quot;Financing Clean Energy Transitions in Emerging and Developing Economies&quot;,&quot;groupId&quot;:&quot;9d691000-f273-3775-b7be-5ee236a532e4&quot;,&quot;author&quot;:[{&quot;family&quot;:&quot;IEA&quot;,&quot;given&quot;:&quot;&quot;,&quot;parse-names&quot;:false,&quot;dropping-particle&quot;:&quot;&quot;,&quot;non-dropping-particle&quot;:&quot;&quot;}],&quot;container-title&quot;:&quot;Iea&quot;,&quot;URL&quot;:&quot;https://iea.blob.core.windows.net/assets/6756ccd2-0772-4ffd-85e4-b73428ff9c72/FinancingCleanEnergyTransitionsinEMDEs_WorldEnergyInvestment2021SpecialReport.pdf&quot;,&quot;issued&quot;:{&quot;date-parts&quot;:[[2021]]},&quot;abstract&quot;:&quot;This special report aims to address the challenge of mobilising investment and finance to support clean energy transitions in the emerging and developing world. This is based on detailed analysis of successful projects and initiatives, including almost 50 real-world case studies – across clean power, efficiency and electrification, as well as transitions for fuels and emissions-intensive sectors – in countries ranging from Brazil to Indonesia and from Senegal to Bangladesh. The priorities focus on financing sectors that are market-ready, based on technologies at mature and early adoption stages, such as renewables and efficiency. They also examine options for financing transitions in fuels and emissions-intensive sectors where decisions taken over the next decade can lay the groundwork for the integration of new technologies – or could potentially lock in emissions for decades to come. We focus on actions that need to be taken between now and 2030 – a pivotal decade for economic recovery, for the realisation of the UN Sustainable Development Goals and for climate action.&quot;,&quot;container-title-short&quot;:&quot;&quot;},&quot;isTemporary&quot;:false}]}]"/>
    <we:property name="MENDELEY_CITATIONS_STYLE" value="{&quot;id&quot;:&quot;https://www.zotero.org/styles/apa&quot;,&quot;title&quot;:&quot;American Psychological Association 7th edition&quot;,&quot;format&quot;:&quot;author-date&quot;,&quot;defaultLocale&quot;:null}"/>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CHICAGO.XSL" StyleName="Chicago" Version="16"/>
</file>

<file path=customXml/itemProps1.xml><?xml version="1.0" encoding="utf-8"?>
<ds:datastoreItem xmlns:ds="http://schemas.openxmlformats.org/officeDocument/2006/customXml" ds:itemID="{5183A15C-9991-4FE9-BA56-410671AB651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5</Pages>
  <Words>2281</Words>
  <Characters>13006</Characters>
  <Application>Microsoft Office Word</Application>
  <DocSecurity>0</DocSecurity>
  <Lines>108</Lines>
  <Paragraphs>30</Paragraphs>
  <ScaleCrop>false</ScaleCrop>
  <Company/>
  <LinksUpToDate>false</LinksUpToDate>
  <CharactersWithSpaces>15257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Stephen John Stretton</dc:creator>
  <cp:keywords/>
  <dc:description/>
  <cp:lastModifiedBy>Evie Davey</cp:lastModifiedBy>
  <cp:revision>2</cp:revision>
  <dcterms:created xsi:type="dcterms:W3CDTF">2024-09-26T00:19:00Z</dcterms:created>
  <dcterms:modified xsi:type="dcterms:W3CDTF">2024-09-26T00:19:00Z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49d4917ab0dfe8a32fde0d9d728cbc3b980bdeeb276f992536cf5b4a3c52ab06</vt:lpwstr>
  </property>
</Properties>
</file>