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0ED9" w14:textId="20F358E8" w:rsidR="006F122C" w:rsidRPr="00064D16" w:rsidRDefault="006F122C" w:rsidP="00064D16">
      <w:pPr>
        <w:rPr>
          <w:b/>
          <w:bCs/>
        </w:rPr>
      </w:pPr>
      <w:r w:rsidRPr="00064D16">
        <w:rPr>
          <w:b/>
          <w:bCs/>
        </w:rPr>
        <w:t>What are the main fiscal policy instruments that World Bank client countries may consider leveraging to address national climate change policy challenges? What may be some of the pros and/or cons of these different instruments?</w:t>
      </w:r>
    </w:p>
    <w:p w14:paraId="3614F899" w14:textId="77777777" w:rsidR="00271330" w:rsidRDefault="00271330"/>
    <w:p w14:paraId="41263272" w14:textId="49113B3F" w:rsidR="003510B5" w:rsidRDefault="007066F5" w:rsidP="008B37F9">
      <w:r>
        <w:t xml:space="preserve">Fiscal policy instruments can have a </w:t>
      </w:r>
      <w:r w:rsidR="00A365DF">
        <w:t>critical role in addressing national climate change policy challenges.</w:t>
      </w:r>
      <w:r w:rsidR="005A345E">
        <w:t xml:space="preserve"> </w:t>
      </w:r>
      <w:r w:rsidR="000463AD">
        <w:t>The assessment of such policies takes place in the context of the reduced fiscal space</w:t>
      </w:r>
      <w:r w:rsidR="00900856">
        <w:t xml:space="preserve"> and </w:t>
      </w:r>
      <w:r w:rsidR="000463AD">
        <w:t xml:space="preserve">elevated </w:t>
      </w:r>
      <w:r w:rsidR="004E5A7C">
        <w:t xml:space="preserve">global </w:t>
      </w:r>
      <w:r w:rsidR="000463AD">
        <w:t>prices</w:t>
      </w:r>
      <w:r w:rsidR="004E5A7C">
        <w:t xml:space="preserve">, including </w:t>
      </w:r>
      <w:r w:rsidR="004E5A7C">
        <w:t>fossil fuel</w:t>
      </w:r>
      <w:r w:rsidR="004E5A7C">
        <w:t xml:space="preserve"> prices</w:t>
      </w:r>
      <w:r w:rsidR="000463AD">
        <w:t xml:space="preserve">. </w:t>
      </w:r>
      <w:r w:rsidR="006F122C">
        <w:t xml:space="preserve">Fiscal instruments can have a key role in raising revenues and incentivizing the private sector to </w:t>
      </w:r>
      <w:r w:rsidR="00064D16">
        <w:t>act</w:t>
      </w:r>
      <w:r w:rsidR="006F122C">
        <w:t>.</w:t>
      </w:r>
    </w:p>
    <w:p w14:paraId="1031EEF3" w14:textId="77777777" w:rsidR="003510B5" w:rsidRDefault="003510B5" w:rsidP="00FD2A1D"/>
    <w:p w14:paraId="4B3CAF10" w14:textId="5177B4E4" w:rsidR="00FD2A1D" w:rsidRDefault="00382308" w:rsidP="00FD2A1D">
      <w:r>
        <w:t xml:space="preserve">Critical success factors include the </w:t>
      </w:r>
      <w:r w:rsidR="006F0B86">
        <w:t xml:space="preserve">political feasibility and </w:t>
      </w:r>
      <w:r w:rsidR="00F26F62">
        <w:t xml:space="preserve">popularity of the </w:t>
      </w:r>
      <w:r w:rsidR="006F0B86">
        <w:t xml:space="preserve">proposed </w:t>
      </w:r>
      <w:r w:rsidR="00F26F62">
        <w:t>reform, environmental effectiveness</w:t>
      </w:r>
      <w:r w:rsidR="00727F4D">
        <w:t>, including coverage and price level</w:t>
      </w:r>
      <w:r w:rsidR="00F26F62">
        <w:t>,</w:t>
      </w:r>
      <w:r w:rsidR="006F0B86">
        <w:t xml:space="preserve"> economic efficiency,</w:t>
      </w:r>
      <w:r w:rsidR="00F26F62">
        <w:t xml:space="preserve"> </w:t>
      </w:r>
      <w:r w:rsidR="00727F4D">
        <w:t xml:space="preserve">and </w:t>
      </w:r>
      <w:r w:rsidR="00F26F62">
        <w:t>administrative feasibility.</w:t>
      </w:r>
      <w:r w:rsidR="006F0B86">
        <w:t xml:space="preserve"> These factors depend not only on the </w:t>
      </w:r>
      <w:r w:rsidR="002F6778">
        <w:t>design of tax raising instruments, but also on the approaches to spend revenues.</w:t>
      </w:r>
      <w:r w:rsidR="00AE15A1">
        <w:t xml:space="preserve"> </w:t>
      </w:r>
    </w:p>
    <w:p w14:paraId="50E6E9DE" w14:textId="45A6C822" w:rsidR="00251BFE" w:rsidRDefault="00251BFE"/>
    <w:p w14:paraId="1DC32553" w14:textId="7CA0D66E" w:rsidR="00675A8B" w:rsidRDefault="00251BFE">
      <w:r>
        <w:t xml:space="preserve">A carbon tax would </w:t>
      </w:r>
      <w:r w:rsidR="00727F4D">
        <w:t>increase taxes on fossil fuels proportionally to the carbon content of fossil fuels</w:t>
      </w:r>
      <w:r w:rsidR="00640979">
        <w:t>, and thus the CO2 emissions when burnt</w:t>
      </w:r>
      <w:r w:rsidR="00727F4D">
        <w:t>.</w:t>
      </w:r>
      <w:r w:rsidR="00640979">
        <w:t xml:space="preserve"> Carbon taxes</w:t>
      </w:r>
      <w:r w:rsidR="00955368">
        <w:t xml:space="preserve"> are typically </w:t>
      </w:r>
      <w:r w:rsidR="00900856">
        <w:t>imposed</w:t>
      </w:r>
      <w:r w:rsidR="00955368">
        <w:t xml:space="preserve"> across all the fuels in the economy.</w:t>
      </w:r>
      <w:r w:rsidR="006F122C">
        <w:t xml:space="preserve"> Carbon taxes score well on economic efficiency.</w:t>
      </w:r>
      <w:r w:rsidR="006F122C" w:rsidRPr="006F122C">
        <w:t xml:space="preserve"> </w:t>
      </w:r>
      <w:r w:rsidR="006F122C">
        <w:t xml:space="preserve">Generally, carbon taxes have a few advantages over ETSs: they can be scoped to include all emissions, rather than being limited to large polluters, and they can be imposed at the point of entry into the economy (‘upstream’). </w:t>
      </w:r>
    </w:p>
    <w:p w14:paraId="3D4070C9" w14:textId="77777777" w:rsidR="00675A8B" w:rsidRDefault="00675A8B"/>
    <w:p w14:paraId="3B94F341" w14:textId="38451D94" w:rsidR="00A67321" w:rsidRDefault="003E01F7">
      <w:r>
        <w:t xml:space="preserve">Many countries have </w:t>
      </w:r>
      <w:r w:rsidR="00EE410B">
        <w:t>fossil fuel subsidies</w:t>
      </w:r>
      <w:r w:rsidR="00C86C4E">
        <w:t xml:space="preserve">. Fossil fuel subsidies can be split into </w:t>
      </w:r>
      <w:r w:rsidR="009B03CB">
        <w:t>direct</w:t>
      </w:r>
      <w:r w:rsidR="00C86C4E">
        <w:t xml:space="preserve"> subsidies</w:t>
      </w:r>
      <w:r w:rsidR="00287656">
        <w:t>, meaning that governments pay for a reduction in price,</w:t>
      </w:r>
      <w:r w:rsidR="00C86C4E">
        <w:t xml:space="preserve"> and </w:t>
      </w:r>
      <w:r w:rsidR="00287656">
        <w:t>implicit subsidies, when governments fail to price externalitie</w:t>
      </w:r>
      <w:r w:rsidR="0047038A">
        <w:t xml:space="preserve">s, such as air pollution. </w:t>
      </w:r>
      <w:r w:rsidR="00A67321">
        <w:t>More general than a carbon tax is a reform of fossil fuel taxes.</w:t>
      </w:r>
      <w:r w:rsidR="00A67321">
        <w:t xml:space="preserve"> This type of reform has the advantage that it can be tailored to address </w:t>
      </w:r>
      <w:r w:rsidR="00900856">
        <w:t xml:space="preserve">these </w:t>
      </w:r>
      <w:r w:rsidR="00A67321">
        <w:t>other externalities</w:t>
      </w:r>
      <w:r w:rsidR="004E5A7C">
        <w:t>.</w:t>
      </w:r>
      <w:r w:rsidR="004D3429">
        <w:t xml:space="preserve"> </w:t>
      </w:r>
    </w:p>
    <w:p w14:paraId="10BA1ED2" w14:textId="77777777" w:rsidR="006F122C" w:rsidRDefault="006F122C" w:rsidP="006F122C"/>
    <w:p w14:paraId="7BCE65F9" w14:textId="207F88C5" w:rsidR="004D3429" w:rsidRPr="00A67321" w:rsidRDefault="006F122C" w:rsidP="004D3429">
      <w:r>
        <w:t>Carbon pricing for energy related CO2 should be complemented by other policy to deal with other types of emissions, such as agriculture, land use change, and industrial emissions.</w:t>
      </w:r>
      <w:r>
        <w:t xml:space="preserve"> </w:t>
      </w:r>
      <w:r w:rsidR="004D3429">
        <w:t xml:space="preserve">Fiscal instruments have a key role to play in </w:t>
      </w:r>
      <w:r w:rsidR="004D3429">
        <w:t>land use and land use change. Since land use policy is often regional, then fiscal transfers between federal governments and local governments can be adjusted</w:t>
      </w:r>
      <w:r w:rsidR="00900856">
        <w:t xml:space="preserve"> to incentivize forest</w:t>
      </w:r>
      <w:r w:rsidR="0013223B">
        <w:t>ry</w:t>
      </w:r>
      <w:r w:rsidR="004D3429">
        <w:t>.</w:t>
      </w:r>
    </w:p>
    <w:p w14:paraId="75EBDA58" w14:textId="67FBC2C6" w:rsidR="00A67321" w:rsidRDefault="00A67321"/>
    <w:p w14:paraId="5214C185" w14:textId="7EB31FBB" w:rsidR="006B387A" w:rsidRDefault="006B387A" w:rsidP="006B387A">
      <w:r>
        <w:t xml:space="preserve">Expenditure policy involves the use of revenues from revenue raising instruments and then general expenditure policy. </w:t>
      </w:r>
      <w:r>
        <w:t>One key aspect is the impact on coal-dependent energy-intensive industry.</w:t>
      </w:r>
      <w:r w:rsidR="002D069C">
        <w:t xml:space="preserve"> In this context, </w:t>
      </w:r>
      <w:r w:rsidR="0013223B">
        <w:t xml:space="preserve">of already high prices, </w:t>
      </w:r>
      <w:r w:rsidR="002D069C">
        <w:t xml:space="preserve">the use of rebates such as output-based rebate for industry, or </w:t>
      </w:r>
      <w:r w:rsidR="004D6E50">
        <w:t>per-capita rebates, is key</w:t>
      </w:r>
      <w:r w:rsidR="006F122C">
        <w:t xml:space="preserve"> (‘feebates’).</w:t>
      </w:r>
    </w:p>
    <w:p w14:paraId="1A9E9CBC" w14:textId="77777777" w:rsidR="006B387A" w:rsidRPr="006B387A" w:rsidRDefault="006B387A" w:rsidP="006B387A"/>
    <w:p w14:paraId="5DA580EC" w14:textId="4B38014D" w:rsidR="00A67321" w:rsidRDefault="006F122C" w:rsidP="00A67321">
      <w:r>
        <w:t>Governments face major fiscal risks from energy markets and from climate change. Often the government acts as the insurer of last resort.</w:t>
      </w:r>
      <w:r>
        <w:t xml:space="preserve"> </w:t>
      </w:r>
      <w:r w:rsidR="003510B5">
        <w:t xml:space="preserve">Fiscal instruments also include expenditure and investment policy. Governments have a key role to play in the provision of essential public infrastructure (for example power grids, charging networks). </w:t>
      </w:r>
      <w:r w:rsidR="00DB3D75">
        <w:t xml:space="preserve">It’s important that the government adopts a strategic approach to the provision of infrastructure to ensure it is both </w:t>
      </w:r>
      <w:r w:rsidR="004E5A7C">
        <w:t xml:space="preserve">resilient to expected climate change and also </w:t>
      </w:r>
      <w:r w:rsidR="00EF5B93">
        <w:t>climate friendly</w:t>
      </w:r>
      <w:r w:rsidR="004D3429">
        <w:t>.</w:t>
      </w:r>
    </w:p>
    <w:p w14:paraId="45244071" w14:textId="381ABB22" w:rsidR="00640979" w:rsidRDefault="00640979"/>
    <w:p w14:paraId="58541A23" w14:textId="76F2F6BE" w:rsidR="002D069C" w:rsidRDefault="002D069C">
      <w:r>
        <w:t xml:space="preserve">The key success factors for a reform include </w:t>
      </w:r>
      <w:r w:rsidR="004D6E50">
        <w:t>efficiency, stringency, popularity</w:t>
      </w:r>
      <w:r w:rsidR="008B37F9">
        <w:t>. Typically</w:t>
      </w:r>
      <w:r w:rsidR="00DA40B2">
        <w:t>,</w:t>
      </w:r>
      <w:r w:rsidR="008B37F9">
        <w:t xml:space="preserve"> a carbon tax is considered a ‘gold standard’ reform. In order to implement in high price environment, one option is to first consider </w:t>
      </w:r>
      <w:r w:rsidR="006F122C">
        <w:t xml:space="preserve">feebates in crucial sectors, combined with fossil fuel subsidy reform plus a rising </w:t>
      </w:r>
      <w:r w:rsidR="00DA40B2">
        <w:t>c</w:t>
      </w:r>
      <w:r w:rsidR="006F122C">
        <w:t xml:space="preserve">arbon </w:t>
      </w:r>
      <w:r w:rsidR="00DA40B2">
        <w:t>t</w:t>
      </w:r>
      <w:r w:rsidR="006F122C">
        <w:t>ax, that rebates to public investment and to reduce other taxes in the long run.</w:t>
      </w:r>
    </w:p>
    <w:p w14:paraId="6CC47D84" w14:textId="77777777" w:rsidR="004D6E50" w:rsidRDefault="004D6E50"/>
    <w:sectPr w:rsidR="004D6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A0NTE1MDQxMrQwMzNW0lEKTi0uzszPAykwrAUATuvBkSwAAAA="/>
  </w:docVars>
  <w:rsids>
    <w:rsidRoot w:val="00334B1B"/>
    <w:rsid w:val="000463AD"/>
    <w:rsid w:val="00064D16"/>
    <w:rsid w:val="000B1C07"/>
    <w:rsid w:val="000F5760"/>
    <w:rsid w:val="001146FB"/>
    <w:rsid w:val="0013223B"/>
    <w:rsid w:val="00190836"/>
    <w:rsid w:val="00210536"/>
    <w:rsid w:val="00251BFE"/>
    <w:rsid w:val="00271330"/>
    <w:rsid w:val="00287656"/>
    <w:rsid w:val="002C434C"/>
    <w:rsid w:val="002D069C"/>
    <w:rsid w:val="002F6778"/>
    <w:rsid w:val="00305DDE"/>
    <w:rsid w:val="00334B1B"/>
    <w:rsid w:val="003510B5"/>
    <w:rsid w:val="00382308"/>
    <w:rsid w:val="00393B33"/>
    <w:rsid w:val="003E01F7"/>
    <w:rsid w:val="00405549"/>
    <w:rsid w:val="0047038A"/>
    <w:rsid w:val="004D3429"/>
    <w:rsid w:val="004D6E50"/>
    <w:rsid w:val="004E5A7C"/>
    <w:rsid w:val="00527DFF"/>
    <w:rsid w:val="005A345E"/>
    <w:rsid w:val="00615138"/>
    <w:rsid w:val="00640979"/>
    <w:rsid w:val="00675A8B"/>
    <w:rsid w:val="006B387A"/>
    <w:rsid w:val="006F0B86"/>
    <w:rsid w:val="006F122C"/>
    <w:rsid w:val="007066F5"/>
    <w:rsid w:val="00727F4D"/>
    <w:rsid w:val="007573C9"/>
    <w:rsid w:val="007937FA"/>
    <w:rsid w:val="007C5869"/>
    <w:rsid w:val="00832729"/>
    <w:rsid w:val="008464D2"/>
    <w:rsid w:val="008B37F9"/>
    <w:rsid w:val="00900856"/>
    <w:rsid w:val="00933A0E"/>
    <w:rsid w:val="00937B3C"/>
    <w:rsid w:val="00950856"/>
    <w:rsid w:val="00955368"/>
    <w:rsid w:val="009B03CB"/>
    <w:rsid w:val="009E434C"/>
    <w:rsid w:val="00A365DF"/>
    <w:rsid w:val="00A61A22"/>
    <w:rsid w:val="00A67321"/>
    <w:rsid w:val="00AE15A1"/>
    <w:rsid w:val="00B23C5E"/>
    <w:rsid w:val="00B47D0A"/>
    <w:rsid w:val="00B9712E"/>
    <w:rsid w:val="00BE7A01"/>
    <w:rsid w:val="00C457DC"/>
    <w:rsid w:val="00C86C4E"/>
    <w:rsid w:val="00D27FF4"/>
    <w:rsid w:val="00D61B30"/>
    <w:rsid w:val="00DA40B2"/>
    <w:rsid w:val="00DA63CF"/>
    <w:rsid w:val="00DB3D75"/>
    <w:rsid w:val="00DF60C5"/>
    <w:rsid w:val="00DF7109"/>
    <w:rsid w:val="00EA3D07"/>
    <w:rsid w:val="00EE3C09"/>
    <w:rsid w:val="00EE410B"/>
    <w:rsid w:val="00EF5B93"/>
    <w:rsid w:val="00F134D5"/>
    <w:rsid w:val="00F26F62"/>
    <w:rsid w:val="00F333A7"/>
    <w:rsid w:val="00FD2579"/>
    <w:rsid w:val="00FD2A1D"/>
    <w:rsid w:val="00FF39AB"/>
    <w:rsid w:val="00FF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8599"/>
  <w15:chartTrackingRefBased/>
  <w15:docId w15:val="{EB06D6BA-288E-4377-9369-6E2EE2D5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B1B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3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0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10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9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511</Words>
  <Characters>2991</Characters>
  <Application>Microsoft Office Word</Application>
  <DocSecurity>0</DocSecurity>
  <Lines>57</Lines>
  <Paragraphs>11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Stretton</dc:creator>
  <cp:keywords/>
  <dc:description/>
  <cp:lastModifiedBy>Stephen John Stretton</cp:lastModifiedBy>
  <cp:revision>63</cp:revision>
  <dcterms:created xsi:type="dcterms:W3CDTF">2022-10-13T17:10:00Z</dcterms:created>
  <dcterms:modified xsi:type="dcterms:W3CDTF">2022-10-13T18:01:00Z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7b90f804-c6ad-4fb6-97c3-5024073e6fea</vt:lpwstr>
  </property>
</Properties>
</file>