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121A4" w:rsidR="00317DC9" w:rsidP="00F50DCD" w:rsidRDefault="00317DC9" w14:paraId="5359938B" w14:textId="49FC3F03">
      <w:pPr>
        <w:jc w:val="center"/>
        <w:rPr>
          <w:rFonts w:ascii="Calibri" w:hAnsi="Calibri" w:cs="Calibri"/>
          <w:b/>
          <w:bCs/>
          <w:color w:val="000000" w:themeColor="text1"/>
        </w:rPr>
      </w:pPr>
      <w:r w:rsidRPr="006121A4">
        <w:rPr>
          <w:rFonts w:ascii="Calibri" w:hAnsi="Calibri" w:cs="Calibri"/>
          <w:b/>
          <w:bCs/>
          <w:color w:val="000000" w:themeColor="text1"/>
        </w:rPr>
        <w:t>MOBILIZING PRIVATE FINANCE FOR THE CLIMATE AGENDA</w:t>
      </w:r>
    </w:p>
    <w:p w:rsidRPr="006121A4" w:rsidR="00317DC9" w:rsidP="00F50DCD" w:rsidRDefault="00317DC9" w14:paraId="398D3E44" w14:textId="0C3169CF">
      <w:pPr>
        <w:jc w:val="center"/>
        <w:rPr>
          <w:rFonts w:ascii="Calibri" w:hAnsi="Calibri" w:cs="Calibri"/>
          <w:b/>
          <w:bCs/>
          <w:i/>
          <w:iCs/>
          <w:color w:val="000000" w:themeColor="text1"/>
        </w:rPr>
      </w:pPr>
      <w:r w:rsidRPr="006121A4">
        <w:rPr>
          <w:rFonts w:ascii="Calibri" w:hAnsi="Calibri" w:cs="Calibri"/>
          <w:b/>
          <w:bCs/>
          <w:i/>
          <w:iCs/>
          <w:color w:val="000000" w:themeColor="text1"/>
        </w:rPr>
        <w:t>INTRODUCING SUSTAINABILITY-LINKED INTERMEDIATED DEBT INSTRUMENTS (SLIDIs)</w:t>
      </w:r>
      <w:r w:rsidR="003E2E65">
        <w:rPr>
          <w:rStyle w:val="FootnoteReference"/>
          <w:rFonts w:ascii="Calibri" w:hAnsi="Calibri" w:cs="Calibri"/>
          <w:b/>
          <w:bCs/>
          <w:i/>
          <w:iCs/>
          <w:color w:val="000000" w:themeColor="text1"/>
        </w:rPr>
        <w:footnoteReference w:id="1"/>
      </w:r>
    </w:p>
    <w:p w:rsidRPr="006121A4" w:rsidR="00317DC9" w:rsidP="00F50DCD" w:rsidRDefault="00317DC9" w14:paraId="511CF51D" w14:textId="77777777">
      <w:pPr>
        <w:jc w:val="center"/>
        <w:rPr>
          <w:rFonts w:ascii="Calibri" w:hAnsi="Calibri" w:cs="Calibri"/>
          <w:b/>
          <w:bCs/>
          <w:i/>
          <w:iCs/>
          <w:color w:val="000000" w:themeColor="text1"/>
        </w:rPr>
      </w:pPr>
    </w:p>
    <w:p w:rsidRPr="006121A4" w:rsidR="00317DC9" w:rsidP="00F50DCD" w:rsidRDefault="00317DC9" w14:paraId="590ED6ED" w14:textId="702194E2">
      <w:pPr>
        <w:jc w:val="center"/>
        <w:rPr>
          <w:rFonts w:ascii="Calibri" w:hAnsi="Calibri" w:cs="Calibri"/>
          <w:b/>
          <w:bCs/>
          <w:color w:val="000000" w:themeColor="text1"/>
        </w:rPr>
      </w:pPr>
      <w:r w:rsidRPr="006121A4">
        <w:rPr>
          <w:rFonts w:ascii="Calibri" w:hAnsi="Calibri" w:cs="Calibri"/>
          <w:b/>
          <w:bCs/>
          <w:color w:val="000000" w:themeColor="text1"/>
        </w:rPr>
        <w:t>Marcello Estevão</w:t>
      </w:r>
    </w:p>
    <w:p w:rsidRPr="006121A4" w:rsidR="00317DC9" w:rsidP="00F50DCD" w:rsidRDefault="00317DC9" w14:paraId="2958350A" w14:textId="0ADB0B78">
      <w:pPr>
        <w:jc w:val="center"/>
        <w:rPr>
          <w:rFonts w:ascii="Calibri" w:hAnsi="Calibri" w:cs="Calibri"/>
          <w:color w:val="000000" w:themeColor="text1"/>
        </w:rPr>
      </w:pPr>
      <w:r w:rsidRPr="006121A4">
        <w:rPr>
          <w:rFonts w:ascii="Calibri" w:hAnsi="Calibri" w:cs="Calibri"/>
          <w:color w:val="000000" w:themeColor="text1"/>
        </w:rPr>
        <w:t>IIF</w:t>
      </w:r>
      <w:r w:rsidR="00396AE5">
        <w:rPr>
          <w:rFonts w:ascii="Calibri" w:hAnsi="Calibri" w:cs="Calibri"/>
          <w:color w:val="000000" w:themeColor="text1"/>
        </w:rPr>
        <w:t xml:space="preserve"> </w:t>
      </w:r>
      <w:r w:rsidRPr="006121A4">
        <w:rPr>
          <w:rFonts w:ascii="Calibri" w:hAnsi="Calibri" w:cs="Calibri"/>
          <w:color w:val="000000" w:themeColor="text1"/>
        </w:rPr>
        <w:t>- Institute of International Finance, Washington</w:t>
      </w:r>
      <w:r w:rsidR="00652CB0">
        <w:rPr>
          <w:rFonts w:ascii="Calibri" w:hAnsi="Calibri" w:cs="Calibri"/>
          <w:color w:val="000000" w:themeColor="text1"/>
        </w:rPr>
        <w:t>, D.C.</w:t>
      </w:r>
    </w:p>
    <w:p w:rsidRPr="006121A4" w:rsidR="00317DC9" w:rsidP="00F50DCD" w:rsidRDefault="00317DC9" w14:paraId="37F78C89" w14:textId="77777777">
      <w:pPr>
        <w:jc w:val="center"/>
        <w:rPr>
          <w:rFonts w:ascii="Calibri" w:hAnsi="Calibri" w:cs="Calibri"/>
          <w:b/>
          <w:bCs/>
          <w:color w:val="000000" w:themeColor="text1"/>
        </w:rPr>
      </w:pPr>
      <w:r w:rsidRPr="006121A4">
        <w:rPr>
          <w:rFonts w:ascii="Calibri" w:hAnsi="Calibri" w:cs="Calibri"/>
          <w:b/>
          <w:bCs/>
          <w:color w:val="000000" w:themeColor="text1"/>
        </w:rPr>
        <w:t>Stephen Stretton</w:t>
      </w:r>
    </w:p>
    <w:p w:rsidRPr="006121A4" w:rsidR="00317DC9" w:rsidP="00F50DCD" w:rsidRDefault="00317DC9" w14:paraId="2ED73DAF" w14:textId="1911FD22">
      <w:pPr>
        <w:jc w:val="center"/>
        <w:rPr>
          <w:rFonts w:ascii="Calibri" w:hAnsi="Calibri" w:cs="Calibri"/>
          <w:color w:val="000000" w:themeColor="text1"/>
        </w:rPr>
      </w:pPr>
      <w:r w:rsidRPr="006121A4">
        <w:rPr>
          <w:rFonts w:ascii="Calibri" w:hAnsi="Calibri" w:cs="Calibri"/>
          <w:color w:val="000000" w:themeColor="text1"/>
        </w:rPr>
        <w:t>WB</w:t>
      </w:r>
      <w:r w:rsidR="00396AE5">
        <w:rPr>
          <w:rFonts w:ascii="Calibri" w:hAnsi="Calibri" w:cs="Calibri"/>
          <w:color w:val="000000" w:themeColor="text1"/>
        </w:rPr>
        <w:t xml:space="preserve"> </w:t>
      </w:r>
      <w:r w:rsidRPr="006121A4">
        <w:rPr>
          <w:rFonts w:ascii="Calibri" w:hAnsi="Calibri" w:cs="Calibri"/>
          <w:color w:val="000000" w:themeColor="text1"/>
        </w:rPr>
        <w:t>- World Bank, Washington</w:t>
      </w:r>
      <w:r w:rsidR="00652CB0">
        <w:rPr>
          <w:rFonts w:ascii="Calibri" w:hAnsi="Calibri" w:cs="Calibri"/>
          <w:color w:val="000000" w:themeColor="text1"/>
        </w:rPr>
        <w:t>, D.C.</w:t>
      </w:r>
    </w:p>
    <w:p w:rsidRPr="006121A4" w:rsidR="00317DC9" w:rsidP="00F50DCD" w:rsidRDefault="00317DC9" w14:paraId="12663B38" w14:textId="77777777">
      <w:pPr>
        <w:jc w:val="center"/>
        <w:rPr>
          <w:rFonts w:ascii="Calibri" w:hAnsi="Calibri" w:cs="Calibri"/>
          <w:b/>
          <w:bCs/>
          <w:color w:val="000000" w:themeColor="text1"/>
        </w:rPr>
      </w:pPr>
      <w:r w:rsidRPr="006121A4">
        <w:rPr>
          <w:rFonts w:ascii="Calibri" w:hAnsi="Calibri" w:cs="Calibri"/>
          <w:b/>
          <w:bCs/>
          <w:color w:val="000000" w:themeColor="text1"/>
        </w:rPr>
        <w:t>Nils Zimmermann</w:t>
      </w:r>
    </w:p>
    <w:p w:rsidRPr="006121A4" w:rsidR="00317DC9" w:rsidP="00F50DCD" w:rsidRDefault="00F67A2C" w14:paraId="76FA823F" w14:textId="69A57088">
      <w:pPr>
        <w:jc w:val="center"/>
        <w:rPr>
          <w:rFonts w:ascii="Calibri" w:hAnsi="Calibri" w:cs="Calibri"/>
          <w:color w:val="000000" w:themeColor="text1"/>
        </w:rPr>
      </w:pPr>
      <w:r>
        <w:rPr>
          <w:rFonts w:ascii="Calibri" w:hAnsi="Calibri" w:cs="Calibri"/>
          <w:color w:val="000000" w:themeColor="text1"/>
        </w:rPr>
        <w:t>Consultant</w:t>
      </w:r>
      <w:r w:rsidRPr="006121A4" w:rsidR="00317DC9">
        <w:rPr>
          <w:rFonts w:ascii="Calibri" w:hAnsi="Calibri" w:cs="Calibri"/>
          <w:color w:val="000000" w:themeColor="text1"/>
        </w:rPr>
        <w:t>, Washington</w:t>
      </w:r>
      <w:r w:rsidR="00652CB0">
        <w:rPr>
          <w:rFonts w:ascii="Calibri" w:hAnsi="Calibri" w:cs="Calibri"/>
          <w:color w:val="000000" w:themeColor="text1"/>
        </w:rPr>
        <w:t>, D.C.</w:t>
      </w:r>
    </w:p>
    <w:p w:rsidRPr="006121A4" w:rsidR="00317DC9" w:rsidP="00F50DCD" w:rsidRDefault="00317DC9" w14:paraId="34E5AA72" w14:textId="77777777">
      <w:pPr>
        <w:jc w:val="center"/>
        <w:rPr>
          <w:rFonts w:ascii="Calibri" w:hAnsi="Calibri" w:cs="Calibri"/>
          <w:color w:val="000000" w:themeColor="text1"/>
        </w:rPr>
      </w:pPr>
    </w:p>
    <w:p w:rsidRPr="006121A4" w:rsidR="00317DC9" w:rsidP="00F50DCD" w:rsidRDefault="00317DC9" w14:paraId="03639FDB" w14:textId="790E0375">
      <w:pPr>
        <w:pStyle w:val="Heading2"/>
        <w:spacing w:line="240" w:lineRule="auto"/>
        <w:rPr>
          <w:rFonts w:ascii="Calibri" w:hAnsi="Calibri" w:cs="Calibri"/>
          <w:b/>
          <w:bCs/>
          <w:color w:val="000000" w:themeColor="text1"/>
          <w:sz w:val="22"/>
          <w:szCs w:val="22"/>
        </w:rPr>
      </w:pPr>
      <w:r w:rsidRPr="006121A4">
        <w:rPr>
          <w:rFonts w:ascii="Calibri" w:hAnsi="Calibri" w:cs="Calibri"/>
          <w:b/>
          <w:bCs/>
          <w:color w:val="000000" w:themeColor="text1"/>
          <w:sz w:val="22"/>
          <w:szCs w:val="22"/>
        </w:rPr>
        <w:t>ABSTRACT</w:t>
      </w:r>
    </w:p>
    <w:p w:rsidR="00152DB1" w:rsidP="00F50DCD" w:rsidRDefault="00317DC9" w14:paraId="47968F3C" w14:textId="1312D992">
      <w:pPr>
        <w:spacing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We </w:t>
      </w:r>
      <w:r w:rsidR="00917AC2">
        <w:rPr>
          <w:rFonts w:ascii="Calibri" w:hAnsi="Calibri" w:eastAsia="Georgia" w:cs="Calibri"/>
          <w:bCs/>
          <w:color w:val="000000" w:themeColor="text1"/>
        </w:rPr>
        <w:t>propose</w:t>
      </w:r>
      <w:r w:rsidRPr="00F93CE3">
        <w:rPr>
          <w:rFonts w:ascii="Calibri" w:hAnsi="Calibri" w:eastAsia="Georgia" w:cs="Calibri"/>
          <w:bCs/>
          <w:color w:val="000000" w:themeColor="text1"/>
        </w:rPr>
        <w:t xml:space="preserve"> a scalable solution to the twin challenges of reducing developing countries’ cost of borrowing whilst incentivizing their governments to achieve progress in agreed environmental, social, and governance</w:t>
      </w:r>
      <w:r w:rsidR="000422B4">
        <w:rPr>
          <w:rFonts w:ascii="Calibri" w:hAnsi="Calibri" w:eastAsia="Georgia" w:cs="Calibri"/>
          <w:bCs/>
          <w:color w:val="000000" w:themeColor="text1"/>
        </w:rPr>
        <w:t xml:space="preserve"> (ESG)</w:t>
      </w:r>
      <w:r w:rsidRPr="00F93CE3">
        <w:rPr>
          <w:rFonts w:ascii="Calibri" w:hAnsi="Calibri" w:eastAsia="Georgia" w:cs="Calibri"/>
          <w:bCs/>
          <w:color w:val="000000" w:themeColor="text1"/>
        </w:rPr>
        <w:t xml:space="preserve"> dimensions. We propose a set of </w:t>
      </w:r>
      <w:r w:rsidR="000422B4">
        <w:rPr>
          <w:rFonts w:ascii="Calibri" w:hAnsi="Calibri" w:eastAsia="Georgia" w:cs="Calibri"/>
          <w:bCs/>
          <w:color w:val="000000" w:themeColor="text1"/>
        </w:rPr>
        <w:t>‘</w:t>
      </w:r>
      <w:r w:rsidRPr="00F93CE3">
        <w:rPr>
          <w:rFonts w:ascii="Calibri" w:hAnsi="Calibri" w:eastAsia="Georgia" w:cs="Calibri"/>
          <w:bCs/>
          <w:color w:val="000000" w:themeColor="text1"/>
        </w:rPr>
        <w:t>sustainability-linked intermediated debt instruments</w:t>
      </w:r>
      <w:r w:rsidR="000422B4">
        <w:rPr>
          <w:rFonts w:ascii="Calibri" w:hAnsi="Calibri" w:eastAsia="Georgia" w:cs="Calibri"/>
          <w:bCs/>
          <w:color w:val="000000" w:themeColor="text1"/>
        </w:rPr>
        <w:t>’</w:t>
      </w:r>
      <w:r w:rsidRPr="00F93CE3">
        <w:rPr>
          <w:rFonts w:ascii="Calibri" w:hAnsi="Calibri" w:eastAsia="Georgia" w:cs="Calibri"/>
          <w:bCs/>
          <w:color w:val="000000" w:themeColor="text1"/>
        </w:rPr>
        <w:t xml:space="preserve"> (SLIDIs; informally ‘KPI-linked lending’) </w:t>
      </w:r>
      <w:r w:rsidRPr="00917AC2" w:rsidR="00917AC2">
        <w:rPr>
          <w:rFonts w:ascii="Calibri" w:hAnsi="Calibri" w:eastAsia="Georgia" w:cs="Calibri"/>
          <w:bCs/>
          <w:color w:val="000000" w:themeColor="text1"/>
        </w:rPr>
        <w:t>designed to address the limitations of existing sustainability-linked bonds (SLBs), which have seen a decline in annual issuance since peaking in 2021.</w:t>
      </w:r>
    </w:p>
    <w:p w:rsidRPr="00152DB1" w:rsidR="00317DC9" w:rsidP="00F50DCD" w:rsidRDefault="00317DC9" w14:paraId="104FB135" w14:textId="0DB06672">
      <w:pPr>
        <w:spacing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We describe two approaches to construct SLIDIs. </w:t>
      </w:r>
      <w:r w:rsidRPr="000422B4" w:rsidR="000422B4">
        <w:rPr>
          <w:rFonts w:ascii="Calibri" w:hAnsi="Calibri" w:eastAsia="Georgia" w:cs="Calibri"/>
          <w:bCs/>
          <w:color w:val="000000" w:themeColor="text1"/>
        </w:rPr>
        <w:t>The first approach entails a sovereign bond that includes results-based payments from the World Bank or another fund to the issuing government, contingent upon the achievement of specific outcomes, or key performance indicators (KPIs).</w:t>
      </w:r>
      <w:r w:rsidR="000422B4">
        <w:rPr>
          <w:rFonts w:ascii="Calibri" w:hAnsi="Calibri" w:eastAsia="Georgia" w:cs="Calibri"/>
          <w:bCs/>
          <w:color w:val="000000" w:themeColor="text1"/>
        </w:rPr>
        <w:t xml:space="preserve"> </w:t>
      </w:r>
      <w:r w:rsidRPr="000422B4" w:rsidR="000422B4">
        <w:rPr>
          <w:rFonts w:ascii="Calibri" w:hAnsi="Calibri" w:eastAsia="Georgia" w:cs="Calibri"/>
          <w:bCs/>
          <w:color w:val="000000" w:themeColor="text1"/>
        </w:rPr>
        <w:t>In the alternative recommended approach, an intermediary sustainable lending fund, supported by a voluntary coalition of advanced economies, issues bonds at a fixed coupon rate. Due to the de-risking nature of these bonds, they are offered at lower coupon rates.</w:t>
      </w:r>
      <w:r w:rsidR="000422B4">
        <w:rPr>
          <w:rFonts w:ascii="Calibri" w:hAnsi="Calibri" w:eastAsia="Georgia" w:cs="Calibri"/>
          <w:bCs/>
          <w:color w:val="000000" w:themeColor="text1"/>
        </w:rPr>
        <w:t xml:space="preserve"> </w:t>
      </w:r>
      <w:r w:rsidRPr="00F93CE3">
        <w:rPr>
          <w:rFonts w:ascii="Calibri" w:hAnsi="Calibri" w:eastAsia="Georgia" w:cs="Calibri"/>
          <w:bCs/>
          <w:color w:val="000000" w:themeColor="text1"/>
        </w:rPr>
        <w:t>The money raised is then on-lent to developing-country sovereigns at a higher interest rate, via SLLs. If after several years, the developing country borrower has met specific ESG goals, as measured via KPIs</w:t>
      </w:r>
      <w:r w:rsidR="00152DB1">
        <w:rPr>
          <w:rFonts w:ascii="Calibri" w:hAnsi="Calibri" w:eastAsia="Georgia" w:cs="Calibri"/>
          <w:bCs/>
          <w:color w:val="000000" w:themeColor="text1"/>
        </w:rPr>
        <w:t xml:space="preserve"> </w:t>
      </w:r>
      <w:r w:rsidRPr="00F93CE3">
        <w:rPr>
          <w:rFonts w:ascii="Calibri" w:hAnsi="Calibri" w:eastAsia="Georgia" w:cs="Calibri"/>
          <w:bCs/>
          <w:color w:val="000000" w:themeColor="text1"/>
        </w:rPr>
        <w:t xml:space="preserve">specified in their SLL terms, then a significant portion of the interest that has been paid by the borrower since the beginning of the loan term is refunded to the borrower. </w:t>
      </w:r>
    </w:p>
    <w:p w:rsidRPr="00F93CE3" w:rsidR="00317DC9" w:rsidP="00F50DCD" w:rsidRDefault="00317DC9" w14:paraId="5C4DF686" w14:textId="77777777">
      <w:pPr>
        <w:spacing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Developing countries’ efforts to meet the KPIs can be assisted by development agencies, which also monitor and verify performance. Development agencies and/or developed country partners can also offer guarantee products that would reduce country-issuer risk, and thus the coupon payments needed to attract private investors. The net effect is to incentivize and reward developing countries for progress on agreed ESG goals.</w:t>
      </w:r>
    </w:p>
    <w:p w:rsidRPr="006121A4" w:rsidR="006121A4" w:rsidP="00F50DCD" w:rsidRDefault="006121A4" w14:paraId="3A49AE0F" w14:textId="77777777">
      <w:pPr>
        <w:spacing w:line="240" w:lineRule="auto"/>
        <w:jc w:val="both"/>
        <w:rPr>
          <w:rFonts w:ascii="Calibri" w:hAnsi="Calibri" w:cs="Calibri"/>
          <w:color w:val="000000" w:themeColor="text1"/>
        </w:rPr>
      </w:pPr>
    </w:p>
    <w:p w:rsidR="00156264" w:rsidP="00F50DCD" w:rsidRDefault="00156264" w14:paraId="016E6425" w14:textId="77777777">
      <w:pPr>
        <w:spacing w:after="160" w:line="278" w:lineRule="auto"/>
        <w:rPr>
          <w:rFonts w:ascii="Calibri" w:hAnsi="Calibri" w:eastAsia="Georgia" w:cs="Calibri"/>
          <w:b/>
          <w:bCs/>
          <w:color w:val="000000" w:themeColor="text1"/>
        </w:rPr>
      </w:pPr>
      <w:bookmarkStart w:name="_Toc175616577" w:id="0"/>
      <w:bookmarkStart w:name="_Toc1456104966" w:id="1"/>
      <w:r>
        <w:rPr>
          <w:rFonts w:ascii="Calibri" w:hAnsi="Calibri" w:eastAsia="Georgia" w:cs="Calibri"/>
          <w:b/>
          <w:bCs/>
          <w:color w:val="000000" w:themeColor="text1"/>
        </w:rPr>
        <w:br w:type="page"/>
      </w:r>
    </w:p>
    <w:p w:rsidR="006121A4" w:rsidP="00F50DCD" w:rsidRDefault="00F03CC2" w14:paraId="16E615D5" w14:textId="7EE7106F">
      <w:pPr>
        <w:spacing w:line="240" w:lineRule="auto"/>
        <w:rPr>
          <w:rFonts w:ascii="Calibri" w:hAnsi="Calibri" w:eastAsia="Georgia" w:cs="Calibri"/>
          <w:b/>
          <w:bCs/>
          <w:color w:val="000000" w:themeColor="text1"/>
        </w:rPr>
      </w:pPr>
      <w:r>
        <w:rPr>
          <w:rFonts w:ascii="Calibri" w:hAnsi="Calibri" w:eastAsia="Georgia" w:cs="Calibri"/>
          <w:b/>
          <w:bCs/>
          <w:color w:val="000000" w:themeColor="text1"/>
        </w:rPr>
        <w:lastRenderedPageBreak/>
        <w:t>ABBREVIATIONS</w:t>
      </w:r>
    </w:p>
    <w:p w:rsidR="00C46990" w:rsidP="00F50DCD" w:rsidRDefault="00C46990" w14:paraId="745086BA"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AFD: French Agency for Development</w:t>
      </w:r>
    </w:p>
    <w:p w:rsidR="00C46990" w:rsidP="00F50DCD" w:rsidRDefault="00C46990" w14:paraId="504D79B1"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AfDB: African Development Bank</w:t>
      </w:r>
    </w:p>
    <w:p w:rsidR="00C46990" w:rsidP="00F50DCD" w:rsidRDefault="00C46990" w14:paraId="47425956"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ESG: Environmental, Social and Governance</w:t>
      </w:r>
    </w:p>
    <w:p w:rsidR="00C46990" w:rsidP="00F50DCD" w:rsidRDefault="00C46990" w14:paraId="576A1082"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GHG: Greenhouse Gas</w:t>
      </w:r>
    </w:p>
    <w:p w:rsidR="00C46990" w:rsidP="00F50DCD" w:rsidRDefault="00C46990" w14:paraId="1B082405"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 xml:space="preserve">GiZ: </w:t>
      </w:r>
      <w:r w:rsidRPr="00F03CC2">
        <w:rPr>
          <w:rFonts w:ascii="Calibri" w:hAnsi="Calibri" w:eastAsia="Georgia" w:cs="Calibri"/>
          <w:color w:val="000000" w:themeColor="text1"/>
        </w:rPr>
        <w:t>German Corporation for International Cooperation</w:t>
      </w:r>
    </w:p>
    <w:p w:rsidR="00C46990" w:rsidP="00F50DCD" w:rsidRDefault="00C46990" w14:paraId="225A90A9"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IDB: Inter-American Development Bank</w:t>
      </w:r>
    </w:p>
    <w:p w:rsidR="00C46990" w:rsidP="00F50DCD" w:rsidRDefault="00C46990" w14:paraId="076C69C2" w14:textId="137E68C8">
      <w:pPr>
        <w:spacing w:line="240" w:lineRule="auto"/>
        <w:rPr>
          <w:rFonts w:ascii="Calibri" w:hAnsi="Calibri" w:eastAsia="Georgia" w:cs="Calibri"/>
          <w:color w:val="000000" w:themeColor="text1"/>
        </w:rPr>
      </w:pPr>
      <w:r>
        <w:rPr>
          <w:rFonts w:ascii="Calibri" w:hAnsi="Calibri" w:eastAsia="Georgia" w:cs="Calibri"/>
          <w:color w:val="000000" w:themeColor="text1"/>
        </w:rPr>
        <w:t>KPIs: Key Performance Indicators</w:t>
      </w:r>
    </w:p>
    <w:p w:rsidR="00C46990" w:rsidP="00F50DCD" w:rsidRDefault="00C46990" w14:paraId="6521DA17"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MLDB: Multilateral Development Bank</w:t>
      </w:r>
    </w:p>
    <w:p w:rsidR="00C46990" w:rsidP="00F50DCD" w:rsidRDefault="00C46990" w14:paraId="5EB8A169"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MLFIs: M</w:t>
      </w:r>
      <w:r w:rsidRPr="006121A4">
        <w:rPr>
          <w:rFonts w:ascii="Calibri" w:hAnsi="Calibri" w:eastAsia="Georgia" w:cs="Calibri"/>
          <w:color w:val="000000" w:themeColor="text1"/>
        </w:rPr>
        <w:t xml:space="preserve">ultilateral </w:t>
      </w:r>
      <w:r>
        <w:rPr>
          <w:rFonts w:ascii="Calibri" w:hAnsi="Calibri" w:eastAsia="Georgia" w:cs="Calibri"/>
          <w:color w:val="000000" w:themeColor="text1"/>
        </w:rPr>
        <w:t>F</w:t>
      </w:r>
      <w:r w:rsidRPr="006121A4">
        <w:rPr>
          <w:rFonts w:ascii="Calibri" w:hAnsi="Calibri" w:eastAsia="Georgia" w:cs="Calibri"/>
          <w:color w:val="000000" w:themeColor="text1"/>
        </w:rPr>
        <w:t xml:space="preserve">inancial </w:t>
      </w:r>
      <w:r>
        <w:rPr>
          <w:rFonts w:ascii="Calibri" w:hAnsi="Calibri" w:eastAsia="Georgia" w:cs="Calibri"/>
          <w:color w:val="000000" w:themeColor="text1"/>
        </w:rPr>
        <w:t>I</w:t>
      </w:r>
      <w:r w:rsidRPr="006121A4">
        <w:rPr>
          <w:rFonts w:ascii="Calibri" w:hAnsi="Calibri" w:eastAsia="Georgia" w:cs="Calibri"/>
          <w:color w:val="000000" w:themeColor="text1"/>
        </w:rPr>
        <w:t>nstitutions</w:t>
      </w:r>
    </w:p>
    <w:p w:rsidR="003D79F3" w:rsidP="00F50DCD" w:rsidRDefault="003D79F3" w14:paraId="70C23D52" w14:textId="0A8C4693">
      <w:pPr>
        <w:spacing w:line="240" w:lineRule="auto"/>
        <w:rPr>
          <w:rFonts w:ascii="Calibri" w:hAnsi="Calibri" w:eastAsia="Georgia" w:cs="Calibri"/>
          <w:color w:val="000000" w:themeColor="text1"/>
        </w:rPr>
      </w:pPr>
      <w:r>
        <w:rPr>
          <w:rFonts w:ascii="Calibri" w:hAnsi="Calibri" w:eastAsia="Georgia" w:cs="Calibri"/>
          <w:color w:val="000000" w:themeColor="text1"/>
        </w:rPr>
        <w:t>NZE: Net Zero Emissions</w:t>
      </w:r>
    </w:p>
    <w:p w:rsidR="00C46990" w:rsidP="00F50DCD" w:rsidRDefault="00C46990" w14:paraId="6C15190D" w14:textId="77777777">
      <w:pPr>
        <w:spacing w:line="240" w:lineRule="auto"/>
        <w:rPr>
          <w:rFonts w:ascii="Calibri" w:hAnsi="Calibri" w:eastAsia="Georgia" w:cs="Calibri"/>
          <w:color w:val="000000" w:themeColor="text1"/>
        </w:rPr>
      </w:pPr>
      <w:r>
        <w:rPr>
          <w:rFonts w:ascii="Calibri" w:hAnsi="Calibri" w:eastAsia="Georgia" w:cs="Calibri"/>
          <w:bCs/>
          <w:color w:val="000000" w:themeColor="text1"/>
        </w:rPr>
        <w:t xml:space="preserve">OECD: </w:t>
      </w:r>
      <w:r w:rsidRPr="00366D29">
        <w:rPr>
          <w:rFonts w:ascii="Calibri" w:hAnsi="Calibri" w:eastAsia="Georgia" w:cs="Calibri"/>
          <w:bCs/>
          <w:color w:val="000000" w:themeColor="text1"/>
        </w:rPr>
        <w:t>Organi</w:t>
      </w:r>
      <w:r>
        <w:rPr>
          <w:rFonts w:ascii="Calibri" w:hAnsi="Calibri" w:eastAsia="Georgia" w:cs="Calibri"/>
          <w:bCs/>
          <w:color w:val="000000" w:themeColor="text1"/>
        </w:rPr>
        <w:t>z</w:t>
      </w:r>
      <w:r w:rsidRPr="00366D29">
        <w:rPr>
          <w:rFonts w:ascii="Calibri" w:hAnsi="Calibri" w:eastAsia="Georgia" w:cs="Calibri"/>
          <w:bCs/>
          <w:color w:val="000000" w:themeColor="text1"/>
        </w:rPr>
        <w:t>ation for Economic Co-operation and Development</w:t>
      </w:r>
    </w:p>
    <w:p w:rsidR="00C46990" w:rsidP="00F50DCD" w:rsidRDefault="00C46990" w14:paraId="006EF4BF" w14:textId="73868224">
      <w:pPr>
        <w:spacing w:line="240" w:lineRule="auto"/>
        <w:rPr>
          <w:rFonts w:ascii="Calibri" w:hAnsi="Calibri" w:eastAsia="Georgia" w:cs="Calibri"/>
          <w:bCs/>
          <w:color w:val="000000" w:themeColor="text1"/>
        </w:rPr>
      </w:pPr>
      <w:r>
        <w:rPr>
          <w:rFonts w:ascii="Calibri" w:hAnsi="Calibri" w:eastAsia="Georgia" w:cs="Calibri"/>
          <w:bCs/>
          <w:color w:val="000000" w:themeColor="text1"/>
        </w:rPr>
        <w:t xml:space="preserve">SDGs: </w:t>
      </w:r>
      <w:r w:rsidRPr="00F93CE3">
        <w:rPr>
          <w:rFonts w:ascii="Calibri" w:hAnsi="Calibri" w:eastAsia="Georgia" w:cs="Calibri"/>
          <w:bCs/>
          <w:color w:val="000000" w:themeColor="text1"/>
        </w:rPr>
        <w:t>Sustainable Development Goals</w:t>
      </w:r>
    </w:p>
    <w:p w:rsidR="00C46990" w:rsidP="00F50DCD" w:rsidRDefault="00C46990" w14:paraId="3BB001F4" w14:textId="0A3B95D8">
      <w:pPr>
        <w:spacing w:line="240" w:lineRule="auto"/>
        <w:rPr>
          <w:rFonts w:ascii="Calibri" w:hAnsi="Calibri" w:eastAsia="Georgia" w:cs="Calibri"/>
          <w:color w:val="000000" w:themeColor="text1"/>
        </w:rPr>
      </w:pPr>
      <w:r>
        <w:rPr>
          <w:rFonts w:ascii="Calibri" w:hAnsi="Calibri" w:eastAsia="Georgia" w:cs="Calibri"/>
          <w:color w:val="000000" w:themeColor="text1"/>
        </w:rPr>
        <w:t>SLBs: Sustainability-Linked Bonds</w:t>
      </w:r>
    </w:p>
    <w:p w:rsidR="00C46990" w:rsidP="00F50DCD" w:rsidRDefault="00C46990" w14:paraId="6A47BAD1" w14:textId="63FEEE8A">
      <w:pPr>
        <w:spacing w:line="240" w:lineRule="auto"/>
        <w:rPr>
          <w:rFonts w:ascii="Calibri" w:hAnsi="Calibri" w:eastAsia="Georgia" w:cs="Calibri"/>
          <w:bCs/>
          <w:color w:val="000000" w:themeColor="text1"/>
        </w:rPr>
      </w:pPr>
      <w:r w:rsidRPr="00F93CE3">
        <w:rPr>
          <w:rFonts w:ascii="Calibri" w:hAnsi="Calibri" w:eastAsia="Georgia" w:cs="Calibri"/>
          <w:bCs/>
          <w:color w:val="000000" w:themeColor="text1"/>
        </w:rPr>
        <w:t>SLIDIs</w:t>
      </w:r>
      <w:r>
        <w:rPr>
          <w:rFonts w:ascii="Calibri" w:hAnsi="Calibri" w:eastAsia="Georgia" w:cs="Calibri"/>
          <w:bCs/>
          <w:color w:val="000000" w:themeColor="text1"/>
        </w:rPr>
        <w:t>: Sustainability-Linked Intermediated Debt Instruments</w:t>
      </w:r>
    </w:p>
    <w:p w:rsidR="00C46990" w:rsidP="00F50DCD" w:rsidRDefault="00C46990" w14:paraId="5CD6CCAD" w14:textId="2AF02F33">
      <w:pPr>
        <w:spacing w:line="240" w:lineRule="auto"/>
        <w:rPr>
          <w:rFonts w:ascii="Calibri" w:hAnsi="Calibri" w:eastAsia="Georgia" w:cs="Calibri"/>
          <w:color w:val="000000" w:themeColor="text1"/>
        </w:rPr>
      </w:pPr>
      <w:r>
        <w:rPr>
          <w:rFonts w:ascii="Calibri" w:hAnsi="Calibri" w:eastAsia="Georgia" w:cs="Calibri"/>
          <w:color w:val="000000" w:themeColor="text1"/>
        </w:rPr>
        <w:t>SLLs: Sustainability-Linked Loans</w:t>
      </w:r>
    </w:p>
    <w:p w:rsidR="00C46990" w:rsidP="00F50DCD" w:rsidRDefault="00C46990" w14:paraId="3776E024" w14:textId="77777777">
      <w:pPr>
        <w:spacing w:line="240" w:lineRule="auto"/>
        <w:rPr>
          <w:rFonts w:ascii="Calibri" w:hAnsi="Calibri" w:eastAsia="Georgia" w:cs="Calibri"/>
          <w:color w:val="000000" w:themeColor="text1"/>
        </w:rPr>
      </w:pPr>
      <w:r>
        <w:rPr>
          <w:rFonts w:ascii="Calibri" w:hAnsi="Calibri" w:eastAsia="Georgia" w:cs="Calibri"/>
          <w:color w:val="000000" w:themeColor="text1"/>
        </w:rPr>
        <w:t>SPV: Special-Purpose Vehicle</w:t>
      </w:r>
    </w:p>
    <w:p w:rsidR="00C46990" w:rsidP="00F50DCD" w:rsidRDefault="00C46990" w14:paraId="66819001" w14:textId="5B4F860D">
      <w:pPr>
        <w:spacing w:line="240" w:lineRule="auto"/>
        <w:rPr>
          <w:rFonts w:ascii="Calibri" w:hAnsi="Calibri" w:eastAsia="Georgia" w:cs="Calibri"/>
          <w:color w:val="000000" w:themeColor="text1"/>
        </w:rPr>
      </w:pPr>
      <w:r>
        <w:rPr>
          <w:rFonts w:ascii="Calibri" w:hAnsi="Calibri" w:eastAsia="Georgia" w:cs="Calibri"/>
          <w:color w:val="000000" w:themeColor="text1"/>
        </w:rPr>
        <w:t>WB: World Bank</w:t>
      </w:r>
    </w:p>
    <w:p w:rsidRPr="00025F18" w:rsidR="00F03CC2" w:rsidP="00F50DCD" w:rsidRDefault="00F03CC2" w14:paraId="2A76D8D8" w14:textId="77777777">
      <w:pPr>
        <w:spacing w:line="240" w:lineRule="auto"/>
        <w:rPr>
          <w:rFonts w:ascii="Calibri" w:hAnsi="Calibri" w:eastAsia="Georgia" w:cs="Calibri"/>
          <w:color w:val="000000" w:themeColor="text1"/>
        </w:rPr>
      </w:pPr>
    </w:p>
    <w:bookmarkEnd w:id="0"/>
    <w:bookmarkEnd w:id="1"/>
    <w:p w:rsidR="00156264" w:rsidP="00F50DCD" w:rsidRDefault="00156264" w14:paraId="7EAE4702" w14:textId="77777777">
      <w:pPr>
        <w:spacing w:after="160" w:line="278" w:lineRule="auto"/>
        <w:rPr>
          <w:rFonts w:ascii="Calibri" w:hAnsi="Calibri" w:cs="Calibri" w:eastAsiaTheme="majorEastAsia"/>
          <w:b/>
          <w:bCs/>
          <w:color w:val="000000" w:themeColor="text1"/>
        </w:rPr>
      </w:pPr>
      <w:r>
        <w:rPr>
          <w:rFonts w:ascii="Calibri" w:hAnsi="Calibri" w:cs="Calibri"/>
          <w:b/>
          <w:bCs/>
          <w:color w:val="000000" w:themeColor="text1"/>
        </w:rPr>
        <w:br w:type="page"/>
      </w:r>
    </w:p>
    <w:p w:rsidRPr="006121A4" w:rsidR="00317DC9" w:rsidP="00F50DCD" w:rsidRDefault="00F93CE3" w14:paraId="6D9DE0B3" w14:textId="28E1EF83">
      <w:pPr>
        <w:pStyle w:val="Heading2"/>
        <w:spacing w:line="240" w:lineRule="auto"/>
        <w:rPr>
          <w:rFonts w:ascii="Calibri" w:hAnsi="Calibri" w:cs="Calibri"/>
          <w:b/>
          <w:bCs/>
          <w:color w:val="000000" w:themeColor="text1"/>
          <w:sz w:val="22"/>
          <w:szCs w:val="22"/>
        </w:rPr>
      </w:pPr>
      <w:r>
        <w:rPr>
          <w:rFonts w:ascii="Calibri" w:hAnsi="Calibri" w:cs="Calibri"/>
          <w:b/>
          <w:bCs/>
          <w:color w:val="000000" w:themeColor="text1"/>
          <w:sz w:val="22"/>
          <w:szCs w:val="22"/>
        </w:rPr>
        <w:lastRenderedPageBreak/>
        <w:t>SUMMARY</w:t>
      </w:r>
      <w:r w:rsidR="00D90D79">
        <w:rPr>
          <w:rFonts w:ascii="Calibri" w:hAnsi="Calibri" w:cs="Calibri"/>
          <w:b/>
          <w:bCs/>
          <w:color w:val="000000" w:themeColor="text1"/>
          <w:sz w:val="22"/>
          <w:szCs w:val="22"/>
        </w:rPr>
        <w:t xml:space="preserve"> </w:t>
      </w:r>
      <w:r w:rsidR="00166BC8">
        <w:rPr>
          <w:rFonts w:ascii="Calibri" w:hAnsi="Calibri" w:cs="Calibri"/>
          <w:b/>
          <w:bCs/>
          <w:color w:val="000000" w:themeColor="text1"/>
          <w:sz w:val="22"/>
          <w:szCs w:val="22"/>
        </w:rPr>
        <w:t>OF INSTRUMENT</w:t>
      </w:r>
    </w:p>
    <w:p w:rsidRPr="00F93CE3" w:rsidR="00317DC9" w:rsidP="00F50DCD" w:rsidRDefault="00317DC9" w14:paraId="5CC2193A" w14:textId="22549958">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This paper introduces innovative financial mechanisms designed to attract private sector capital to developing countries for sustainable development purposes, including (but not limited to) the climate adaptation, biodiversity conservation, and clean infrastructure development agendas. By involving trusted intermediaries in the process of arranging, de-risking, issuing, and monitoring sustainability-linked debt, our proposed system of </w:t>
      </w:r>
      <w:r w:rsidR="00366D29">
        <w:rPr>
          <w:rFonts w:ascii="Calibri" w:hAnsi="Calibri" w:eastAsia="Georgia" w:cs="Calibri"/>
          <w:bCs/>
          <w:color w:val="000000" w:themeColor="text1"/>
        </w:rPr>
        <w:t>‘</w:t>
      </w:r>
      <w:r w:rsidR="000422B4">
        <w:rPr>
          <w:rFonts w:ascii="Calibri" w:hAnsi="Calibri" w:eastAsia="Georgia" w:cs="Calibri"/>
          <w:bCs/>
          <w:color w:val="000000" w:themeColor="text1"/>
        </w:rPr>
        <w:t>s</w:t>
      </w:r>
      <w:r w:rsidRPr="00F93CE3">
        <w:rPr>
          <w:rFonts w:ascii="Calibri" w:hAnsi="Calibri" w:eastAsia="Georgia" w:cs="Calibri"/>
          <w:bCs/>
          <w:color w:val="000000" w:themeColor="text1"/>
        </w:rPr>
        <w:t>ustainability-</w:t>
      </w:r>
      <w:r w:rsidR="000422B4">
        <w:rPr>
          <w:rFonts w:ascii="Calibri" w:hAnsi="Calibri" w:eastAsia="Georgia" w:cs="Calibri"/>
          <w:bCs/>
          <w:color w:val="000000" w:themeColor="text1"/>
        </w:rPr>
        <w:t>l</w:t>
      </w:r>
      <w:r w:rsidRPr="00F93CE3">
        <w:rPr>
          <w:rFonts w:ascii="Calibri" w:hAnsi="Calibri" w:eastAsia="Georgia" w:cs="Calibri"/>
          <w:bCs/>
          <w:color w:val="000000" w:themeColor="text1"/>
        </w:rPr>
        <w:t xml:space="preserve">inked </w:t>
      </w:r>
      <w:r w:rsidR="000422B4">
        <w:rPr>
          <w:rFonts w:ascii="Calibri" w:hAnsi="Calibri" w:eastAsia="Georgia" w:cs="Calibri"/>
          <w:bCs/>
          <w:color w:val="000000" w:themeColor="text1"/>
        </w:rPr>
        <w:t>i</w:t>
      </w:r>
      <w:r w:rsidRPr="00F93CE3">
        <w:rPr>
          <w:rFonts w:ascii="Calibri" w:hAnsi="Calibri" w:eastAsia="Georgia" w:cs="Calibri"/>
          <w:bCs/>
          <w:color w:val="000000" w:themeColor="text1"/>
        </w:rPr>
        <w:t xml:space="preserve">ntermediated </w:t>
      </w:r>
      <w:r w:rsidR="000422B4">
        <w:rPr>
          <w:rFonts w:ascii="Calibri" w:hAnsi="Calibri" w:eastAsia="Georgia" w:cs="Calibri"/>
          <w:bCs/>
          <w:color w:val="000000" w:themeColor="text1"/>
        </w:rPr>
        <w:t>d</w:t>
      </w:r>
      <w:r w:rsidRPr="00F93CE3">
        <w:rPr>
          <w:rFonts w:ascii="Calibri" w:hAnsi="Calibri" w:eastAsia="Georgia" w:cs="Calibri"/>
          <w:bCs/>
          <w:color w:val="000000" w:themeColor="text1"/>
        </w:rPr>
        <w:t xml:space="preserve">ebt </w:t>
      </w:r>
      <w:r w:rsidR="000422B4">
        <w:rPr>
          <w:rFonts w:ascii="Calibri" w:hAnsi="Calibri" w:eastAsia="Georgia" w:cs="Calibri"/>
          <w:bCs/>
          <w:color w:val="000000" w:themeColor="text1"/>
        </w:rPr>
        <w:t>i</w:t>
      </w:r>
      <w:r w:rsidRPr="00F93CE3">
        <w:rPr>
          <w:rFonts w:ascii="Calibri" w:hAnsi="Calibri" w:eastAsia="Georgia" w:cs="Calibri"/>
          <w:bCs/>
          <w:color w:val="000000" w:themeColor="text1"/>
        </w:rPr>
        <w:t>nstruments</w:t>
      </w:r>
      <w:r w:rsidR="00366D29">
        <w:rPr>
          <w:rFonts w:ascii="Calibri" w:hAnsi="Calibri" w:eastAsia="Georgia" w:cs="Calibri"/>
          <w:bCs/>
          <w:color w:val="000000" w:themeColor="text1"/>
        </w:rPr>
        <w:t>’</w:t>
      </w:r>
      <w:r w:rsidRPr="00F93CE3">
        <w:rPr>
          <w:rFonts w:ascii="Calibri" w:hAnsi="Calibri" w:eastAsia="Georgia" w:cs="Calibri"/>
          <w:bCs/>
          <w:color w:val="000000" w:themeColor="text1"/>
        </w:rPr>
        <w:t xml:space="preserve"> addresses critical shortcomings of existing SLBs</w:t>
      </w:r>
      <w:r w:rsidR="00366D29">
        <w:rPr>
          <w:rFonts w:ascii="Calibri" w:hAnsi="Calibri" w:eastAsia="Georgia" w:cs="Calibri"/>
          <w:bCs/>
          <w:color w:val="000000" w:themeColor="text1"/>
        </w:rPr>
        <w:t xml:space="preserve"> </w:t>
      </w:r>
      <w:r w:rsidRPr="00F93CE3">
        <w:rPr>
          <w:rFonts w:ascii="Calibri" w:hAnsi="Calibri" w:eastAsia="Georgia" w:cs="Calibri"/>
          <w:bCs/>
          <w:color w:val="000000" w:themeColor="text1"/>
        </w:rPr>
        <w:t xml:space="preserve">by offering more effective structures for incentivizing sustainable policies and mobilizing investments, particularly in developing countries where climate finance is most urgently needed. </w:t>
      </w:r>
    </w:p>
    <w:p w:rsidRPr="00F93CE3" w:rsidR="00317DC9" w:rsidP="00F50DCD" w:rsidRDefault="00367AE5" w14:paraId="1D4EBCFC" w14:textId="7E84A2D2">
      <w:pPr>
        <w:spacing w:before="240" w:after="240" w:line="240" w:lineRule="auto"/>
        <w:jc w:val="both"/>
        <w:rPr>
          <w:rFonts w:ascii="Calibri" w:hAnsi="Calibri" w:eastAsia="Georgia" w:cs="Calibri"/>
          <w:bCs/>
          <w:color w:val="000000" w:themeColor="text1"/>
        </w:rPr>
      </w:pPr>
      <w:r w:rsidRPr="00367AE5">
        <w:rPr>
          <w:rFonts w:ascii="Calibri" w:hAnsi="Calibri" w:eastAsia="Georgia" w:cs="Calibri"/>
          <w:bCs/>
          <w:color w:val="000000" w:themeColor="text1"/>
        </w:rPr>
        <w:t xml:space="preserve">The IEA </w:t>
      </w:r>
      <w:r w:rsidR="003D79F3">
        <w:rPr>
          <w:rFonts w:ascii="Calibri" w:hAnsi="Calibri" w:eastAsia="Georgia" w:cs="Calibri"/>
          <w:bCs/>
          <w:color w:val="000000" w:themeColor="text1"/>
        </w:rPr>
        <w:t xml:space="preserve">(2023) </w:t>
      </w:r>
      <w:r w:rsidRPr="00367AE5">
        <w:rPr>
          <w:rFonts w:ascii="Calibri" w:hAnsi="Calibri" w:eastAsia="Georgia" w:cs="Calibri"/>
          <w:bCs/>
          <w:color w:val="000000" w:themeColor="text1"/>
        </w:rPr>
        <w:t xml:space="preserve">estimates that closing the clean infrastructure investment gap in developing countries, essential for reaching global </w:t>
      </w:r>
      <w:r w:rsidR="003D79F3">
        <w:rPr>
          <w:rFonts w:ascii="Calibri" w:hAnsi="Calibri" w:eastAsia="Georgia" w:cs="Calibri"/>
          <w:bCs/>
          <w:color w:val="000000" w:themeColor="text1"/>
        </w:rPr>
        <w:t>NZE</w:t>
      </w:r>
      <w:r w:rsidRPr="00367AE5">
        <w:rPr>
          <w:rFonts w:ascii="Calibri" w:hAnsi="Calibri" w:eastAsia="Georgia" w:cs="Calibri"/>
          <w:bCs/>
          <w:color w:val="000000" w:themeColor="text1"/>
        </w:rPr>
        <w:t xml:space="preserve"> by mid-century, will require $2 trillion annually. Globally, total investments will need to reach approximately $5 trillion per year starting in 2030.</w:t>
      </w:r>
      <w:r>
        <w:rPr>
          <w:rFonts w:ascii="Calibri" w:hAnsi="Calibri" w:eastAsia="Georgia" w:cs="Calibri"/>
          <w:bCs/>
          <w:color w:val="000000" w:themeColor="text1"/>
        </w:rPr>
        <w:t xml:space="preserve"> </w:t>
      </w:r>
      <w:r w:rsidRPr="00F93CE3" w:rsidR="00317DC9">
        <w:rPr>
          <w:rFonts w:ascii="Calibri" w:hAnsi="Calibri" w:eastAsia="Georgia" w:cs="Calibri"/>
          <w:bCs/>
          <w:color w:val="000000" w:themeColor="text1"/>
        </w:rPr>
        <w:t xml:space="preserve">Due to currency risk and other country risks, institutional investors are often unwilling to invest in developing countries, or demand punitively high interest rates to do so. </w:t>
      </w:r>
    </w:p>
    <w:p w:rsidRPr="00F93CE3" w:rsidR="00317DC9" w:rsidP="00F50DCD" w:rsidRDefault="00317DC9" w14:paraId="70B4CD23" w14:textId="0EE76E48">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Like SLBs, SLIDIs provide reduced interest rates or interest payment rebates to governments (or other borrowing entities) that achieve targets defined by agreed sustainability-linked KPIs. However, unlike SLBs, our proposed SLIDI system would raise money by issuing bonds with fixed coupon payments to investors (e.g., industrialized-world pension funds or other institutional investors), avoiding the rate-of-return uncertainty posed by existing SLBs. A rebate would be paid to borrowers that achieve KPI targets – but that rebate would not be paid by bond investors. Guarantee products (including co-lending of the private sector and the development partner) would further decrease country risk and the cost of borrowing by developing countries. </w:t>
      </w:r>
    </w:p>
    <w:p w:rsidRPr="00F93CE3" w:rsidR="00317DC9" w:rsidP="00F50DCD" w:rsidRDefault="00317DC9" w14:paraId="632E9D64" w14:textId="7777777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Within that frame, we outline two alternative implementation models for sustainable development financing featuring KPI-linked variable interest rates. In the first model, developing country sovereigns directly issue fixed-coupon KPI-linked bonds at normal market rates; institutional investors that buy these are not exposed to any step-ups or step-downs. Interest payment rebates are paid out when the KPI-linked bond matures if the KPIs have been met, but the rebates aren’t paid by bondholders. </w:t>
      </w:r>
    </w:p>
    <w:p w:rsidRPr="00F93CE3" w:rsidR="00317DC9" w:rsidP="00F50DCD" w:rsidRDefault="00317DC9" w14:paraId="0E58F1E7" w14:textId="3DBFF7D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The rebate payments are made by a third party. This could be the </w:t>
      </w:r>
      <w:r w:rsidR="00166BC8">
        <w:rPr>
          <w:rFonts w:ascii="Calibri" w:hAnsi="Calibri" w:eastAsia="Georgia" w:cs="Calibri"/>
          <w:bCs/>
          <w:color w:val="000000" w:themeColor="text1"/>
        </w:rPr>
        <w:t>WB</w:t>
      </w:r>
      <w:r w:rsidRPr="00F93CE3">
        <w:rPr>
          <w:rFonts w:ascii="Calibri" w:hAnsi="Calibri" w:eastAsia="Georgia" w:cs="Calibri"/>
          <w:bCs/>
          <w:color w:val="000000" w:themeColor="text1"/>
        </w:rPr>
        <w:t xml:space="preserve"> Results-Based-Payment, or a donor-country-supported trust fund managed by a development bank to reward developing-country bond issuers who have performed well according to agreed KPIs. The involvement of official development partners in the operation can create a ‘halo effect,’ decreasing the coupon payments required by the private sector. Different degrees of official development partner involvement in the operation would alter the extent of this effect. </w:t>
      </w:r>
    </w:p>
    <w:p w:rsidRPr="00F93CE3" w:rsidR="00317DC9" w:rsidP="00F50DCD" w:rsidRDefault="00317DC9" w14:paraId="0544E5F7" w14:textId="76270E40">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To achieve sufficiently strong incentives for good KPI performance and a high volume of SLIDI lending, the aggregate financial subsidies offered by the trust fund (and hence the donations collected from developed-country sovereign donors) would need to be very substantial, e.g., at least tens of billions of dollars per year if the overall portfolio is to reach $2 trillion per year. A possible original source of money for these rebates could be levies on bulk fossil fuel sales in participating wealthy donor countries. In this model, it could be helpful if a trust fund managed by the</w:t>
      </w:r>
      <w:r w:rsidR="00152DB1">
        <w:rPr>
          <w:rFonts w:ascii="Calibri" w:hAnsi="Calibri" w:eastAsia="Georgia" w:cs="Calibri"/>
          <w:bCs/>
          <w:color w:val="000000" w:themeColor="text1"/>
        </w:rPr>
        <w:t xml:space="preserve"> WB</w:t>
      </w:r>
      <w:r w:rsidRPr="00F93CE3">
        <w:rPr>
          <w:rFonts w:ascii="Calibri" w:hAnsi="Calibri" w:eastAsia="Georgia" w:cs="Calibri"/>
          <w:bCs/>
          <w:color w:val="000000" w:themeColor="text1"/>
        </w:rPr>
        <w:t xml:space="preserve"> or another </w:t>
      </w:r>
      <w:r w:rsidR="00152DB1">
        <w:rPr>
          <w:rFonts w:ascii="Calibri" w:hAnsi="Calibri" w:eastAsia="Georgia" w:cs="Calibri"/>
          <w:bCs/>
          <w:color w:val="000000" w:themeColor="text1"/>
        </w:rPr>
        <w:t>MLFI</w:t>
      </w:r>
      <w:r w:rsidRPr="00F93CE3">
        <w:rPr>
          <w:rFonts w:ascii="Calibri" w:hAnsi="Calibri" w:eastAsia="Georgia" w:cs="Calibri"/>
          <w:bCs/>
          <w:color w:val="000000" w:themeColor="text1"/>
        </w:rPr>
        <w:t xml:space="preserve"> makes a practice of buying a small fraction, e.g., 1%, of each such bond issuance, provided the bond issuance has been accompanied and endorsed by trusted development-agency partners, to signal to issuing sovereigns that these bonds are to be considered as senior debt and to reassure bond markets, thus producing a strong ‘halo effect’.</w:t>
      </w:r>
    </w:p>
    <w:p w:rsidRPr="00F93CE3" w:rsidR="00317DC9" w:rsidP="00F50DCD" w:rsidRDefault="00317DC9" w14:paraId="3F36ED4D" w14:textId="4B5FCAD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The other SLIDI implementation model proposes a donor-country-derisked ‘trusted intermediary’ (which could also potentially be managed by the </w:t>
      </w:r>
      <w:r w:rsidR="00166BC8">
        <w:rPr>
          <w:rFonts w:ascii="Calibri" w:hAnsi="Calibri" w:eastAsia="Georgia" w:cs="Calibri"/>
          <w:bCs/>
          <w:color w:val="000000" w:themeColor="text1"/>
        </w:rPr>
        <w:t>WB</w:t>
      </w:r>
      <w:r w:rsidRPr="00F93CE3">
        <w:rPr>
          <w:rFonts w:ascii="Calibri" w:hAnsi="Calibri" w:eastAsia="Georgia" w:cs="Calibri"/>
          <w:bCs/>
          <w:color w:val="000000" w:themeColor="text1"/>
        </w:rPr>
        <w:t xml:space="preserve"> or another development bank) to raise money </w:t>
      </w:r>
      <w:r w:rsidRPr="00F93CE3">
        <w:rPr>
          <w:rFonts w:ascii="Calibri" w:hAnsi="Calibri" w:eastAsia="Georgia" w:cs="Calibri"/>
          <w:bCs/>
          <w:color w:val="000000" w:themeColor="text1"/>
        </w:rPr>
        <w:lastRenderedPageBreak/>
        <w:t xml:space="preserve">from institutional investors at low interest rates by issuing fixed-coupon climate bonds. The bonds issued by the trusted intermediary fund are de-risked via co-guarantees from a coalition of willing developed-country sovereigns. The intermediary fund subsequently on-lends the money it has raised to public or private borrowers in developing countries at somewhat higher interest rates. This on-lending takes the form of SLLs whose nominal rate is fixed over the loan term. Trusted development-agency partners, e.g., Germany’s GiZ or France’s AFD, will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 </w:t>
      </w:r>
    </w:p>
    <w:p w:rsidRPr="00F93CE3" w:rsidR="00317DC9" w:rsidP="00F50DCD" w:rsidRDefault="00317DC9" w14:paraId="393A8222" w14:textId="7777777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The trusted-intermediary-fund model enables a significant spread between the fund’s cost of money and the interest rates on loans charged by that fund to developing-country borrowers. With this approach, the intermediary fund should be financially self-sustaining. Developed-country sovereigns would co-guarantee the fund’s bond issuances and thus be at risk of absorbing losses, but thanks to the spread, barring miscalculations or global crises, the portfolio of loans made by the fund should turn a modest profit. The fund would essentially be a specialized development bank. The fund’s ability to issue bonds with low coupon rates (because the bonds are co-guaranteed by wealthy developed-country sovereigns) should enable a lower overall cost of finance through this approach compared to a model in which bonds are issued directly by developing-country sovereigns.</w:t>
      </w:r>
    </w:p>
    <w:p w:rsidRPr="00F93CE3" w:rsidR="00317DC9" w:rsidP="00F50DCD" w:rsidRDefault="00317DC9" w14:paraId="149F200E" w14:textId="5F4C110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This paper shows how sustainability-linked intermediated debt instruments can align the interests of sovereigns, private investors, and development partners toward an acceleration of the global transition to a </w:t>
      </w:r>
      <w:r w:rsidR="003D79F3">
        <w:rPr>
          <w:rFonts w:ascii="Calibri" w:hAnsi="Calibri" w:eastAsia="Georgia" w:cs="Calibri"/>
          <w:bCs/>
          <w:color w:val="000000" w:themeColor="text1"/>
        </w:rPr>
        <w:t>NZE</w:t>
      </w:r>
      <w:r w:rsidRPr="00F93CE3">
        <w:rPr>
          <w:rFonts w:ascii="Calibri" w:hAnsi="Calibri" w:eastAsia="Georgia" w:cs="Calibri"/>
          <w:bCs/>
          <w:color w:val="000000" w:themeColor="text1"/>
        </w:rPr>
        <w:t xml:space="preserve"> economy and improved performance on biodiversity conservation, as well as other sustainable development indicators identified in the UN</w:t>
      </w:r>
      <w:r w:rsidR="00366D29">
        <w:rPr>
          <w:rFonts w:ascii="Calibri" w:hAnsi="Calibri" w:eastAsia="Georgia" w:cs="Calibri"/>
          <w:bCs/>
          <w:color w:val="000000" w:themeColor="text1"/>
        </w:rPr>
        <w:t xml:space="preserve"> </w:t>
      </w:r>
      <w:r w:rsidRPr="00F93CE3">
        <w:rPr>
          <w:rFonts w:ascii="Calibri" w:hAnsi="Calibri" w:eastAsia="Georgia" w:cs="Calibri"/>
          <w:bCs/>
          <w:color w:val="000000" w:themeColor="text1"/>
        </w:rPr>
        <w:t>SDGs. We note some of the challenges hindering private sector investment in sustainable development initiatives in developing countries, such as the ‘tragedy of the commons,’ geopolitical conflicts, and high interest rates driven by perceived country risk. We discuss the prospective roles of development agency partners like Germany’s GiZ or France’s AFD in making the SLIDI system work in practical terms – by structuring climate and clean development financing via sustainability-linked intermediated debt instruments; monitoring and evaluating client country KPIs; and assisting developing-country partners with the technical steps necessary for success in meeting agreed KPIs. KPI-linked lending via SLIDIs is presented as a potentially scalable and practical solution for bridging the enormous investment gap in global climate mitigation and adaptation finance, especially in developing countries.</w:t>
      </w:r>
    </w:p>
    <w:p w:rsidRPr="00F93CE3" w:rsidR="00317DC9" w:rsidP="00F50DCD" w:rsidRDefault="00317DC9" w14:paraId="379D7A6D" w14:textId="77777777">
      <w:pPr>
        <w:spacing w:before="240" w:after="240" w:line="240" w:lineRule="auto"/>
        <w:jc w:val="both"/>
        <w:rPr>
          <w:rFonts w:ascii="Calibri" w:hAnsi="Calibri" w:eastAsia="Georgia" w:cs="Calibri"/>
          <w:bCs/>
          <w:color w:val="000000" w:themeColor="text1"/>
        </w:rPr>
      </w:pPr>
    </w:p>
    <w:p w:rsidR="00156264" w:rsidP="00F50DCD" w:rsidRDefault="00156264" w14:paraId="610698BC" w14:textId="77777777">
      <w:pPr>
        <w:spacing w:after="160" w:line="278" w:lineRule="auto"/>
        <w:rPr>
          <w:rFonts w:ascii="Calibri" w:hAnsi="Calibri" w:cs="Calibri" w:eastAsiaTheme="majorEastAsia"/>
          <w:b/>
          <w:bCs/>
          <w:color w:val="000000" w:themeColor="text1"/>
        </w:rPr>
      </w:pPr>
      <w:r>
        <w:rPr>
          <w:rFonts w:ascii="Calibri" w:hAnsi="Calibri" w:cs="Calibri"/>
          <w:b/>
          <w:bCs/>
          <w:color w:val="000000" w:themeColor="text1"/>
        </w:rPr>
        <w:br w:type="page"/>
      </w:r>
    </w:p>
    <w:p w:rsidRPr="00F93CE3" w:rsidR="00317DC9" w:rsidP="00F50DCD" w:rsidRDefault="00F93CE3" w14:paraId="39E79FB6" w14:textId="03048FA0">
      <w:pPr>
        <w:pStyle w:val="Heading2"/>
        <w:spacing w:line="240" w:lineRule="auto"/>
        <w:rPr>
          <w:rFonts w:ascii="Calibri" w:hAnsi="Calibri" w:cs="Calibri"/>
          <w:b/>
          <w:bCs/>
          <w:color w:val="000000" w:themeColor="text1"/>
          <w:sz w:val="22"/>
          <w:szCs w:val="22"/>
        </w:rPr>
      </w:pPr>
      <w:r w:rsidRPr="00F93CE3">
        <w:rPr>
          <w:rFonts w:ascii="Calibri" w:hAnsi="Calibri" w:cs="Calibri"/>
          <w:b/>
          <w:bCs/>
          <w:color w:val="000000" w:themeColor="text1"/>
          <w:sz w:val="22"/>
          <w:szCs w:val="22"/>
        </w:rPr>
        <w:lastRenderedPageBreak/>
        <w:t>INTRODUCTION</w:t>
      </w:r>
    </w:p>
    <w:p w:rsidRPr="00F93CE3" w:rsidR="00317DC9" w:rsidP="00F50DCD" w:rsidRDefault="00317DC9" w14:paraId="05E6CFEE" w14:textId="06056903">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The transition to a global NZE economy by 2050 requires substantial investment, particularly in developing countries, where the capital required for decarbonization is very large and access to affordable finance is limited. Achieving this transition is both a technical and financial challenge, with the need for approximately $5 trillion a year in global investment by 2030, of which $2 trillion in developing countries alone (IEA, 2023; IMF, 2023), a fivefold increase compared to 2020. This requires policy action at a national level, including policies that enable and provide investable projects at scale. Present financing mechanisms do not sufficiently encourage such policy actions.</w:t>
      </w:r>
    </w:p>
    <w:p w:rsidRPr="00F93CE3" w:rsidR="00317DC9" w:rsidP="00F50DCD" w:rsidRDefault="00317DC9" w14:paraId="02C38387" w14:textId="19BACCAE">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 xml:space="preserve">Current financing mechanisms are inadequate, relying heavily on multilateral development bank (MDB) finance but failing to provide sufficient incentives for countries to implement necessary policy changes. A </w:t>
      </w:r>
      <w:r w:rsidR="00166BC8">
        <w:rPr>
          <w:rFonts w:ascii="Calibri" w:hAnsi="Calibri" w:eastAsia="Georgia" w:cs="Calibri"/>
          <w:color w:val="000000" w:themeColor="text1"/>
        </w:rPr>
        <w:t>WB</w:t>
      </w:r>
      <w:r w:rsidRPr="00F93CE3">
        <w:rPr>
          <w:rFonts w:ascii="Calibri" w:hAnsi="Calibri" w:eastAsia="Georgia" w:cs="Calibri"/>
          <w:color w:val="000000" w:themeColor="text1"/>
        </w:rPr>
        <w:t xml:space="preserve"> analysis (World Bank, 2023) projects that growth in public investment will be limited, and that the private sector will need to supply about 80 percent of the required climate-related investment in emerging market and developing economies; this share rises to 90 percent when China is excluded. However, private investors that control most of the available investible funds, such as pension funds or private equity funds in developed countries, are generally disinclined to invest in developing countries, due to perceived country risks and foreign exchange risks (Chowdhury &amp; </w:t>
      </w:r>
      <w:r w:rsidRPr="00F93CE3">
        <w:rPr>
          <w:rFonts w:ascii="Calibri" w:hAnsi="Calibri" w:cs="Calibri"/>
          <w:color w:val="000000" w:themeColor="text1"/>
          <w:shd w:val="clear" w:color="auto" w:fill="FFFFFF"/>
        </w:rPr>
        <w:t>Tadjoeddin, 2022).</w:t>
      </w:r>
    </w:p>
    <w:p w:rsidRPr="00F93CE3" w:rsidR="00317DC9" w:rsidP="00F50DCD" w:rsidRDefault="00317DC9" w14:paraId="21999003"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The gap between the level of financing needed and what is available underscores the urgency for innovative financial instruments that can mobilize private sector capital at scale and support green development policies. Meanwhile, hundreds of billions of dollars in direct financial subsidies for fossil fuels and harmful agricultural practices and trillions in implicit subsidies (amounts calculated when the harm done is accounted for) continue to exacerbate the problem (World Bank, June 2023).</w:t>
      </w:r>
    </w:p>
    <w:p w:rsidRPr="00F93CE3" w:rsidR="00317DC9" w:rsidP="00F50DCD" w:rsidRDefault="00317DC9" w14:paraId="1B367EE3"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The existing flow of private and public climate finance from developed to developing countries is insufficient in scale and efficacy in incentivizing provision of global public goods. Despite international commitments such as the $100 billion annual pledge (an amount far below what is needed in aggregate) made in Copenhagen in 2009 at UNFCCC’s 15</w:t>
      </w:r>
      <w:r w:rsidRPr="00F93CE3">
        <w:rPr>
          <w:rFonts w:ascii="Calibri" w:hAnsi="Calibri" w:eastAsia="Georgia" w:cs="Calibri"/>
          <w:color w:val="000000" w:themeColor="text1"/>
          <w:vertAlign w:val="superscript"/>
        </w:rPr>
        <w:t>th</w:t>
      </w:r>
      <w:r w:rsidRPr="00F93CE3">
        <w:rPr>
          <w:rFonts w:ascii="Calibri" w:hAnsi="Calibri" w:eastAsia="Georgia" w:cs="Calibri"/>
          <w:color w:val="000000" w:themeColor="text1"/>
        </w:rPr>
        <w:t xml:space="preserve"> Conference of the Parties (CoP15) and reaffirmed in Paris in 2015 at CoP21, the actual flow of climate-related funds from developed into developing countries, tracked by the OECD, has been far lower (an estimated $34 bn in 2022) (OECD, 2024a). </w:t>
      </w:r>
    </w:p>
    <w:p w:rsidRPr="00F93CE3" w:rsidR="00317DC9" w:rsidP="00F50DCD" w:rsidRDefault="00317DC9" w14:paraId="14AE9300"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There is a pressing need for financial instruments that can bridge this gap, mobilize additional resources, and incentivize and enable the implementation of effective climate policies. Developing countries are often the most vulnerable to climate change but least able to finance the necessary infrastructure transitions. (Bhattacharya et al., 2023.)</w:t>
      </w:r>
    </w:p>
    <w:p w:rsidRPr="00F93CE3" w:rsidR="00317DC9" w:rsidP="00F50DCD" w:rsidRDefault="00317DC9" w14:paraId="084A13E3" w14:textId="1405D30E">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In recent years, since the late 2010s, SLBs have emerged as a new instrument intended to help close the climate and clean development financing gap (Giráldez and Fontana, 2022). SLBs differ from other green, social, and sustainability (GSS) bonds in that most GSS bonds are use-of-proceeds (UoP) debt instruments that are tied to specific projects. In contrast, SLBs specify sustainability-related targets and key performance indicators (KPIs) for the issuing entity (corporation or sovereign) without reference to a specific project, so they are not considered to be use-of-proceeds instruments (OECD, 2024b). To date, only a handful of SLBs have been issued by sovereigns; most issuances have been by industrialized-world corporations, though interest is growing in the potential for sovereign sustainability-linked bond issuances (</w:t>
      </w:r>
      <w:hyperlink r:id="rId8">
        <w:r w:rsidRPr="00F93CE3">
          <w:rPr>
            <w:rStyle w:val="Hyperlink"/>
            <w:rFonts w:ascii="Calibri" w:hAnsi="Calibri" w:eastAsia="Georgia" w:cs="Calibri"/>
            <w:color w:val="000000" w:themeColor="text1"/>
          </w:rPr>
          <w:t>Maplecroft, 2024</w:t>
        </w:r>
      </w:hyperlink>
      <w:r w:rsidRPr="00F93CE3">
        <w:rPr>
          <w:rFonts w:ascii="Calibri" w:hAnsi="Calibri" w:eastAsia="Georgia" w:cs="Calibri"/>
          <w:color w:val="000000" w:themeColor="text1"/>
        </w:rPr>
        <w:t>).</w:t>
      </w:r>
    </w:p>
    <w:p w:rsidRPr="00F93CE3" w:rsidR="00317DC9" w:rsidP="00F50DCD" w:rsidRDefault="00317DC9" w14:paraId="1CE99760"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This paper is concerned with sustainability-linked finance for developing-country sovereigns. However, the same instruments we describe here (SLIDIs) could be adapted for bonds issued by sub-</w:t>
      </w:r>
      <w:r w:rsidRPr="00F93CE3">
        <w:rPr>
          <w:rFonts w:ascii="Calibri" w:hAnsi="Calibri" w:eastAsia="Georgia" w:cs="Calibri"/>
          <w:color w:val="000000" w:themeColor="text1"/>
        </w:rPr>
        <w:lastRenderedPageBreak/>
        <w:t xml:space="preserve">national governments such as municipalities or individual provinces or states within federations, or in modified form, also by state-owned or private corporations in developing countries. </w:t>
      </w:r>
    </w:p>
    <w:p w:rsidRPr="00F93CE3" w:rsidR="00317DC9" w:rsidP="00F50DCD" w:rsidRDefault="00317DC9" w14:paraId="48610249"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 xml:space="preserve">After early excitement, interest in SLBs has been waning over the past three years. After a peak in issuance volumes in 2021, the global market for SLBs (most of them issued by corporations) shrank for two consecutive years, 2022 and 2023, and again during the first half of 2024 (Ahren, 2024). SLBs have struggled to gain traction due to their complexity, concerns around potential greenwashing, and the unattractive nature of unpredictable variable coupon payments (Lefournier, 2023). It appears that both issuers and investors are increasingly assessing that the current generation of SLBs is not fit-for-purpose. </w:t>
      </w:r>
    </w:p>
    <w:p w:rsidRPr="00F93CE3" w:rsidR="00317DC9" w:rsidP="00F50DCD" w:rsidRDefault="00317DC9" w14:paraId="4CA17E24"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 xml:space="preserve">The sustainability-linked intermediated debt instruments (SLIDIs) we present here comprise a suite of financial instruments specifically designed to attract private institutional investors to the sustainable development agenda in emerging and developing economies. Unlike existing SLBs, which link interest rates paid to bondholders to the issuer’s achievement of sustainability targets by means of variable coupon payments (‘step-ups’ or ‘step-downs’) depending on whether or not target KPIs were met, SLIDI-type SLIDIs as we define them in this paper offer fixed-coupon returns to investors, removing a key uncertainty factor in rate-of-return, making the bonds less complex and more attractive to investors. </w:t>
      </w:r>
    </w:p>
    <w:p w:rsidRPr="00F93CE3" w:rsidR="00317DC9" w:rsidP="00F50DCD" w:rsidRDefault="00317DC9" w14:paraId="6A70F9D3" w14:textId="77777777">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 xml:space="preserve">This paper introduces a modified form of sustainability-linked debt instrument whose coupon does not vary from the perspective of the bond investor, regardless of whether the issuer meets target KPIs or not. However, from the perspective of the borrower, the loan rate </w:t>
      </w:r>
      <w:r w:rsidRPr="00F93CE3">
        <w:rPr>
          <w:rFonts w:ascii="Calibri" w:hAnsi="Calibri" w:eastAsia="Georgia" w:cs="Calibri"/>
          <w:i/>
          <w:iCs/>
          <w:color w:val="000000" w:themeColor="text1"/>
        </w:rPr>
        <w:t>does</w:t>
      </w:r>
      <w:r w:rsidRPr="00F93CE3">
        <w:rPr>
          <w:rFonts w:ascii="Calibri" w:hAnsi="Calibri" w:eastAsia="Georgia" w:cs="Calibri"/>
          <w:color w:val="000000" w:themeColor="text1"/>
        </w:rPr>
        <w:t xml:space="preserve"> vary depending on the borrower’s performance in terms of meeting sustainability-linked KPI targets. This asymmetry is enabled by intermediary institutions: trusted and well-resourced third parties that offer technical assistance and financial rewards for meeting the KPI targets.  </w:t>
      </w:r>
    </w:p>
    <w:p w:rsidR="00F93CE3" w:rsidP="00F50DCD" w:rsidRDefault="00317DC9" w14:paraId="4172CE7B" w14:textId="6C682869">
      <w:pPr>
        <w:spacing w:before="240" w:after="240" w:line="240" w:lineRule="auto"/>
        <w:jc w:val="both"/>
        <w:rPr>
          <w:rFonts w:ascii="Calibri" w:hAnsi="Calibri" w:eastAsia="Georgia" w:cs="Calibri"/>
          <w:color w:val="000000" w:themeColor="text1"/>
        </w:rPr>
      </w:pPr>
      <w:r w:rsidRPr="00F93CE3">
        <w:rPr>
          <w:rFonts w:ascii="Calibri" w:hAnsi="Calibri" w:eastAsia="Georgia" w:cs="Calibri"/>
          <w:color w:val="000000" w:themeColor="text1"/>
        </w:rPr>
        <w:t xml:space="preserve">Before explaining in detail the workings of our proposed intermediated sustainability-linked debt instruments, we briefly provide an overview of the key challenges to attracting private capital to the climate challenge, the current menu of sustainability-linked financial instruments, and the issues with those instruments. </w:t>
      </w:r>
    </w:p>
    <w:p w:rsidRPr="00F93CE3" w:rsidR="00F93CE3" w:rsidP="00F50DCD" w:rsidRDefault="00F93CE3" w14:paraId="12660BCE" w14:textId="77777777">
      <w:pPr>
        <w:spacing w:before="240" w:after="240" w:line="240" w:lineRule="auto"/>
        <w:jc w:val="both"/>
        <w:rPr>
          <w:rFonts w:ascii="Calibri" w:hAnsi="Calibri" w:eastAsia="Georgia" w:cs="Calibri"/>
          <w:color w:val="000000" w:themeColor="text1"/>
        </w:rPr>
      </w:pPr>
    </w:p>
    <w:p w:rsidR="00156264" w:rsidP="00F50DCD" w:rsidRDefault="00156264" w14:paraId="6072A2F1" w14:textId="77777777">
      <w:pPr>
        <w:spacing w:after="160" w:line="278" w:lineRule="auto"/>
        <w:rPr>
          <w:rFonts w:ascii="Calibri" w:hAnsi="Calibri" w:cs="Calibri" w:eastAsiaTheme="majorEastAsia"/>
          <w:b/>
          <w:bCs/>
          <w:color w:val="000000" w:themeColor="text1"/>
        </w:rPr>
      </w:pPr>
      <w:r>
        <w:rPr>
          <w:rFonts w:ascii="Calibri" w:hAnsi="Calibri" w:cs="Calibri"/>
          <w:b/>
          <w:bCs/>
          <w:color w:val="000000" w:themeColor="text1"/>
        </w:rPr>
        <w:br w:type="page"/>
      </w:r>
    </w:p>
    <w:p w:rsidRPr="006121A4" w:rsidR="00317DC9" w:rsidP="00F50DCD" w:rsidRDefault="00F93CE3" w14:paraId="5AD2B091" w14:textId="2796D4E8">
      <w:pPr>
        <w:pStyle w:val="Heading2"/>
        <w:spacing w:line="240" w:lineRule="auto"/>
        <w:rPr>
          <w:rFonts w:ascii="Calibri" w:hAnsi="Calibri" w:cs="Calibri"/>
          <w:color w:val="000000" w:themeColor="text1"/>
          <w:sz w:val="22"/>
          <w:szCs w:val="22"/>
        </w:rPr>
      </w:pPr>
      <w:r w:rsidRPr="00F93CE3">
        <w:rPr>
          <w:rFonts w:ascii="Calibri" w:hAnsi="Calibri" w:cs="Calibri"/>
          <w:b/>
          <w:bCs/>
          <w:color w:val="000000" w:themeColor="text1"/>
          <w:sz w:val="22"/>
          <w:szCs w:val="22"/>
        </w:rPr>
        <w:lastRenderedPageBreak/>
        <w:t>KEY CHALLENGES IN INTERNATIONAL FINANCE FOR THE CLIMATE AGENDA</w:t>
      </w:r>
      <w:r>
        <w:rPr>
          <w:rFonts w:ascii="Calibri" w:hAnsi="Calibri" w:cs="Calibri"/>
          <w:color w:val="000000" w:themeColor="text1"/>
          <w:sz w:val="22"/>
          <w:szCs w:val="22"/>
        </w:rPr>
        <w:t xml:space="preserve"> </w:t>
      </w:r>
    </w:p>
    <w:p w:rsidRPr="00F93CE3" w:rsidR="00317DC9" w:rsidP="00F50DCD" w:rsidRDefault="00317DC9" w14:paraId="5FCC8E2E" w14:textId="77777777">
      <w:pPr>
        <w:pStyle w:val="Heading3"/>
        <w:spacing w:line="240" w:lineRule="auto"/>
        <w:rPr>
          <w:rFonts w:ascii="Calibri" w:hAnsi="Calibri" w:cs="Calibri"/>
          <w:b/>
          <w:bCs/>
          <w:i/>
          <w:iCs/>
          <w:color w:val="000000" w:themeColor="text1"/>
          <w:sz w:val="22"/>
          <w:szCs w:val="22"/>
        </w:rPr>
      </w:pPr>
      <w:r w:rsidRPr="00F93CE3">
        <w:rPr>
          <w:rFonts w:ascii="Calibri" w:hAnsi="Calibri" w:cs="Calibri"/>
          <w:b/>
          <w:bCs/>
          <w:i/>
          <w:iCs/>
          <w:color w:val="000000" w:themeColor="text1"/>
          <w:sz w:val="22"/>
          <w:szCs w:val="22"/>
        </w:rPr>
        <w:t xml:space="preserve">The ‘Tragedy of the Commons’ </w:t>
      </w:r>
    </w:p>
    <w:p w:rsidRPr="00F93CE3" w:rsidR="00317DC9" w:rsidP="00F50DCD" w:rsidRDefault="00317DC9" w14:paraId="45775CF1" w14:textId="7777777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One key challenge in attracting private sector capital to climate initiatives is the "tragedy of the commons" dilemma, where private agents fail to internalize the broader impact of their investment decisions on common goods – e.g., global climate outcomes. This tragedy can be seen to exist on two levels: private sector agents have little or no incentive to internalize the climate externality, and countries’ governments have insufficient incentive to set the right incentives for private sector agents.</w:t>
      </w:r>
    </w:p>
    <w:p w:rsidRPr="00F93CE3" w:rsidR="00317DC9" w:rsidP="00F50DCD" w:rsidRDefault="00317DC9" w14:paraId="0F35686A" w14:textId="07A3C652">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Sustainability-linked finance instruments could help address the Tragedy of the Commons. SLBs</w:t>
      </w:r>
      <w:r w:rsidR="00366D29">
        <w:rPr>
          <w:rFonts w:ascii="Calibri" w:hAnsi="Calibri" w:eastAsia="Georgia" w:cs="Calibri"/>
          <w:bCs/>
          <w:color w:val="000000" w:themeColor="text1"/>
        </w:rPr>
        <w:t xml:space="preserve"> </w:t>
      </w:r>
      <w:r w:rsidRPr="00F93CE3">
        <w:rPr>
          <w:rFonts w:ascii="Calibri" w:hAnsi="Calibri" w:eastAsia="Georgia" w:cs="Calibri"/>
          <w:bCs/>
          <w:color w:val="000000" w:themeColor="text1"/>
        </w:rPr>
        <w:t>and improvements on them, such as the SLIDIs described in this paper, have promise because they can act at the international level to incentivize governments to do what is in the interest of conserving or delivering global public goods.</w:t>
      </w:r>
    </w:p>
    <w:p w:rsidRPr="00F93CE3" w:rsidR="00317DC9" w:rsidP="00F50DCD" w:rsidRDefault="00317DC9" w14:paraId="0EF35C57" w14:textId="77777777">
      <w:pPr>
        <w:pStyle w:val="Heading3"/>
        <w:spacing w:line="240" w:lineRule="auto"/>
        <w:rPr>
          <w:rFonts w:ascii="Calibri" w:hAnsi="Calibri" w:cs="Calibri"/>
          <w:b/>
          <w:bCs/>
          <w:i/>
          <w:iCs/>
          <w:color w:val="000000" w:themeColor="text1"/>
          <w:sz w:val="22"/>
          <w:szCs w:val="22"/>
        </w:rPr>
      </w:pPr>
      <w:r w:rsidRPr="00F93CE3">
        <w:rPr>
          <w:rFonts w:ascii="Calibri" w:hAnsi="Calibri" w:cs="Calibri"/>
          <w:b/>
          <w:bCs/>
          <w:i/>
          <w:iCs/>
          <w:color w:val="000000" w:themeColor="text1"/>
          <w:sz w:val="22"/>
          <w:szCs w:val="22"/>
        </w:rPr>
        <w:t>Fiduciary Responsibility and the ‘Tragedy of the Horizons’</w:t>
      </w:r>
    </w:p>
    <w:p w:rsidRPr="00F93CE3" w:rsidR="00317DC9" w:rsidP="00F50DCD" w:rsidRDefault="00317DC9" w14:paraId="292A2111" w14:textId="7777777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Another challenge is short-termism in financial markets, sometimes known as the ‘Tragedy of the Horizons’. Fiduciary responsibilities to shareholders compel money managers to prioritize short-term asset profitability over long-term environmental, social, and governance benefits. </w:t>
      </w:r>
    </w:p>
    <w:p w:rsidRPr="00F93CE3" w:rsidR="00317DC9" w:rsidP="00F50DCD" w:rsidRDefault="00317DC9" w14:paraId="50434A23" w14:textId="77777777">
      <w:pPr>
        <w:spacing w:before="240" w:after="240" w:line="240" w:lineRule="auto"/>
        <w:jc w:val="both"/>
        <w:rPr>
          <w:rFonts w:ascii="Calibri" w:hAnsi="Calibri" w:cs="Calibri"/>
          <w:bCs/>
          <w:color w:val="000000" w:themeColor="text1"/>
        </w:rPr>
      </w:pPr>
      <w:r w:rsidRPr="00F93CE3">
        <w:rPr>
          <w:rFonts w:ascii="Calibri" w:hAnsi="Calibri" w:eastAsia="Georgia" w:cs="Calibri"/>
          <w:bCs/>
          <w:color w:val="000000" w:themeColor="text1"/>
        </w:rPr>
        <w:t>The result is a persistent underinvestment in climate-related projects, as their immediate financial returns are often perceived as likely to be lower compared to other investment opportunities. This misalignment between individual and collective interests is a major barrier to mobilizing private finance for the climate agenda. Overcoming the misalignment requires financial instruments that align investor incentives with broader environmental and climate goals.</w:t>
      </w:r>
    </w:p>
    <w:p w:rsidRPr="00F93CE3" w:rsidR="00317DC9" w:rsidP="00F50DCD" w:rsidRDefault="00317DC9" w14:paraId="40800D10" w14:textId="77777777">
      <w:pPr>
        <w:pStyle w:val="Heading3"/>
        <w:spacing w:line="240" w:lineRule="auto"/>
        <w:rPr>
          <w:rFonts w:ascii="Calibri" w:hAnsi="Calibri" w:cs="Calibri"/>
          <w:b/>
          <w:bCs/>
          <w:i/>
          <w:iCs/>
          <w:color w:val="000000" w:themeColor="text1"/>
          <w:sz w:val="22"/>
          <w:szCs w:val="22"/>
        </w:rPr>
      </w:pPr>
      <w:r w:rsidRPr="00F93CE3">
        <w:rPr>
          <w:rFonts w:ascii="Calibri" w:hAnsi="Calibri" w:cs="Calibri"/>
          <w:b/>
          <w:bCs/>
          <w:i/>
          <w:iCs/>
          <w:color w:val="000000" w:themeColor="text1"/>
          <w:sz w:val="22"/>
          <w:szCs w:val="22"/>
        </w:rPr>
        <w:t>High Debt Levels and Low Fiscal Space in Developing Countries</w:t>
      </w:r>
    </w:p>
    <w:p w:rsidRPr="00F93CE3" w:rsidR="00317DC9" w:rsidP="00F50DCD" w:rsidRDefault="00317DC9" w14:paraId="0B81EB51" w14:textId="77777777">
      <w:pPr>
        <w:spacing w:before="240" w:after="240" w:line="240" w:lineRule="auto"/>
        <w:jc w:val="both"/>
        <w:rPr>
          <w:rFonts w:ascii="Calibri" w:hAnsi="Calibri" w:cs="Calibri"/>
          <w:bCs/>
          <w:color w:val="000000" w:themeColor="text1"/>
        </w:rPr>
      </w:pPr>
      <w:r w:rsidRPr="00F93CE3">
        <w:rPr>
          <w:rFonts w:ascii="Calibri" w:hAnsi="Calibri" w:eastAsia="Georgia" w:cs="Calibri"/>
          <w:bCs/>
          <w:color w:val="000000" w:themeColor="text1"/>
        </w:rPr>
        <w:t>High debt levels and limited fiscal space in developing countries present additional challenges to investing in climate-related initiatives. Developing countries face a dual burden: the need to service existing debt while also financing the costly transition to a low-carbon economy. That transition will reduce the long-run operating costs of the energy system by shifting to renewable energy and so eliminating fuel costs. But this requires major front-loaded capital investment (McKinsey Global Institute, 2022). This situation limits developing countries’ ability to leverage traditional debt instruments. International financial institutions have a major role to play in overcoming these problems (McGeady &amp; Baskaran, CSIS, 2023).</w:t>
      </w:r>
    </w:p>
    <w:p w:rsidRPr="00F93CE3" w:rsidR="00317DC9" w:rsidP="00F50DCD" w:rsidRDefault="00317DC9" w14:paraId="122D475D" w14:textId="77777777">
      <w:pPr>
        <w:pStyle w:val="Heading3"/>
        <w:spacing w:line="240" w:lineRule="auto"/>
        <w:rPr>
          <w:rFonts w:ascii="Calibri" w:hAnsi="Calibri" w:cs="Calibri"/>
          <w:b/>
          <w:bCs/>
          <w:i/>
          <w:iCs/>
          <w:color w:val="000000" w:themeColor="text1"/>
          <w:sz w:val="22"/>
          <w:szCs w:val="22"/>
        </w:rPr>
      </w:pPr>
      <w:r w:rsidRPr="00F93CE3">
        <w:rPr>
          <w:rFonts w:ascii="Calibri" w:hAnsi="Calibri" w:cs="Calibri"/>
          <w:b/>
          <w:bCs/>
          <w:i/>
          <w:iCs/>
          <w:color w:val="000000" w:themeColor="text1"/>
          <w:sz w:val="22"/>
          <w:szCs w:val="22"/>
        </w:rPr>
        <w:t>Geopolitical Conflicts and Competitive Dynamics</w:t>
      </w:r>
    </w:p>
    <w:p w:rsidRPr="00F93CE3" w:rsidR="00317DC9" w:rsidP="00F50DCD" w:rsidRDefault="00317DC9" w14:paraId="6E177274" w14:textId="77777777">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Geopolitical conflicts and competitive dynamics among governments further complicate the mobilization of private sector capital for climate finance (Hurrell, 2024). These tensions result in a reluctance to commit to global climate goals, particularly where political instability or international rivalry undermines cooperative efforts. In developing countries, where the cost of capital is already high due to forex and other country risks, geopolitical factors can exacerbate the challenges of financing climate-related infrastructure projects. The lack of coordination and trust between nations also hinders the flow of private capital into climate finance, making it more difficult to achieve the scale of investment needed for meaningful climate action. See </w:t>
      </w:r>
      <w:hyperlink r:id="rId9">
        <w:r w:rsidRPr="00F93CE3">
          <w:rPr>
            <w:rStyle w:val="Hyperlink"/>
            <w:rFonts w:ascii="Calibri" w:hAnsi="Calibri" w:cs="Calibri" w:eastAsiaTheme="minorEastAsia"/>
            <w:bCs/>
            <w:color w:val="000000" w:themeColor="text1"/>
          </w:rPr>
          <w:t>Diwan et al. (2024)</w:t>
        </w:r>
      </w:hyperlink>
      <w:r w:rsidRPr="00F93CE3">
        <w:rPr>
          <w:rFonts w:ascii="Calibri" w:hAnsi="Calibri" w:cs="Calibri" w:eastAsiaTheme="minorEastAsia"/>
          <w:bCs/>
          <w:color w:val="000000" w:themeColor="text1"/>
        </w:rPr>
        <w:t xml:space="preserve"> for a recent proposed deal that acknowledges the collective action problem</w:t>
      </w:r>
      <w:r w:rsidRPr="00F93CE3">
        <w:rPr>
          <w:rFonts w:ascii="Calibri" w:hAnsi="Calibri" w:eastAsia="Georgia" w:cs="Calibri"/>
          <w:bCs/>
          <w:color w:val="000000" w:themeColor="text1"/>
        </w:rPr>
        <w:t xml:space="preserve"> of new lenders bailing out old ones and links a plausible solution to meaningful climate action.</w:t>
      </w:r>
    </w:p>
    <w:p w:rsidRPr="00F93CE3" w:rsidR="00317DC9" w:rsidP="00F50DCD" w:rsidRDefault="00317DC9" w14:paraId="148ECAC6" w14:textId="7A551EB0">
      <w:pPr>
        <w:pStyle w:val="Heading3"/>
        <w:spacing w:line="240" w:lineRule="auto"/>
        <w:rPr>
          <w:rFonts w:ascii="Calibri" w:hAnsi="Calibri" w:cs="Calibri"/>
          <w:b/>
          <w:bCs/>
          <w:i/>
          <w:iCs/>
          <w:color w:val="000000" w:themeColor="text1"/>
          <w:sz w:val="22"/>
          <w:szCs w:val="22"/>
        </w:rPr>
      </w:pPr>
      <w:r w:rsidRPr="00F93CE3">
        <w:rPr>
          <w:rFonts w:ascii="Calibri" w:hAnsi="Calibri" w:cs="Calibri"/>
          <w:b/>
          <w:bCs/>
          <w:i/>
          <w:iCs/>
          <w:color w:val="000000" w:themeColor="text1"/>
          <w:sz w:val="22"/>
          <w:szCs w:val="22"/>
        </w:rPr>
        <w:lastRenderedPageBreak/>
        <w:t>The Necessity of Additional</w:t>
      </w:r>
      <w:r w:rsidR="0021296B">
        <w:rPr>
          <w:rFonts w:ascii="Calibri" w:hAnsi="Calibri" w:cs="Calibri"/>
          <w:b/>
          <w:bCs/>
          <w:i/>
          <w:iCs/>
          <w:color w:val="000000" w:themeColor="text1"/>
          <w:sz w:val="22"/>
          <w:szCs w:val="22"/>
        </w:rPr>
        <w:t xml:space="preserve"> and Improved</w:t>
      </w:r>
      <w:r w:rsidRPr="00F93CE3">
        <w:rPr>
          <w:rFonts w:ascii="Calibri" w:hAnsi="Calibri" w:cs="Calibri"/>
          <w:b/>
          <w:bCs/>
          <w:i/>
          <w:iCs/>
          <w:color w:val="000000" w:themeColor="text1"/>
          <w:sz w:val="22"/>
          <w:szCs w:val="22"/>
        </w:rPr>
        <w:t xml:space="preserve"> Climate Finance</w:t>
      </w:r>
    </w:p>
    <w:p w:rsidRPr="003E2059" w:rsidR="003E2059" w:rsidP="00F50DCD" w:rsidRDefault="00317DC9" w14:paraId="7196CFE5" w14:textId="2F94EEC5">
      <w:pPr>
        <w:spacing w:before="240" w:after="240"/>
        <w:jc w:val="both"/>
        <w:rPr>
          <w:rFonts w:ascii="Calibri" w:hAnsi="Calibri" w:eastAsia="Georgia" w:cs="Calibri"/>
          <w:bCs/>
          <w:color w:val="000000" w:themeColor="text1"/>
          <w:lang w:val="en-GB"/>
        </w:rPr>
      </w:pPr>
      <w:r w:rsidRPr="00F93CE3">
        <w:rPr>
          <w:rFonts w:ascii="Calibri" w:hAnsi="Calibri" w:eastAsia="Georgia" w:cs="Calibri"/>
          <w:bCs/>
          <w:color w:val="000000" w:themeColor="text1"/>
        </w:rPr>
        <w:t xml:space="preserve">Given the scale of the climate challenge, additional financing beyond standard development needs will be essential. Climate mitigation and adaptation efforts require a scale of financial resources that current financial instruments and mechanisms cannot fully provide (McGeady &amp; Baskaran, CSIS, 2023; McKinsey, 2023). </w:t>
      </w:r>
      <w:r w:rsidRPr="003E2059" w:rsidR="003E2059">
        <w:rPr>
          <w:rFonts w:ascii="Calibri" w:hAnsi="Calibri" w:eastAsia="Georgia" w:cs="Calibri"/>
          <w:bCs/>
          <w:color w:val="000000" w:themeColor="text1"/>
          <w:lang w:val="en-GB"/>
        </w:rPr>
        <w:t>Although the majority of funding must come from the private sector, achieving this requires effective mobilization and appropriate incentives</w:t>
      </w:r>
      <w:r w:rsidR="0021296B">
        <w:rPr>
          <w:rFonts w:ascii="Calibri" w:hAnsi="Calibri" w:eastAsia="Georgia" w:cs="Calibri"/>
          <w:bCs/>
          <w:color w:val="000000" w:themeColor="text1"/>
          <w:lang w:val="en-GB"/>
        </w:rPr>
        <w:t xml:space="preserve"> from institutions like MDBs and MLFIs</w:t>
      </w:r>
      <w:r w:rsidRPr="003E2059" w:rsidR="003E2059">
        <w:rPr>
          <w:rFonts w:ascii="Calibri" w:hAnsi="Calibri" w:eastAsia="Georgia" w:cs="Calibri"/>
          <w:bCs/>
          <w:color w:val="000000" w:themeColor="text1"/>
          <w:lang w:val="en-GB"/>
        </w:rPr>
        <w:t>.</w:t>
      </w:r>
      <w:r w:rsidR="00AC327C">
        <w:rPr>
          <w:rFonts w:ascii="Calibri" w:hAnsi="Calibri" w:eastAsia="Georgia" w:cs="Calibri"/>
          <w:bCs/>
          <w:color w:val="000000" w:themeColor="text1"/>
          <w:lang w:val="en-GB"/>
        </w:rPr>
        <w:t xml:space="preserve"> </w:t>
      </w:r>
    </w:p>
    <w:p w:rsidR="00AC327C" w:rsidP="00F50DCD" w:rsidRDefault="00AC327C" w14:paraId="638414F3" w14:textId="6067435E">
      <w:pPr>
        <w:spacing w:before="240" w:after="240" w:line="240" w:lineRule="auto"/>
        <w:jc w:val="both"/>
        <w:rPr>
          <w:rFonts w:ascii="Calibri" w:hAnsi="Calibri" w:eastAsia="Georgia" w:cs="Calibri"/>
          <w:bCs/>
          <w:color w:val="000000" w:themeColor="text1"/>
        </w:rPr>
      </w:pPr>
      <w:r w:rsidRPr="00AC327C">
        <w:rPr>
          <w:rFonts w:ascii="Calibri" w:hAnsi="Calibri" w:eastAsia="Georgia" w:cs="Calibri"/>
          <w:bCs/>
          <w:color w:val="000000" w:themeColor="text1"/>
        </w:rPr>
        <w:t xml:space="preserve">The World Bank </w:t>
      </w:r>
      <w:r w:rsidR="00E619CE">
        <w:rPr>
          <w:rFonts w:ascii="Calibri" w:hAnsi="Calibri" w:eastAsia="Georgia" w:cs="Calibri"/>
          <w:bCs/>
          <w:color w:val="000000" w:themeColor="text1"/>
        </w:rPr>
        <w:t>is</w:t>
      </w:r>
      <w:r w:rsidRPr="00AC327C">
        <w:rPr>
          <w:rFonts w:ascii="Calibri" w:hAnsi="Calibri" w:eastAsia="Georgia" w:cs="Calibri"/>
          <w:bCs/>
          <w:color w:val="000000" w:themeColor="text1"/>
        </w:rPr>
        <w:t xml:space="preserve"> well positioned to reassure investors and unlock private capital for climate finance due to </w:t>
      </w:r>
      <w:r w:rsidR="00E619CE">
        <w:rPr>
          <w:rFonts w:ascii="Calibri" w:hAnsi="Calibri" w:eastAsia="Georgia" w:cs="Calibri"/>
          <w:bCs/>
          <w:color w:val="000000" w:themeColor="text1"/>
        </w:rPr>
        <w:t>its</w:t>
      </w:r>
      <w:r w:rsidRPr="00AC327C">
        <w:rPr>
          <w:rFonts w:ascii="Calibri" w:hAnsi="Calibri" w:eastAsia="Georgia" w:cs="Calibri"/>
          <w:bCs/>
          <w:color w:val="000000" w:themeColor="text1"/>
        </w:rPr>
        <w:t xml:space="preserve"> preferred creditor status. Having steadily increased over the past five years, the World Bank aims to raise its climate funding to 45% of total lending in the upcoming financial year (FY25). </w:t>
      </w:r>
      <w:r w:rsidRPr="00E619CE" w:rsidR="00E619CE">
        <w:rPr>
          <w:rFonts w:ascii="Calibri" w:hAnsi="Calibri" w:eastAsia="Georgia" w:cs="Calibri"/>
          <w:bCs/>
          <w:color w:val="000000" w:themeColor="text1"/>
        </w:rPr>
        <w:t>However, the current climate finance architecture often discourages effective climate policy. Therefore, innovative mechanisms are needed</w:t>
      </w:r>
      <w:r w:rsidR="00E619CE">
        <w:rPr>
          <w:rFonts w:ascii="Calibri" w:hAnsi="Calibri" w:eastAsia="Georgia" w:cs="Calibri"/>
          <w:bCs/>
          <w:color w:val="000000" w:themeColor="text1"/>
        </w:rPr>
        <w:t>,</w:t>
      </w:r>
      <w:r w:rsidRPr="00E619CE" w:rsidR="00E619CE">
        <w:rPr>
          <w:rFonts w:ascii="Calibri" w:hAnsi="Calibri" w:eastAsia="Georgia" w:cs="Calibri"/>
          <w:bCs/>
          <w:color w:val="000000" w:themeColor="text1"/>
        </w:rPr>
        <w:t xml:space="preserve"> </w:t>
      </w:r>
      <w:r w:rsidR="00E619CE">
        <w:rPr>
          <w:rFonts w:ascii="Calibri" w:hAnsi="Calibri" w:eastAsia="Georgia" w:cs="Calibri"/>
          <w:bCs/>
          <w:color w:val="000000" w:themeColor="text1"/>
        </w:rPr>
        <w:t xml:space="preserve">alongside additional financing, </w:t>
      </w:r>
      <w:r w:rsidRPr="00E619CE" w:rsidR="00E619CE">
        <w:rPr>
          <w:rFonts w:ascii="Calibri" w:hAnsi="Calibri" w:eastAsia="Georgia" w:cs="Calibri"/>
          <w:bCs/>
          <w:color w:val="000000" w:themeColor="text1"/>
        </w:rPr>
        <w:t>that address the significant fiscal responsibilities faced by developing countries while ensuring robust climate action.</w:t>
      </w:r>
    </w:p>
    <w:p w:rsidR="003E2059" w:rsidP="00F50DCD" w:rsidRDefault="001C2DF3" w14:paraId="718A6171" w14:textId="29B29E51">
      <w:pPr>
        <w:spacing w:before="240" w:after="240" w:line="240" w:lineRule="auto"/>
        <w:jc w:val="center"/>
      </w:pPr>
      <w:r>
        <w:rPr>
          <w:noProof/>
          <w14:ligatures w14:val="standardContextual"/>
        </w:rPr>
        <w:drawing>
          <wp:inline distT="0" distB="0" distL="0" distR="0" wp14:anchorId="22FE1E3C" wp14:editId="4BA16A5A">
            <wp:extent cx="5506949" cy="2900514"/>
            <wp:effectExtent l="0" t="0" r="5080" b="0"/>
            <wp:docPr id="1902708255" name="Picture 1" descr="A graph of different countries/reg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08255" name="Picture 1" descr="A graph of different countries/region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5711" cy="2905129"/>
                    </a:xfrm>
                    <a:prstGeom prst="rect">
                      <a:avLst/>
                    </a:prstGeom>
                  </pic:spPr>
                </pic:pic>
              </a:graphicData>
            </a:graphic>
          </wp:inline>
        </w:drawing>
      </w:r>
    </w:p>
    <w:p w:rsidRPr="00293CE1" w:rsidR="00AC327C" w:rsidP="00F50DCD" w:rsidRDefault="003E2059" w14:paraId="1EB2B7FB" w14:textId="7B654DF1">
      <w:pPr>
        <w:pStyle w:val="Caption"/>
        <w:jc w:val="center"/>
        <w:rPr>
          <w:b/>
          <w:bCs/>
          <w:i/>
          <w:iCs/>
          <w:lang w:val="en-GB"/>
        </w:rPr>
      </w:pPr>
      <w:r w:rsidRPr="00293CE1">
        <w:rPr>
          <w:b/>
          <w:bCs/>
        </w:rPr>
        <w:t xml:space="preserve">Figure </w:t>
      </w:r>
      <w:r w:rsidRPr="00293CE1">
        <w:rPr>
          <w:b/>
          <w:bCs/>
        </w:rPr>
        <w:fldChar w:fldCharType="begin"/>
      </w:r>
      <w:r w:rsidRPr="00293CE1">
        <w:rPr>
          <w:b/>
          <w:bCs/>
        </w:rPr>
        <w:instrText xml:space="preserve"> SEQ Figure \* ARABIC </w:instrText>
      </w:r>
      <w:r w:rsidRPr="00293CE1">
        <w:rPr>
          <w:b/>
          <w:bCs/>
        </w:rPr>
        <w:fldChar w:fldCharType="separate"/>
      </w:r>
      <w:r w:rsidRPr="00293CE1">
        <w:rPr>
          <w:b/>
          <w:bCs/>
          <w:noProof/>
        </w:rPr>
        <w:t>1</w:t>
      </w:r>
      <w:r w:rsidRPr="00293CE1">
        <w:rPr>
          <w:b/>
          <w:bCs/>
        </w:rPr>
        <w:fldChar w:fldCharType="end"/>
      </w:r>
      <w:r w:rsidRPr="00293CE1">
        <w:rPr>
          <w:b/>
          <w:bCs/>
        </w:rPr>
        <w:t xml:space="preserve">: World bank regional lending fy24. </w:t>
      </w:r>
    </w:p>
    <w:p w:rsidRPr="003E2059" w:rsidR="003E2059" w:rsidP="00F50DCD" w:rsidRDefault="00AC327C" w14:paraId="4EB26984" w14:textId="30B06D7E">
      <w:pPr>
        <w:pStyle w:val="Caption"/>
        <w:jc w:val="center"/>
      </w:pPr>
      <w:r w:rsidRPr="00D757E5">
        <w:rPr>
          <w:i/>
          <w:iCs/>
          <w:lang w:val="en-GB"/>
        </w:rPr>
        <w:t>Source</w:t>
      </w:r>
      <w:r>
        <w:rPr>
          <w:i/>
          <w:iCs/>
          <w:lang w:val="en-GB"/>
        </w:rPr>
        <w:t xml:space="preserve">: </w:t>
      </w:r>
      <w:hyperlink w:history="1" r:id="rId11">
        <w:r w:rsidRPr="003E2059">
          <w:rPr>
            <w:rStyle w:val="Hyperlink"/>
          </w:rPr>
          <w:t>World Bank (2024).</w:t>
        </w:r>
      </w:hyperlink>
    </w:p>
    <w:p w:rsidRPr="003E2059" w:rsidR="003E2059" w:rsidP="00F50DCD" w:rsidRDefault="003E2059" w14:paraId="482B5B34" w14:textId="72598581"/>
    <w:p w:rsidRPr="00F93CE3" w:rsidR="00317DC9" w:rsidP="00F50DCD" w:rsidRDefault="00F93CE3" w14:paraId="08B70602" w14:textId="4FBB2FB0">
      <w:pPr>
        <w:pStyle w:val="Heading2"/>
        <w:spacing w:line="240" w:lineRule="auto"/>
        <w:rPr>
          <w:rFonts w:ascii="Calibri" w:hAnsi="Calibri" w:cs="Calibri"/>
          <w:b/>
          <w:bCs/>
          <w:color w:val="000000" w:themeColor="text1"/>
          <w:sz w:val="22"/>
          <w:szCs w:val="22"/>
        </w:rPr>
      </w:pPr>
      <w:bookmarkStart w:name="_Toc175616580" w:id="2"/>
      <w:bookmarkStart w:name="_Toc1240513330" w:id="3"/>
      <w:r>
        <w:rPr>
          <w:rFonts w:ascii="Calibri" w:hAnsi="Calibri" w:cs="Calibri"/>
          <w:b/>
          <w:bCs/>
          <w:color w:val="000000" w:themeColor="text1"/>
          <w:sz w:val="22"/>
          <w:szCs w:val="22"/>
        </w:rPr>
        <w:t xml:space="preserve">CURRENT SUSTAINABILITY-RELEVANT FINANCIAL INSTRUMENTS AND THEIR LIMITATIONS </w:t>
      </w:r>
      <w:bookmarkEnd w:id="2"/>
      <w:bookmarkEnd w:id="3"/>
    </w:p>
    <w:p w:rsidRPr="00F93CE3" w:rsidR="00317DC9" w:rsidP="00F50DCD" w:rsidRDefault="00317DC9" w14:paraId="706E38D7" w14:textId="77777777">
      <w:pPr>
        <w:spacing w:before="240" w:after="240" w:line="240" w:lineRule="auto"/>
        <w:jc w:val="both"/>
        <w:rPr>
          <w:rFonts w:ascii="Calibri" w:hAnsi="Calibri" w:cs="Calibri"/>
          <w:bCs/>
          <w:color w:val="000000" w:themeColor="text1"/>
        </w:rPr>
      </w:pPr>
      <w:r w:rsidRPr="00F93CE3">
        <w:rPr>
          <w:rFonts w:ascii="Calibri" w:hAnsi="Calibri" w:eastAsia="Georgia" w:cs="Calibri"/>
          <w:bCs/>
          <w:color w:val="000000" w:themeColor="text1"/>
        </w:rPr>
        <w:t>Several financial instruments are currently used to mobilize capital for climate finance, each with strengths and limitations.</w:t>
      </w:r>
      <w:r w:rsidRPr="00F93CE3">
        <w:rPr>
          <w:rFonts w:ascii="Calibri" w:hAnsi="Calibri" w:cs="Calibri"/>
          <w:bCs/>
          <w:color w:val="000000" w:themeColor="text1"/>
        </w:rPr>
        <w:t xml:space="preserve"> </w:t>
      </w:r>
    </w:p>
    <w:p w:rsidRPr="00F93CE3" w:rsidR="00317DC9" w:rsidP="00F50DCD" w:rsidRDefault="00317DC9" w14:paraId="4F878033" w14:textId="77777777">
      <w:pPr>
        <w:spacing w:line="240" w:lineRule="auto"/>
        <w:jc w:val="both"/>
        <w:rPr>
          <w:rFonts w:ascii="Calibri" w:hAnsi="Calibri" w:eastAsia="Georgia" w:cs="Calibri"/>
          <w:bCs/>
          <w:color w:val="000000" w:themeColor="text1"/>
        </w:rPr>
      </w:pPr>
      <w:r w:rsidRPr="00F93CE3">
        <w:rPr>
          <w:rFonts w:ascii="Calibri" w:hAnsi="Calibri" w:cs="Calibri"/>
          <w:bCs/>
          <w:color w:val="000000" w:themeColor="text1"/>
        </w:rPr>
        <w:t xml:space="preserve">Green bonds are defined as Use of Proceeds bonds that raise money for specific ‘green’ projects (‘green’ according to a taxonomy such as the </w:t>
      </w:r>
      <w:hyperlink r:id="rId12">
        <w:r w:rsidRPr="00F93CE3">
          <w:rPr>
            <w:rStyle w:val="Hyperlink"/>
            <w:rFonts w:ascii="Calibri" w:hAnsi="Calibri" w:cs="Calibri"/>
            <w:bCs/>
            <w:color w:val="000000" w:themeColor="text1"/>
          </w:rPr>
          <w:t>EU’s Taxonomy for Sustainable Activities</w:t>
        </w:r>
      </w:hyperlink>
      <w:r w:rsidRPr="00F93CE3">
        <w:rPr>
          <w:rFonts w:ascii="Calibri" w:hAnsi="Calibri" w:cs="Calibri"/>
          <w:bCs/>
          <w:color w:val="000000" w:themeColor="text1"/>
        </w:rPr>
        <w:t xml:space="preserve">). </w:t>
      </w:r>
      <w:r w:rsidRPr="00F93CE3">
        <w:rPr>
          <w:rFonts w:ascii="Calibri" w:hAnsi="Calibri" w:eastAsia="Georgia" w:cs="Calibri"/>
          <w:bCs/>
          <w:color w:val="000000" w:themeColor="text1"/>
        </w:rPr>
        <w:t xml:space="preserve">Examples include renewable energy installations, energy efficiency upgrades, ‘green’ steelmaking projects, or ecotourism developments. Green bonds have succeeded in raising money for many projects. (Climate Bonds Initiative maintains a </w:t>
      </w:r>
      <w:hyperlink r:id="rId13">
        <w:r w:rsidRPr="00F93CE3">
          <w:rPr>
            <w:rStyle w:val="Hyperlink"/>
            <w:rFonts w:ascii="Calibri" w:hAnsi="Calibri" w:eastAsia="Georgia" w:cs="Calibri"/>
            <w:bCs/>
            <w:color w:val="000000" w:themeColor="text1"/>
          </w:rPr>
          <w:t>database</w:t>
        </w:r>
      </w:hyperlink>
      <w:r w:rsidRPr="00F93CE3">
        <w:rPr>
          <w:rFonts w:ascii="Calibri" w:hAnsi="Calibri" w:eastAsia="Georgia" w:cs="Calibri"/>
          <w:bCs/>
          <w:color w:val="000000" w:themeColor="text1"/>
        </w:rPr>
        <w:t xml:space="preserve"> of green bonds and projects linked to them.) However, green bonds lack the scope to address broader national- or regional-scale sustainability goals (Bouzidi and Papaioannou, 2021), and they face the problem of investor reluctance to accept country risks in developing-country contexts. </w:t>
      </w:r>
    </w:p>
    <w:p w:rsidRPr="00F93CE3" w:rsidR="00317DC9" w:rsidP="00F50DCD" w:rsidRDefault="00317DC9" w14:paraId="1C4DF42E" w14:textId="77777777">
      <w:pPr>
        <w:spacing w:line="240" w:lineRule="auto"/>
        <w:jc w:val="both"/>
        <w:rPr>
          <w:rFonts w:ascii="Calibri" w:hAnsi="Calibri" w:cs="Calibri"/>
          <w:bCs/>
          <w:color w:val="000000" w:themeColor="text1"/>
        </w:rPr>
      </w:pPr>
      <w:r w:rsidRPr="00F93CE3">
        <w:rPr>
          <w:rFonts w:ascii="Calibri" w:hAnsi="Calibri" w:cs="Calibri"/>
          <w:bCs/>
          <w:color w:val="000000" w:themeColor="text1"/>
        </w:rPr>
        <w:lastRenderedPageBreak/>
        <w:t xml:space="preserve">Green bonds cannot, by themselves, ensure a country’s transition to sustainability. A bond’s meeting the criteria of a ‘green’ taxonomy does not guarantee that a country’s overall investment volume in ‘green’ infrastructure is sufficient, nor does issuance of green bonds ensure ‘green’ sustainable development policies are in place, nor that desired outcomes (such as forest protection and biodiversity conservation) result at a national or regional scale. </w:t>
      </w:r>
    </w:p>
    <w:p w:rsidR="00317DC9" w:rsidP="00F50DCD" w:rsidRDefault="00317DC9" w14:paraId="759D3F68" w14:textId="7B3DA4D1">
      <w:pPr>
        <w:spacing w:before="240" w:after="240" w:line="240" w:lineRule="auto"/>
        <w:jc w:val="both"/>
        <w:rPr>
          <w:rFonts w:ascii="Calibri" w:hAnsi="Calibri" w:eastAsia="Georgia" w:cs="Calibri"/>
          <w:bCs/>
          <w:color w:val="000000" w:themeColor="text1"/>
        </w:rPr>
      </w:pPr>
      <w:r w:rsidRPr="00F93CE3">
        <w:rPr>
          <w:rFonts w:ascii="Calibri" w:hAnsi="Calibri" w:cs="Calibri"/>
          <w:bCs/>
          <w:color w:val="000000" w:themeColor="text1"/>
        </w:rPr>
        <w:t xml:space="preserve">Sovereign sustainability-linked bonds could, in principle, incentivize a country’s national transition to sustainable development. In contrast to green bonds, sovereign SLBs are not project-specific; they can specify national-scale outcomes as their target KPIs, driven by changes at the overall national policy level. </w:t>
      </w:r>
      <w:r w:rsidRPr="00F93CE3">
        <w:rPr>
          <w:rFonts w:ascii="Calibri" w:hAnsi="Calibri" w:eastAsia="Georgia" w:cs="Calibri"/>
          <w:bCs/>
          <w:color w:val="000000" w:themeColor="text1"/>
        </w:rPr>
        <w:t xml:space="preserve">Horrocks </w:t>
      </w:r>
      <w:r w:rsidRPr="00F93CE3">
        <w:rPr>
          <w:rFonts w:ascii="Calibri" w:hAnsi="Calibri" w:eastAsia="Georgia" w:cs="Calibri"/>
          <w:bCs/>
          <w:i/>
          <w:iCs/>
          <w:color w:val="000000" w:themeColor="text1"/>
        </w:rPr>
        <w:t>et al</w:t>
      </w:r>
      <w:r w:rsidRPr="00F93CE3">
        <w:rPr>
          <w:rFonts w:ascii="Calibri" w:hAnsi="Calibri" w:eastAsia="Georgia" w:cs="Calibri"/>
          <w:bCs/>
          <w:color w:val="000000" w:themeColor="text1"/>
        </w:rPr>
        <w:t xml:space="preserve">. (OECD, 2024b) explored ways of applying SLBs to developing-world sovereign debt (as distinct from the more common use case of industrialized-world corporate debt) in their paper “Sustainability-linked bonds: How to make them work for developing countries, and how donors can help”. </w:t>
      </w:r>
      <w:r w:rsidRPr="00176D37" w:rsidR="00176D37">
        <w:rPr>
          <w:rFonts w:ascii="Calibri" w:hAnsi="Calibri" w:eastAsia="Georgia" w:cs="Calibri"/>
          <w:bCs/>
          <w:color w:val="000000" w:themeColor="text1"/>
        </w:rPr>
        <w:t>To date, sovereign SLB issuances have been minimal, accounting for only 0.9% of the total issued (see Figure 1).</w:t>
      </w:r>
      <w:r w:rsidR="00176D37">
        <w:rPr>
          <w:rFonts w:ascii="Calibri" w:hAnsi="Calibri" w:eastAsia="Georgia" w:cs="Calibri"/>
          <w:bCs/>
          <w:color w:val="000000" w:themeColor="text1"/>
        </w:rPr>
        <w:t xml:space="preserve"> </w:t>
      </w:r>
      <w:r w:rsidRPr="00F93CE3">
        <w:rPr>
          <w:rFonts w:ascii="Calibri" w:hAnsi="Calibri" w:eastAsia="Georgia" w:cs="Calibri"/>
          <w:bCs/>
          <w:color w:val="000000" w:themeColor="text1"/>
        </w:rPr>
        <w:t>Sovereign SLB transactions have included Uruguay’s Sovereign Sustainability-Linked Bond (Uruguay, 2022), issued with Inter-American Development Bank support.</w:t>
      </w:r>
    </w:p>
    <w:p w:rsidR="00D757E5" w:rsidP="60085441" w:rsidRDefault="001C2DF3" w14:paraId="09FAB67C" w14:textId="44E16298">
      <w:pPr>
        <w:pStyle w:val="Normal"/>
        <w:keepNext w:val="1"/>
        <w:spacing w:before="240" w:after="240" w:line="240" w:lineRule="auto"/>
        <w:jc w:val="center"/>
      </w:pPr>
      <w:r>
        <w:rPr>
          <w:noProof/>
          <w14:ligatures w14:val="standardContextual"/>
        </w:rPr>
        <w:drawing>
          <wp:inline distT="0" distB="0" distL="0" distR="0" wp14:anchorId="006C83E0" wp14:editId="4E8EE661">
            <wp:extent cx="2907586" cy="3415390"/>
            <wp:effectExtent l="0" t="0" r="1270" b="1270"/>
            <wp:docPr id="275840286" name="Picture 2" descr="A pie chart of the company's company's reven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40286" name="Picture 2" descr="A pie chart of the company's company's revenu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8379" cy="3439814"/>
                    </a:xfrm>
                    <a:prstGeom prst="rect">
                      <a:avLst/>
                    </a:prstGeom>
                  </pic:spPr>
                </pic:pic>
              </a:graphicData>
            </a:graphic>
          </wp:inline>
        </w:drawing>
      </w:r>
      <w:r w:rsidR="72A0BF36">
        <w:drawing>
          <wp:inline wp14:editId="581AE43A" wp14:anchorId="3B408186">
            <wp:extent cx="1774255" cy="916698"/>
            <wp:effectExtent l="0" t="0" r="3810" b="0"/>
            <wp:docPr id="1492773809" name="Picture 3" descr="A close-up of several words&#10;&#10;Description automatically generated" title=""/>
            <wp:cNvGraphicFramePr>
              <a:graphicFrameLocks noChangeAspect="1"/>
            </wp:cNvGraphicFramePr>
            <a:graphic>
              <a:graphicData uri="http://schemas.openxmlformats.org/drawingml/2006/picture">
                <pic:pic>
                  <pic:nvPicPr>
                    <pic:cNvPr id="0" name="Picture 3"/>
                    <pic:cNvPicPr/>
                  </pic:nvPicPr>
                  <pic:blipFill>
                    <a:blip r:embed="R6978a13c68f0425c">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774255" cy="916698"/>
                    </a:xfrm>
                    <a:prstGeom xmlns:a="http://schemas.openxmlformats.org/drawingml/2006/main" prst="rect">
                      <a:avLst/>
                    </a:prstGeom>
                  </pic:spPr>
                </pic:pic>
              </a:graphicData>
            </a:graphic>
          </wp:inline>
        </w:drawing>
      </w:r>
    </w:p>
    <w:p w:rsidR="00D757E5" w:rsidP="00F50DCD" w:rsidRDefault="00D757E5" w14:paraId="68353381" w14:textId="2C37F1AF">
      <w:pPr>
        <w:pStyle w:val="Caption"/>
        <w:jc w:val="center"/>
        <w:rPr>
          <w:b/>
          <w:bCs/>
        </w:rPr>
      </w:pPr>
      <w:r w:rsidRPr="00D757E5">
        <w:rPr>
          <w:b/>
          <w:bCs/>
        </w:rPr>
        <w:t xml:space="preserve">Figure </w:t>
      </w:r>
      <w:r w:rsidRPr="00D757E5">
        <w:rPr>
          <w:b/>
          <w:bCs/>
        </w:rPr>
        <w:fldChar w:fldCharType="begin"/>
      </w:r>
      <w:r w:rsidRPr="00D757E5">
        <w:rPr>
          <w:b/>
          <w:bCs/>
        </w:rPr>
        <w:instrText xml:space="preserve"> SEQ Figure \* ARABIC </w:instrText>
      </w:r>
      <w:r w:rsidRPr="00D757E5">
        <w:rPr>
          <w:b/>
          <w:bCs/>
        </w:rPr>
        <w:fldChar w:fldCharType="separate"/>
      </w:r>
      <w:r w:rsidR="003E2059">
        <w:rPr>
          <w:b/>
          <w:bCs/>
          <w:noProof/>
        </w:rPr>
        <w:t>2</w:t>
      </w:r>
      <w:r w:rsidRPr="00D757E5">
        <w:rPr>
          <w:b/>
          <w:bCs/>
        </w:rPr>
        <w:fldChar w:fldCharType="end"/>
      </w:r>
      <w:r w:rsidRPr="00D757E5">
        <w:rPr>
          <w:b/>
          <w:bCs/>
        </w:rPr>
        <w:t>: issuers of slbs</w:t>
      </w:r>
      <w:r>
        <w:rPr>
          <w:b/>
          <w:bCs/>
        </w:rPr>
        <w:t>.</w:t>
      </w:r>
    </w:p>
    <w:p w:rsidRPr="00D757E5" w:rsidR="00D757E5" w:rsidP="00F50DCD" w:rsidRDefault="00D757E5" w14:paraId="1F7B72D4" w14:textId="6C858186">
      <w:pPr>
        <w:pStyle w:val="Caption"/>
        <w:jc w:val="center"/>
        <w:rPr>
          <w:lang w:val="en-GB"/>
        </w:rPr>
      </w:pPr>
      <w:r w:rsidRPr="00D757E5">
        <w:rPr>
          <w:i/>
          <w:iCs/>
          <w:lang w:val="en-GB"/>
        </w:rPr>
        <w:t xml:space="preserve">Source: </w:t>
      </w:r>
      <w:hyperlink w:history="1" r:id="rId16">
        <w:r w:rsidRPr="00D757E5">
          <w:rPr>
            <w:rStyle w:val="Hyperlink"/>
            <w:i/>
            <w:iCs/>
            <w:lang w:val="en-GB"/>
          </w:rPr>
          <w:t>Climate Bonds Initiative (2024)</w:t>
        </w:r>
      </w:hyperlink>
      <w:r w:rsidRPr="00D757E5">
        <w:rPr>
          <w:noProof/>
          <w14:ligatures w14:val="standardContextual"/>
        </w:rPr>
        <w:t xml:space="preserve"> </w:t>
      </w:r>
    </w:p>
    <w:p w:rsidRPr="001107B9" w:rsidR="001107B9" w:rsidP="00F50DCD" w:rsidRDefault="00317DC9" w14:paraId="058B722A" w14:textId="25DCBEF9">
      <w:pPr>
        <w:spacing w:before="240" w:after="240"/>
        <w:jc w:val="both"/>
        <w:rPr>
          <w:rFonts w:ascii="Calibri" w:hAnsi="Calibri" w:eastAsia="Georgia" w:cs="Calibri"/>
          <w:bCs/>
          <w:color w:val="000000" w:themeColor="text1"/>
          <w:lang w:val="en-GB"/>
        </w:rPr>
      </w:pPr>
      <w:r w:rsidRPr="00F93CE3">
        <w:rPr>
          <w:rFonts w:ascii="Calibri" w:hAnsi="Calibri" w:eastAsia="Georgia" w:cs="Calibri"/>
          <w:bCs/>
          <w:color w:val="000000" w:themeColor="text1"/>
        </w:rPr>
        <w:t>Sustainability-linked bonds, SLBs, have significant potential, but in their current form, they face several challenges that limit their effectiveness as a tool for mobilizing private capital at the scale required for global sustainability transitions. SLBs</w:t>
      </w:r>
      <w:r w:rsidR="00F67A2C">
        <w:rPr>
          <w:rFonts w:ascii="Calibri" w:hAnsi="Calibri" w:eastAsia="Georgia" w:cs="Calibri"/>
          <w:bCs/>
          <w:color w:val="000000" w:themeColor="text1"/>
        </w:rPr>
        <w:t xml:space="preserve"> </w:t>
      </w:r>
      <w:r w:rsidRPr="00F93CE3">
        <w:rPr>
          <w:rFonts w:ascii="Calibri" w:hAnsi="Calibri" w:eastAsia="Georgia" w:cs="Calibri"/>
          <w:bCs/>
          <w:color w:val="000000" w:themeColor="text1"/>
        </w:rPr>
        <w:t xml:space="preserve">link coupon payments to the achievement of sustainability-related KPIs, with mechanisms such as step-downs for meeting targets and step-ups for missing them. The complexity of these instruments, particularly the variable coupon structures, has been a deterrent for investors, who often prefer more straightforward financial products (Kölbel and Lambillon, 2022; Lefournier, 2023). </w:t>
      </w:r>
      <w:r w:rsidRPr="001107B9" w:rsidR="001107B9">
        <w:rPr>
          <w:rFonts w:ascii="Calibri" w:hAnsi="Calibri" w:eastAsia="Georgia" w:cs="Calibri"/>
          <w:bCs/>
          <w:color w:val="000000" w:themeColor="text1"/>
          <w:lang w:val="en-GB"/>
        </w:rPr>
        <w:t>Issuers may be compelled to accept higher coupons at issuance, while many investors might be unwilling or unable to accommodate a step-down due to their fiduciary duties. Additionally, the Climate Bonds Initiative (2024) emphasizes that the financial mechanisms should be substantial; as a result, the current average step-up of 25 basis points may be inadequate to incentivize meaningful progress.</w:t>
      </w:r>
    </w:p>
    <w:p w:rsidRPr="00F93CE3" w:rsidR="00317DC9" w:rsidP="00F50DCD" w:rsidRDefault="001107B9" w14:paraId="2C96698D" w14:textId="62DD0DCB">
      <w:pPr>
        <w:spacing w:before="240" w:after="240" w:line="240" w:lineRule="auto"/>
        <w:jc w:val="both"/>
        <w:rPr>
          <w:rFonts w:ascii="Calibri" w:hAnsi="Calibri" w:eastAsia="Georgia" w:cs="Calibri"/>
          <w:bCs/>
          <w:color w:val="000000" w:themeColor="text1"/>
        </w:rPr>
      </w:pPr>
      <w:r w:rsidRPr="001107B9">
        <w:rPr>
          <w:rFonts w:ascii="Calibri" w:hAnsi="Calibri" w:eastAsia="Georgia" w:cs="Calibri"/>
          <w:bCs/>
          <w:color w:val="000000" w:themeColor="text1"/>
        </w:rPr>
        <w:lastRenderedPageBreak/>
        <w:t>Moreover, the risk of greenwashing—where issuers set easily achievable or vague KPIs—undermines the credibility of SLBs and diminishes their appeal to investors concerned about the genuine impact of their investments.</w:t>
      </w:r>
      <w:r w:rsidR="00D56228">
        <w:rPr>
          <w:rFonts w:ascii="Calibri" w:hAnsi="Calibri" w:eastAsia="Georgia" w:cs="Calibri"/>
          <w:bCs/>
          <w:color w:val="000000" w:themeColor="text1"/>
        </w:rPr>
        <w:t xml:space="preserve"> </w:t>
      </w:r>
      <w:r>
        <w:rPr>
          <w:rFonts w:ascii="Calibri" w:hAnsi="Calibri" w:eastAsia="Georgia" w:cs="Calibri"/>
          <w:bCs/>
          <w:color w:val="000000" w:themeColor="text1"/>
        </w:rPr>
        <w:t>T</w:t>
      </w:r>
      <w:r w:rsidRPr="001107B9">
        <w:rPr>
          <w:rFonts w:ascii="Calibri" w:hAnsi="Calibri" w:eastAsia="Georgia" w:cs="Calibri"/>
          <w:bCs/>
          <w:color w:val="000000" w:themeColor="text1"/>
        </w:rPr>
        <w:t>he current SLB market is heavily populated with low-quality deals that fall short on ambition and credibility, hindering scalability</w:t>
      </w:r>
      <w:r>
        <w:rPr>
          <w:rFonts w:ascii="Calibri" w:hAnsi="Calibri" w:eastAsia="Georgia" w:cs="Calibri"/>
          <w:bCs/>
          <w:color w:val="000000" w:themeColor="text1"/>
        </w:rPr>
        <w:t xml:space="preserve"> (Climate Bonds Initiative, 2024)</w:t>
      </w:r>
      <w:r w:rsidRPr="001107B9">
        <w:rPr>
          <w:rFonts w:ascii="Calibri" w:hAnsi="Calibri" w:eastAsia="Georgia" w:cs="Calibri"/>
          <w:bCs/>
          <w:color w:val="000000" w:themeColor="text1"/>
        </w:rPr>
        <w:t>.</w:t>
      </w:r>
    </w:p>
    <w:p w:rsidR="00BC3A32" w:rsidP="00F50DCD" w:rsidRDefault="00BC3A32" w14:paraId="4DF55A6D" w14:textId="59A148F3">
      <w:pPr>
        <w:spacing w:before="240" w:after="240" w:line="240" w:lineRule="auto"/>
        <w:jc w:val="both"/>
        <w:rPr>
          <w:rFonts w:ascii="Calibri" w:hAnsi="Calibri" w:eastAsia="Georgia" w:cs="Calibri"/>
          <w:bCs/>
          <w:color w:val="000000" w:themeColor="text1"/>
        </w:rPr>
      </w:pPr>
      <w:r w:rsidRPr="00BC3A32">
        <w:rPr>
          <w:rFonts w:ascii="Calibri" w:hAnsi="Calibri" w:eastAsia="Georgia" w:cs="Calibri"/>
          <w:bCs/>
          <w:color w:val="000000" w:themeColor="text1"/>
        </w:rPr>
        <w:t>Similarly, SLLs</w:t>
      </w:r>
      <w:r>
        <w:rPr>
          <w:rFonts w:ascii="Calibri" w:hAnsi="Calibri" w:eastAsia="Georgia" w:cs="Calibri"/>
          <w:bCs/>
          <w:color w:val="000000" w:themeColor="text1"/>
        </w:rPr>
        <w:t xml:space="preserve"> </w:t>
      </w:r>
      <w:r w:rsidRPr="00BC3A32">
        <w:rPr>
          <w:rFonts w:ascii="Calibri" w:hAnsi="Calibri" w:eastAsia="Georgia" w:cs="Calibri"/>
          <w:bCs/>
          <w:color w:val="000000" w:themeColor="text1"/>
        </w:rPr>
        <w:t xml:space="preserve">tie lending terms to the achievement of specific KPIs, providing more favorable conditions as sustainability goals are met. For example, a World Bank loan issued to Uruguay in 2023 included step-down sustainability-linked provisions, highlighting the potential of this approach (World Bank, 2023). While SLLs show promise, they remain in the early stages of development and require further refinement for widespread adoption (Silva, 2021). Additionally, they may carry a higher risk </w:t>
      </w:r>
      <w:r>
        <w:rPr>
          <w:rFonts w:ascii="Calibri" w:hAnsi="Calibri" w:eastAsia="Georgia" w:cs="Calibri"/>
          <w:bCs/>
          <w:color w:val="000000" w:themeColor="text1"/>
        </w:rPr>
        <w:t xml:space="preserve">of greenwashing </w:t>
      </w:r>
      <w:r w:rsidRPr="00BC3A32">
        <w:rPr>
          <w:rFonts w:ascii="Calibri" w:hAnsi="Calibri" w:eastAsia="Georgia" w:cs="Calibri"/>
          <w:bCs/>
          <w:color w:val="000000" w:themeColor="text1"/>
        </w:rPr>
        <w:t xml:space="preserve">than SLBs due to inadequate disclosures and weak target credibility (Climate Bonds Initiative, 2024). The challenge is to </w:t>
      </w:r>
      <w:r>
        <w:rPr>
          <w:rFonts w:ascii="Calibri" w:hAnsi="Calibri" w:eastAsia="Georgia" w:cs="Calibri"/>
          <w:bCs/>
          <w:color w:val="000000" w:themeColor="text1"/>
        </w:rPr>
        <w:t xml:space="preserve">improve, </w:t>
      </w:r>
      <w:r w:rsidRPr="00BC3A32">
        <w:rPr>
          <w:rFonts w:ascii="Calibri" w:hAnsi="Calibri" w:eastAsia="Georgia" w:cs="Calibri"/>
          <w:bCs/>
          <w:color w:val="000000" w:themeColor="text1"/>
        </w:rPr>
        <w:t>adapt, and scale this model across a broader range of countries and projects, as proposed in this paper.</w:t>
      </w:r>
    </w:p>
    <w:p w:rsidRPr="00F93CE3" w:rsidR="00317DC9" w:rsidP="00F50DCD" w:rsidRDefault="00317DC9" w14:paraId="62A94120" w14:textId="300514A2">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Debt-for-X Swaps involve exchanging debt for commitments to some specific outcome(s) ‘X’, e.g., nature conservation or energy efficiency improvements, providing a direct link between debt relief and environmental outcomes. While offering a diverse array of use cases and having been effective in some cases (Cassimon &amp; Essers, 2013), such swaps tend to be limited in scope and scale, making them insufficient to address the broader financing needs for global climate action. They are also typically complex to negotiate and implement, limiting their applicability.</w:t>
      </w:r>
    </w:p>
    <w:p w:rsidRPr="00F93CE3" w:rsidR="00317DC9" w:rsidP="00F50DCD" w:rsidRDefault="00317DC9" w14:paraId="123458A5" w14:textId="6B3525C1">
      <w:pPr>
        <w:spacing w:before="240" w:after="240" w:line="240" w:lineRule="auto"/>
        <w:jc w:val="both"/>
        <w:rPr>
          <w:rFonts w:ascii="Calibri" w:hAnsi="Calibri" w:eastAsia="Georgia" w:cs="Calibri"/>
          <w:bCs/>
          <w:color w:val="000000" w:themeColor="text1"/>
        </w:rPr>
      </w:pPr>
      <w:r w:rsidRPr="00F93CE3">
        <w:rPr>
          <w:rFonts w:ascii="Calibri" w:hAnsi="Calibri" w:eastAsia="Georgia" w:cs="Calibri"/>
          <w:bCs/>
          <w:color w:val="000000" w:themeColor="text1"/>
        </w:rPr>
        <w:t xml:space="preserve">One recent example of a Debt-for-Nature swap involving guarantees is the 2023 transaction in Ecuador. The transaction included an $85million IDB guarantee and $656 million DFC political risk </w:t>
      </w:r>
      <w:r w:rsidRPr="00F93CE3" w:rsidR="00F93CE3">
        <w:rPr>
          <w:rFonts w:ascii="Calibri" w:hAnsi="Calibri" w:eastAsia="Georgia" w:cs="Calibri"/>
          <w:bCs/>
          <w:color w:val="000000" w:themeColor="text1"/>
        </w:rPr>
        <w:t>insurance and</w:t>
      </w:r>
      <w:r w:rsidRPr="00F93CE3">
        <w:rPr>
          <w:rFonts w:ascii="Calibri" w:hAnsi="Calibri" w:eastAsia="Georgia" w:cs="Calibri"/>
          <w:bCs/>
          <w:color w:val="000000" w:themeColor="text1"/>
        </w:rPr>
        <w:t xml:space="preserve"> was estimated to generate savings of $323 million to finance conservation activities in the Galapagos islands. It is notable for the use of guarantees, which can be a very cost-effective method to generate interest savings.</w:t>
      </w:r>
    </w:p>
    <w:p w:rsidRPr="006121A4" w:rsidR="00317DC9" w:rsidP="00F50DCD" w:rsidRDefault="00317DC9" w14:paraId="7D397A9E" w14:textId="77777777">
      <w:pPr>
        <w:spacing w:after="0" w:line="240" w:lineRule="auto"/>
        <w:rPr>
          <w:rFonts w:ascii="Calibri" w:hAnsi="Calibri" w:eastAsia="Times New Roman" w:cs="Calibri"/>
          <w:color w:val="000000" w:themeColor="text1"/>
        </w:rPr>
      </w:pPr>
    </w:p>
    <w:p w:rsidR="00DA4D18" w:rsidP="00F50DCD" w:rsidRDefault="00607152" w14:paraId="3EDBDA63" w14:textId="2485E8B4">
      <w:pPr>
        <w:keepNext/>
        <w:spacing w:after="0" w:line="240" w:lineRule="auto"/>
        <w:jc w:val="center"/>
      </w:pPr>
      <w:r w:rsidRPr="00607152">
        <w:rPr>
          <w:rFonts w:ascii="Calibri" w:hAnsi="Calibri" w:eastAsia="Times New Roman" w:cs="Calibri"/>
          <w:noProof/>
          <w:color w:val="000000" w:themeColor="text1"/>
        </w:rPr>
        <w:drawing>
          <wp:inline distT="0" distB="0" distL="0" distR="0" wp14:anchorId="3B09E9C6" wp14:editId="22E7DCB9">
            <wp:extent cx="3355451" cy="2864225"/>
            <wp:effectExtent l="0" t="0" r="0" b="0"/>
            <wp:docPr id="1721181232" name="Picture 1" descr="A diagram of a financia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81232" name="Picture 1" descr="A diagram of a financial system&#10;&#10;Description automatically generated"/>
                    <pic:cNvPicPr/>
                  </pic:nvPicPr>
                  <pic:blipFill>
                    <a:blip r:embed="rId17"/>
                    <a:stretch>
                      <a:fillRect/>
                    </a:stretch>
                  </pic:blipFill>
                  <pic:spPr>
                    <a:xfrm>
                      <a:off x="0" y="0"/>
                      <a:ext cx="3365776" cy="2873038"/>
                    </a:xfrm>
                    <a:prstGeom prst="rect">
                      <a:avLst/>
                    </a:prstGeom>
                  </pic:spPr>
                </pic:pic>
              </a:graphicData>
            </a:graphic>
          </wp:inline>
        </w:drawing>
      </w:r>
    </w:p>
    <w:p w:rsidRPr="00A860D0" w:rsidR="00317DC9" w:rsidP="00F50DCD" w:rsidRDefault="00DA4D18" w14:paraId="212206F2" w14:textId="3CEEA0A8">
      <w:pPr>
        <w:pStyle w:val="Caption"/>
        <w:jc w:val="center"/>
        <w:rPr>
          <w:rFonts w:ascii="Calibri" w:hAnsi="Calibri" w:cs="Calibri"/>
          <w:b/>
          <w:bCs/>
          <w:color w:val="000000" w:themeColor="text1"/>
          <w:sz w:val="22"/>
          <w:szCs w:val="22"/>
        </w:rPr>
      </w:pPr>
      <w:r w:rsidRPr="00A860D0">
        <w:rPr>
          <w:b/>
          <w:bCs/>
        </w:rPr>
        <w:t xml:space="preserve">Figure </w:t>
      </w:r>
      <w:r w:rsidRPr="00A860D0">
        <w:rPr>
          <w:b/>
          <w:bCs/>
        </w:rPr>
        <w:fldChar w:fldCharType="begin"/>
      </w:r>
      <w:r w:rsidRPr="00A860D0">
        <w:rPr>
          <w:b/>
          <w:bCs/>
        </w:rPr>
        <w:instrText xml:space="preserve"> SEQ Figure \* ARABIC </w:instrText>
      </w:r>
      <w:r w:rsidRPr="00A860D0">
        <w:rPr>
          <w:b/>
          <w:bCs/>
        </w:rPr>
        <w:fldChar w:fldCharType="separate"/>
      </w:r>
      <w:r w:rsidR="003E2059">
        <w:rPr>
          <w:b/>
          <w:bCs/>
          <w:noProof/>
        </w:rPr>
        <w:t>3</w:t>
      </w:r>
      <w:r w:rsidRPr="00A860D0">
        <w:rPr>
          <w:b/>
          <w:bCs/>
        </w:rPr>
        <w:fldChar w:fldCharType="end"/>
      </w:r>
      <w:r w:rsidRPr="00A860D0">
        <w:rPr>
          <w:b/>
          <w:bCs/>
        </w:rPr>
        <w:t>: Debt-for-nature swap in ecuador</w:t>
      </w:r>
    </w:p>
    <w:p w:rsidRPr="006121A4" w:rsidR="00317DC9" w:rsidP="00F50DCD" w:rsidRDefault="00317DC9" w14:paraId="20F2A75F" w14:textId="12F0959C">
      <w:pPr>
        <w:spacing w:line="240" w:lineRule="auto"/>
        <w:rPr>
          <w:rFonts w:ascii="Calibri" w:hAnsi="Calibri" w:eastAsia="Georgia" w:cs="Calibri"/>
          <w:b/>
          <w:bCs/>
          <w:smallCaps/>
          <w:color w:val="000000" w:themeColor="text1"/>
          <w:spacing w:val="15"/>
        </w:rPr>
      </w:pPr>
      <w:bookmarkStart w:name="_Toc175616583" w:id="4"/>
      <w:bookmarkStart w:name="_Toc1063842600" w:id="5"/>
    </w:p>
    <w:p w:rsidRPr="00DA4D18" w:rsidR="00317DC9" w:rsidP="00F50DCD" w:rsidRDefault="00317DC9" w14:paraId="180BB3CB" w14:textId="340CB3DD">
      <w:pPr>
        <w:pStyle w:val="Heading2"/>
        <w:spacing w:line="240" w:lineRule="auto"/>
        <w:rPr>
          <w:rFonts w:ascii="Calibri" w:hAnsi="Calibri" w:cs="Calibri"/>
          <w:b/>
          <w:bCs/>
          <w:color w:val="000000" w:themeColor="text1"/>
          <w:sz w:val="22"/>
          <w:szCs w:val="22"/>
        </w:rPr>
      </w:pPr>
      <w:r w:rsidRPr="00DA4D18">
        <w:rPr>
          <w:rFonts w:ascii="Calibri" w:hAnsi="Calibri" w:cs="Calibri"/>
          <w:b/>
          <w:bCs/>
          <w:color w:val="000000" w:themeColor="text1"/>
          <w:sz w:val="22"/>
          <w:szCs w:val="22"/>
        </w:rPr>
        <w:lastRenderedPageBreak/>
        <w:t>SLIDI</w:t>
      </w:r>
      <w:r w:rsidR="00DA4D18">
        <w:rPr>
          <w:rFonts w:ascii="Calibri" w:hAnsi="Calibri" w:cs="Calibri"/>
          <w:b/>
          <w:bCs/>
          <w:color w:val="000000" w:themeColor="text1"/>
          <w:sz w:val="22"/>
          <w:szCs w:val="22"/>
        </w:rPr>
        <w:t>S</w:t>
      </w:r>
      <w:r w:rsidRPr="00DA4D18">
        <w:rPr>
          <w:rFonts w:ascii="Calibri" w:hAnsi="Calibri" w:cs="Calibri"/>
          <w:b/>
          <w:bCs/>
          <w:color w:val="000000" w:themeColor="text1"/>
          <w:sz w:val="22"/>
          <w:szCs w:val="22"/>
        </w:rPr>
        <w:t xml:space="preserve">: </w:t>
      </w:r>
      <w:r w:rsidRPr="00DA4D18" w:rsidR="00DA4D18">
        <w:rPr>
          <w:rFonts w:ascii="Calibri" w:hAnsi="Calibri" w:cs="Calibri"/>
          <w:b/>
          <w:bCs/>
          <w:color w:val="000000" w:themeColor="text1"/>
          <w:sz w:val="22"/>
          <w:szCs w:val="22"/>
        </w:rPr>
        <w:t xml:space="preserve">CONCEPT AND IMPLEMENTATION </w:t>
      </w:r>
      <w:bookmarkEnd w:id="4"/>
      <w:bookmarkEnd w:id="5"/>
    </w:p>
    <w:p w:rsidRPr="00DA4D18" w:rsidR="00317DC9" w:rsidP="00F50DCD" w:rsidRDefault="00317DC9" w14:paraId="13FD22C7" w14:textId="77777777">
      <w:pPr>
        <w:pStyle w:val="Heading3"/>
        <w:spacing w:line="240" w:lineRule="auto"/>
        <w:rPr>
          <w:rFonts w:ascii="Calibri" w:hAnsi="Calibri" w:cs="Calibri"/>
          <w:b/>
          <w:bCs/>
          <w:i/>
          <w:iCs/>
          <w:color w:val="000000" w:themeColor="text1"/>
          <w:sz w:val="22"/>
          <w:szCs w:val="22"/>
        </w:rPr>
      </w:pPr>
      <w:r w:rsidRPr="00DA4D18">
        <w:rPr>
          <w:rFonts w:ascii="Calibri" w:hAnsi="Calibri" w:cs="Calibri"/>
          <w:b/>
          <w:bCs/>
          <w:i/>
          <w:iCs/>
          <w:color w:val="000000" w:themeColor="text1"/>
          <w:sz w:val="22"/>
          <w:szCs w:val="22"/>
        </w:rPr>
        <w:t>Concept</w:t>
      </w:r>
    </w:p>
    <w:p w:rsidRPr="003D2BB1" w:rsidR="00317DC9" w:rsidP="00F50DCD" w:rsidRDefault="00317DC9" w14:paraId="712BF053" w14:textId="0B72E86C">
      <w:pPr>
        <w:spacing w:before="240" w:after="240" w:line="240" w:lineRule="auto"/>
        <w:jc w:val="both"/>
        <w:rPr>
          <w:rFonts w:ascii="Calibri" w:hAnsi="Calibri" w:eastAsia="Georgia" w:cs="Calibri"/>
          <w:color w:val="000000" w:themeColor="text1"/>
        </w:rPr>
      </w:pPr>
      <w:r w:rsidRPr="003D2BB1">
        <w:rPr>
          <w:rFonts w:ascii="Calibri" w:hAnsi="Calibri" w:eastAsia="Georgia" w:cs="Calibri"/>
          <w:color w:val="000000" w:themeColor="text1"/>
        </w:rPr>
        <w:t>SLIDIs</w:t>
      </w:r>
      <w:r w:rsidR="00C46990">
        <w:rPr>
          <w:rFonts w:ascii="Calibri" w:hAnsi="Calibri" w:eastAsia="Georgia" w:cs="Calibri"/>
          <w:color w:val="000000" w:themeColor="text1"/>
        </w:rPr>
        <w:t xml:space="preserve"> </w:t>
      </w:r>
      <w:r w:rsidRPr="003D2BB1">
        <w:rPr>
          <w:rFonts w:ascii="Calibri" w:hAnsi="Calibri" w:eastAsia="Georgia" w:cs="Calibri"/>
          <w:color w:val="000000" w:themeColor="text1"/>
        </w:rPr>
        <w:t>offer a novel approach by providing fixed coupon payments to investors, separating private sector returns from sovereign incentives. The SLIDI structure, explained in detail below, de-links bond buyer returns from sustainability outcomes, instead tying development partner co-lending to KPI achievement. By aligning the interests of sovereigns, private investors, and development partners, SLIDIs create a more predictable and stable return for investors, while ensuring that the financing is directed toward meaningful climate outcomes. This model addresses the shortcomings of existing SLBs by offering a simpler and more transparent mechanism for linking financial returns to sustainability achievements.</w:t>
      </w:r>
    </w:p>
    <w:p w:rsidRPr="003D2BB1" w:rsidR="00317DC9" w:rsidP="00F50DCD" w:rsidRDefault="00317DC9" w14:paraId="3DAF9DA8" w14:textId="77777777">
      <w:pPr>
        <w:spacing w:before="240" w:after="240" w:line="240" w:lineRule="auto"/>
        <w:jc w:val="both"/>
        <w:rPr>
          <w:rFonts w:ascii="Calibri" w:hAnsi="Calibri" w:eastAsia="Georgia" w:cs="Calibri"/>
          <w:color w:val="000000" w:themeColor="text1"/>
        </w:rPr>
      </w:pPr>
      <w:r w:rsidRPr="003D2BB1">
        <w:rPr>
          <w:rFonts w:ascii="Calibri" w:hAnsi="Calibri" w:eastAsia="Georgia" w:cs="Calibri"/>
          <w:color w:val="000000" w:themeColor="text1"/>
        </w:rPr>
        <w:t>SLIDIs also could reduce</w:t>
      </w:r>
      <w:bookmarkStart w:name="_Toc175616585" w:id="6"/>
      <w:bookmarkStart w:name="_Toc544555826" w:id="7"/>
      <w:r w:rsidRPr="003D2BB1">
        <w:rPr>
          <w:rFonts w:ascii="Calibri" w:hAnsi="Calibri" w:eastAsia="Georgia" w:cs="Calibri"/>
          <w:color w:val="000000" w:themeColor="text1"/>
        </w:rPr>
        <w:t xml:space="preserve"> the cost of capital. The high cost of capital in developing countries is a major barrier to scaling up financing of renewable energy and other climate-related infrastructure projects. This challenge is driven by the perceived risks associated with investing in these regions. SLIDIs address this issue by incorporating de-risking mechanisms, such as financial guarantees and collateralization, that lower the overall cost of capital for these projects. By leveraging the credibility of multilateral development banks (MDBs) and other development partners, SLIDIs can reduce the risk premium associated with sustainable infrastructure investments in developing countries, making them more attractive to private investors. This cost efficiency is critical for enabling the large-scale deployment of renewable energy and other climate-related projects in developing countries.</w:t>
      </w:r>
    </w:p>
    <w:bookmarkEnd w:id="6"/>
    <w:bookmarkEnd w:id="7"/>
    <w:p w:rsidRPr="003D2BB1" w:rsidR="00317DC9" w:rsidP="00F50DCD" w:rsidRDefault="00317DC9" w14:paraId="15401977" w14:textId="77777777">
      <w:pPr>
        <w:spacing w:line="240" w:lineRule="auto"/>
        <w:rPr>
          <w:rFonts w:ascii="Calibri" w:hAnsi="Calibri" w:cs="Calibri"/>
          <w:color w:val="000000" w:themeColor="text1"/>
        </w:rPr>
      </w:pPr>
      <w:r w:rsidRPr="003D2BB1">
        <w:rPr>
          <w:rFonts w:ascii="Calibri" w:hAnsi="Calibri" w:cs="Calibri"/>
          <w:color w:val="000000" w:themeColor="text1"/>
        </w:rPr>
        <w:t xml:space="preserve">In the next sections, we outline two main implementation models for SLIDIs: side payments and trusted intermediaries.  </w:t>
      </w:r>
    </w:p>
    <w:p w:rsidRPr="003D2BB1" w:rsidR="00317DC9" w:rsidP="00F50DCD" w:rsidRDefault="00317DC9" w14:paraId="571D9F21" w14:textId="0CDF110E">
      <w:pPr>
        <w:pStyle w:val="Heading3"/>
        <w:spacing w:line="240" w:lineRule="auto"/>
        <w:rPr>
          <w:rFonts w:ascii="Calibri" w:hAnsi="Calibri" w:cs="Calibri"/>
          <w:b/>
          <w:bCs/>
          <w:i/>
          <w:iCs/>
          <w:color w:val="000000" w:themeColor="text1"/>
          <w:sz w:val="22"/>
          <w:szCs w:val="22"/>
        </w:rPr>
      </w:pPr>
      <w:r w:rsidRPr="003D2BB1">
        <w:rPr>
          <w:rFonts w:ascii="Calibri" w:hAnsi="Calibri" w:cs="Calibri"/>
          <w:b/>
          <w:bCs/>
          <w:i/>
          <w:iCs/>
          <w:color w:val="000000" w:themeColor="text1"/>
          <w:sz w:val="22"/>
          <w:szCs w:val="22"/>
        </w:rPr>
        <w:t xml:space="preserve">Option 1: Development Bank/Trust </w:t>
      </w:r>
      <w:r w:rsidR="003D2BB1">
        <w:rPr>
          <w:rFonts w:ascii="Calibri" w:hAnsi="Calibri" w:cs="Calibri"/>
          <w:b/>
          <w:bCs/>
          <w:i/>
          <w:iCs/>
          <w:color w:val="000000" w:themeColor="text1"/>
          <w:sz w:val="22"/>
          <w:szCs w:val="22"/>
        </w:rPr>
        <w:t>F</w:t>
      </w:r>
      <w:r w:rsidRPr="003D2BB1">
        <w:rPr>
          <w:rFonts w:ascii="Calibri" w:hAnsi="Calibri" w:cs="Calibri"/>
          <w:b/>
          <w:bCs/>
          <w:i/>
          <w:iCs/>
          <w:color w:val="000000" w:themeColor="text1"/>
          <w:sz w:val="22"/>
          <w:szCs w:val="22"/>
        </w:rPr>
        <w:t>und Side Payments</w:t>
      </w:r>
    </w:p>
    <w:p w:rsidRPr="006121A4" w:rsidR="00317DC9" w:rsidP="00F50DCD" w:rsidRDefault="00317DC9" w14:paraId="266E97F8" w14:textId="5976DEC3">
      <w:pPr>
        <w:spacing w:before="240" w:after="24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One proposed model for implementing SLIDIs involves side payments managed by the </w:t>
      </w:r>
      <w:r w:rsidR="00166BC8">
        <w:rPr>
          <w:rFonts w:ascii="Calibri" w:hAnsi="Calibri" w:eastAsia="Georgia" w:cs="Calibri"/>
          <w:color w:val="000000" w:themeColor="text1"/>
        </w:rPr>
        <w:t>WB</w:t>
      </w:r>
      <w:r w:rsidRPr="006121A4">
        <w:rPr>
          <w:rFonts w:ascii="Calibri" w:hAnsi="Calibri" w:eastAsia="Georgia" w:cs="Calibri"/>
          <w:color w:val="000000" w:themeColor="text1"/>
        </w:rPr>
        <w:t xml:space="preserve"> or other MLFIs. Under this model, a special-purpose fund disburses subsidies to sovereigns upon their achieving KPI targets previously specified in approved sustainability-linked bonds which those sovereigns have issued directly to financial markets. This reduces the issuing sovereigns’ financial burden and incentivizes and rewards progress on agreed sustainability priorities, e.g., climate action. These subsidies could be funded by a trust fund managed by the </w:t>
      </w:r>
      <w:r w:rsidR="00166BC8">
        <w:rPr>
          <w:rFonts w:ascii="Calibri" w:hAnsi="Calibri" w:eastAsia="Georgia" w:cs="Calibri"/>
          <w:color w:val="000000" w:themeColor="text1"/>
        </w:rPr>
        <w:t>WB</w:t>
      </w:r>
      <w:r w:rsidRPr="006121A4">
        <w:rPr>
          <w:rFonts w:ascii="Calibri" w:hAnsi="Calibri" w:eastAsia="Georgia" w:cs="Calibri"/>
          <w:color w:val="000000" w:themeColor="text1"/>
        </w:rPr>
        <w:t xml:space="preserve"> or another MLFI, with funds contributed by highly developed countries or carbon markets. Bond payments could</w:t>
      </w:r>
      <w:r w:rsidR="00537A5E">
        <w:rPr>
          <w:rFonts w:ascii="Calibri" w:hAnsi="Calibri" w:eastAsia="Georgia" w:cs="Calibri"/>
          <w:color w:val="000000" w:themeColor="text1"/>
        </w:rPr>
        <w:t xml:space="preserve"> be</w:t>
      </w:r>
      <w:r w:rsidRPr="006121A4">
        <w:rPr>
          <w:rFonts w:ascii="Calibri" w:hAnsi="Calibri" w:eastAsia="Georgia" w:cs="Calibri"/>
          <w:color w:val="000000" w:themeColor="text1"/>
        </w:rPr>
        <w:t xml:space="preserve"> tied to both KPI achievement and contingent on a high level of private sector participation in bond purchases. This approach provides a direct financial incentive for governments to meet their climate targets, whilst ensuring that investors receive a stable return. Bond buyers are not exposed to any ‘step-up’ or ‘step-down’ in the coupon rate; their coupon rate is fixed. </w:t>
      </w:r>
    </w:p>
    <w:p w:rsidR="003D2BB1" w:rsidP="00F50DCD" w:rsidRDefault="00C61C19" w14:paraId="644A6DD5" w14:textId="391CBE83">
      <w:pPr>
        <w:keepNext/>
        <w:spacing w:after="0" w:line="240" w:lineRule="auto"/>
        <w:jc w:val="center"/>
      </w:pPr>
      <w:r w:rsidRPr="00C61C19">
        <w:lastRenderedPageBreak/>
        <w:drawing>
          <wp:inline distT="0" distB="0" distL="0" distR="0" wp14:anchorId="1EC57A2A" wp14:editId="54D315F6">
            <wp:extent cx="4105432" cy="3220278"/>
            <wp:effectExtent l="0" t="0" r="0" b="0"/>
            <wp:docPr id="177510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03003" name=""/>
                    <pic:cNvPicPr/>
                  </pic:nvPicPr>
                  <pic:blipFill>
                    <a:blip r:embed="rId18"/>
                    <a:stretch>
                      <a:fillRect/>
                    </a:stretch>
                  </pic:blipFill>
                  <pic:spPr>
                    <a:xfrm>
                      <a:off x="0" y="0"/>
                      <a:ext cx="4111335" cy="3224908"/>
                    </a:xfrm>
                    <a:prstGeom prst="rect">
                      <a:avLst/>
                    </a:prstGeom>
                  </pic:spPr>
                </pic:pic>
              </a:graphicData>
            </a:graphic>
          </wp:inline>
        </w:drawing>
      </w:r>
    </w:p>
    <w:p w:rsidRPr="00A860D0" w:rsidR="00317DC9" w:rsidP="00F50DCD" w:rsidRDefault="003D2BB1" w14:paraId="7BC8DCE8" w14:textId="0611172D">
      <w:pPr>
        <w:pStyle w:val="Caption"/>
        <w:jc w:val="center"/>
        <w:rPr>
          <w:rFonts w:ascii="Calibri" w:hAnsi="Calibri" w:cs="Calibri"/>
          <w:b/>
          <w:bCs/>
          <w:color w:val="000000" w:themeColor="text1"/>
          <w:sz w:val="22"/>
          <w:szCs w:val="22"/>
        </w:rPr>
      </w:pPr>
      <w:r w:rsidRPr="00A860D0">
        <w:rPr>
          <w:b/>
          <w:bCs/>
        </w:rPr>
        <w:t xml:space="preserve">Figure </w:t>
      </w:r>
      <w:r w:rsidRPr="00A860D0">
        <w:rPr>
          <w:b/>
          <w:bCs/>
        </w:rPr>
        <w:fldChar w:fldCharType="begin"/>
      </w:r>
      <w:r w:rsidRPr="00A860D0">
        <w:rPr>
          <w:b/>
          <w:bCs/>
        </w:rPr>
        <w:instrText xml:space="preserve"> SEQ Figure \* ARABIC </w:instrText>
      </w:r>
      <w:r w:rsidRPr="00A860D0">
        <w:rPr>
          <w:b/>
          <w:bCs/>
        </w:rPr>
        <w:fldChar w:fldCharType="separate"/>
      </w:r>
      <w:r w:rsidR="003E2059">
        <w:rPr>
          <w:b/>
          <w:bCs/>
          <w:noProof/>
        </w:rPr>
        <w:t>4</w:t>
      </w:r>
      <w:r w:rsidRPr="00A860D0">
        <w:rPr>
          <w:b/>
          <w:bCs/>
        </w:rPr>
        <w:fldChar w:fldCharType="end"/>
      </w:r>
      <w:r w:rsidRPr="00A860D0">
        <w:rPr>
          <w:b/>
          <w:bCs/>
        </w:rPr>
        <w:t>: SIDE PAYMENT OPTIONS FOR SLIDIS</w:t>
      </w:r>
    </w:p>
    <w:p w:rsidRPr="003D2BB1" w:rsidR="00317DC9" w:rsidP="00F50DCD" w:rsidRDefault="00317DC9" w14:paraId="3105DE8E" w14:textId="77777777">
      <w:pPr>
        <w:pStyle w:val="Heading3"/>
        <w:spacing w:line="240" w:lineRule="auto"/>
        <w:rPr>
          <w:rFonts w:ascii="Calibri" w:hAnsi="Calibri" w:cs="Calibri"/>
          <w:b/>
          <w:bCs/>
          <w:i/>
          <w:iCs/>
          <w:color w:val="000000" w:themeColor="text1"/>
          <w:sz w:val="22"/>
          <w:szCs w:val="22"/>
        </w:rPr>
      </w:pPr>
      <w:r w:rsidRPr="003D2BB1">
        <w:rPr>
          <w:rFonts w:ascii="Calibri" w:hAnsi="Calibri" w:cs="Calibri"/>
          <w:b/>
          <w:bCs/>
          <w:i/>
          <w:iCs/>
          <w:color w:val="000000" w:themeColor="text1"/>
          <w:sz w:val="22"/>
          <w:szCs w:val="22"/>
        </w:rPr>
        <w:t>Option 2: Trusted Intermediary</w:t>
      </w:r>
    </w:p>
    <w:p w:rsidRPr="003D2BB1" w:rsidR="00317DC9" w:rsidP="00F50DCD" w:rsidRDefault="00537A5E" w14:paraId="4937B8AA" w14:textId="518E7283">
      <w:pPr>
        <w:spacing w:before="120" w:after="240" w:line="240" w:lineRule="auto"/>
        <w:jc w:val="both"/>
        <w:rPr>
          <w:rFonts w:ascii="Calibri" w:hAnsi="Calibri" w:eastAsia="Georgia" w:cs="Calibri"/>
          <w:bCs/>
          <w:color w:val="000000" w:themeColor="text1"/>
        </w:rPr>
      </w:pPr>
      <w:r w:rsidRPr="00537A5E">
        <w:rPr>
          <w:rFonts w:ascii="Calibri" w:hAnsi="Calibri" w:eastAsia="Georgia" w:cs="Calibri"/>
          <w:bCs/>
          <w:color w:val="000000" w:themeColor="text1"/>
        </w:rPr>
        <w:t xml:space="preserve">Another implementation model involves using a trusted intermediary institution to raise money in bond markets through fixed-coupon de-risked sustainable development bonds and then on-lend it to developing-country sovereigns via </w:t>
      </w:r>
      <w:r>
        <w:rPr>
          <w:rFonts w:ascii="Calibri" w:hAnsi="Calibri" w:eastAsia="Georgia" w:cs="Calibri"/>
          <w:bCs/>
          <w:color w:val="000000" w:themeColor="text1"/>
        </w:rPr>
        <w:t>SLLs</w:t>
      </w:r>
      <w:r w:rsidRPr="00537A5E">
        <w:rPr>
          <w:rFonts w:ascii="Calibri" w:hAnsi="Calibri" w:eastAsia="Georgia" w:cs="Calibri"/>
          <w:bCs/>
          <w:color w:val="000000" w:themeColor="text1"/>
        </w:rPr>
        <w:t xml:space="preserve">. The intermediary also manages disbursements of rewards to sovereign borrowers, contingent on verified achievement of target KPIs specified in those </w:t>
      </w:r>
      <w:r>
        <w:rPr>
          <w:rFonts w:ascii="Calibri" w:hAnsi="Calibri" w:eastAsia="Georgia" w:cs="Calibri"/>
          <w:bCs/>
          <w:color w:val="000000" w:themeColor="text1"/>
        </w:rPr>
        <w:t>SLLs</w:t>
      </w:r>
      <w:r w:rsidRPr="00537A5E">
        <w:rPr>
          <w:rFonts w:ascii="Calibri" w:hAnsi="Calibri" w:eastAsia="Georgia" w:cs="Calibri"/>
          <w:bCs/>
          <w:color w:val="000000" w:themeColor="text1"/>
        </w:rPr>
        <w:t>.</w:t>
      </w:r>
      <w:r>
        <w:rPr>
          <w:rFonts w:ascii="Calibri" w:hAnsi="Calibri" w:eastAsia="Georgia" w:cs="Calibri"/>
          <w:bCs/>
          <w:color w:val="000000" w:themeColor="text1"/>
        </w:rPr>
        <w:t xml:space="preserve"> </w:t>
      </w:r>
      <w:r w:rsidRPr="003D2BB1" w:rsidR="00317DC9">
        <w:rPr>
          <w:rFonts w:ascii="Calibri" w:hAnsi="Calibri" w:eastAsia="Georgia" w:cs="Calibri"/>
          <w:bCs/>
          <w:color w:val="000000" w:themeColor="text1"/>
        </w:rPr>
        <w:t>This model enhances investor confidence by maintaining a low-risk rating and a fixed coupon rate for the bonds, broadening the appeal of SLIDIs to a wider range of private investors. By acting as a neutral third party, the intermediary institution (‘SPV or WB’, in Figure 3 below) ensures transparency and accountability in the issuance and management of the bonds and the measuring, reporting, and verification (MRV) of the performance of developing-country sovereigns in meeting sustainability-linked target KPIs. The intermediary institution would likely partner with leading international development agencies like Germany’s GiZ or France’s AFD for purposes of MRV of target KPIs, and for technical assistance to developing countries in meeting KPIs.</w:t>
      </w:r>
    </w:p>
    <w:p w:rsidR="003D2BB1" w:rsidP="00F50DCD" w:rsidRDefault="00317DC9" w14:paraId="2831B163" w14:textId="77777777">
      <w:pPr>
        <w:keepNext/>
        <w:spacing w:before="240" w:after="240" w:line="240" w:lineRule="auto"/>
        <w:jc w:val="center"/>
      </w:pPr>
      <w:r w:rsidRPr="006121A4">
        <w:rPr>
          <w:rFonts w:ascii="Calibri" w:hAnsi="Calibri" w:eastAsia="Times New Roman" w:cs="Calibri"/>
          <w:noProof/>
          <w:color w:val="000000" w:themeColor="text1"/>
        </w:rPr>
        <w:lastRenderedPageBreak/>
        <w:drawing>
          <wp:inline distT="0" distB="0" distL="0" distR="0" wp14:anchorId="58752B8A" wp14:editId="21728B75">
            <wp:extent cx="4408041" cy="2647950"/>
            <wp:effectExtent l="0" t="0" r="0" b="0"/>
            <wp:docPr id="13883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9301"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0097" cy="2649185"/>
                    </a:xfrm>
                    <a:prstGeom prst="rect">
                      <a:avLst/>
                    </a:prstGeom>
                    <a:noFill/>
                    <a:ln>
                      <a:noFill/>
                    </a:ln>
                  </pic:spPr>
                </pic:pic>
              </a:graphicData>
            </a:graphic>
          </wp:inline>
        </w:drawing>
      </w:r>
    </w:p>
    <w:p w:rsidRPr="00A860D0" w:rsidR="00317DC9" w:rsidP="00F50DCD" w:rsidRDefault="003D2BB1" w14:paraId="79B42BBE" w14:textId="7ABA2B42">
      <w:pPr>
        <w:pStyle w:val="Caption"/>
        <w:jc w:val="center"/>
        <w:rPr>
          <w:rFonts w:ascii="Calibri" w:hAnsi="Calibri" w:cs="Calibri"/>
          <w:b/>
          <w:bCs/>
          <w:color w:val="000000" w:themeColor="text1"/>
          <w:sz w:val="22"/>
          <w:szCs w:val="22"/>
        </w:rPr>
      </w:pPr>
      <w:r w:rsidRPr="00A860D0">
        <w:rPr>
          <w:b/>
          <w:bCs/>
        </w:rPr>
        <w:t xml:space="preserve">Figure </w:t>
      </w:r>
      <w:r w:rsidRPr="00A860D0">
        <w:rPr>
          <w:b/>
          <w:bCs/>
        </w:rPr>
        <w:fldChar w:fldCharType="begin"/>
      </w:r>
      <w:r w:rsidRPr="00A860D0">
        <w:rPr>
          <w:b/>
          <w:bCs/>
        </w:rPr>
        <w:instrText xml:space="preserve"> SEQ Figure \* ARABIC </w:instrText>
      </w:r>
      <w:r w:rsidRPr="00A860D0">
        <w:rPr>
          <w:b/>
          <w:bCs/>
        </w:rPr>
        <w:fldChar w:fldCharType="separate"/>
      </w:r>
      <w:r w:rsidR="003E2059">
        <w:rPr>
          <w:b/>
          <w:bCs/>
          <w:noProof/>
        </w:rPr>
        <w:t>5</w:t>
      </w:r>
      <w:r w:rsidRPr="00A860D0">
        <w:rPr>
          <w:b/>
          <w:bCs/>
        </w:rPr>
        <w:fldChar w:fldCharType="end"/>
      </w:r>
      <w:r w:rsidRPr="00A860D0">
        <w:rPr>
          <w:b/>
          <w:bCs/>
        </w:rPr>
        <w:t>: Trusted intemediary option for slidis (Example)</w:t>
      </w:r>
    </w:p>
    <w:p w:rsidRPr="003D2BB1" w:rsidR="00317DC9" w:rsidP="00F50DCD" w:rsidRDefault="00317DC9" w14:paraId="492E90C9" w14:textId="4139D3B5">
      <w:pPr>
        <w:spacing w:before="240" w:after="240" w:line="240" w:lineRule="auto"/>
        <w:jc w:val="both"/>
        <w:rPr>
          <w:rFonts w:ascii="Calibri" w:hAnsi="Calibri" w:eastAsia="Georgia" w:cs="Calibri"/>
          <w:bCs/>
          <w:color w:val="000000" w:themeColor="text1"/>
        </w:rPr>
      </w:pPr>
      <w:r w:rsidRPr="003D2BB1">
        <w:rPr>
          <w:rFonts w:ascii="Calibri" w:hAnsi="Calibri" w:eastAsia="Georgia" w:cs="Calibri"/>
          <w:bCs/>
          <w:color w:val="000000" w:themeColor="text1"/>
        </w:rPr>
        <w:t xml:space="preserve">A donor-country-derisked ‘trusted intermediary,’ such as a special purpose vehicle managed by the </w:t>
      </w:r>
      <w:r w:rsidR="00166BC8">
        <w:rPr>
          <w:rFonts w:ascii="Calibri" w:hAnsi="Calibri" w:eastAsia="Georgia" w:cs="Calibri"/>
          <w:bCs/>
          <w:color w:val="000000" w:themeColor="text1"/>
        </w:rPr>
        <w:t>WB</w:t>
      </w:r>
      <w:r w:rsidRPr="003D2BB1">
        <w:rPr>
          <w:rFonts w:ascii="Calibri" w:hAnsi="Calibri" w:eastAsia="Georgia" w:cs="Calibri"/>
          <w:bCs/>
          <w:color w:val="000000" w:themeColor="text1"/>
        </w:rPr>
        <w:t xml:space="preserve"> or another MLDB, can raise money from institutional investors at low interest rates by issuing fixed-coupon sustainable development bonds or climate bonds backed (guaranteed and de-risked) by a coalition of willing highly developed country sovereigns.   </w:t>
      </w:r>
    </w:p>
    <w:p w:rsidRPr="003D2BB1" w:rsidR="00317DC9" w:rsidP="00F50DCD" w:rsidRDefault="00317DC9" w14:paraId="1A753DFF" w14:textId="0559AB7A">
      <w:pPr>
        <w:spacing w:before="240" w:after="240" w:line="240" w:lineRule="auto"/>
        <w:jc w:val="both"/>
        <w:rPr>
          <w:rFonts w:ascii="Calibri" w:hAnsi="Calibri" w:eastAsia="Georgia" w:cs="Calibri"/>
          <w:bCs/>
          <w:color w:val="000000" w:themeColor="text1"/>
        </w:rPr>
      </w:pPr>
      <w:r w:rsidRPr="003D2BB1">
        <w:rPr>
          <w:rFonts w:ascii="Calibri" w:hAnsi="Calibri" w:eastAsia="Georgia" w:cs="Calibri"/>
          <w:bCs/>
          <w:color w:val="000000" w:themeColor="text1"/>
        </w:rPr>
        <w:t xml:space="preserve">The intermediary fund subsequently on-lends the money it has raised to public or private borrowers in developing countries at somewhat higher interest rates. This on-lending takes the form of SLLs whose nominal rate is fixed over the loan term. Trusted development-agency partners, e.g., Germany’s GiZ or France’s AFD,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 </w:t>
      </w:r>
    </w:p>
    <w:p w:rsidRPr="003D2BB1" w:rsidR="00317DC9" w:rsidP="00F50DCD" w:rsidRDefault="00317DC9" w14:paraId="1ED82459" w14:textId="449A18D0">
      <w:pPr>
        <w:spacing w:before="240" w:after="240" w:line="240" w:lineRule="auto"/>
        <w:jc w:val="both"/>
        <w:rPr>
          <w:rFonts w:ascii="Calibri" w:hAnsi="Calibri" w:eastAsia="Georgia" w:cs="Calibri"/>
          <w:bCs/>
          <w:color w:val="000000" w:themeColor="text1"/>
        </w:rPr>
      </w:pPr>
      <w:r w:rsidRPr="003D2BB1">
        <w:rPr>
          <w:rFonts w:ascii="Calibri" w:hAnsi="Calibri" w:eastAsia="Georgia" w:cs="Calibri"/>
          <w:bCs/>
          <w:color w:val="000000" w:themeColor="text1"/>
        </w:rPr>
        <w:t xml:space="preserve">The trusted-intermediary-fund model enables a significant spread between the fund’s cost of money and the interest rates on loans charged by that fund to developing-country borrowers. With this approach, the intermediary fund should be financially self-sustaining. Developed-country sovereigns would co-guarantee the fund’s bond issuances and thus be at risk of absorbing losses, but thanks to the spread, barring miscalculations or global crises, the portfolio of loans made by the intermediary fund should turn a modest profit. </w:t>
      </w:r>
      <w:r w:rsidRPr="00367AE5" w:rsidR="00367AE5">
        <w:rPr>
          <w:rFonts w:ascii="Calibri" w:hAnsi="Calibri" w:eastAsia="Georgia" w:cs="Calibri"/>
          <w:bCs/>
          <w:color w:val="000000" w:themeColor="text1"/>
        </w:rPr>
        <w:t>The intermediary fund would operate as a specialized development bank. By issuing bonds with low coupon rates—thanks to co-guarantees from wealthy developed-country sovereigns—it could offer developing-country sovereigns a lower overall cost of financing compared to a model where these countries issue bonds independently.</w:t>
      </w:r>
    </w:p>
    <w:p w:rsidRPr="003D2BB1" w:rsidR="00317DC9" w:rsidP="00F50DCD" w:rsidRDefault="00317DC9" w14:paraId="64F73376" w14:textId="77777777">
      <w:pPr>
        <w:spacing w:before="240" w:after="240" w:line="240" w:lineRule="auto"/>
        <w:jc w:val="both"/>
        <w:rPr>
          <w:rFonts w:ascii="Calibri" w:hAnsi="Calibri" w:eastAsia="Georgia" w:cs="Calibri"/>
          <w:bCs/>
          <w:color w:val="000000" w:themeColor="text1"/>
        </w:rPr>
      </w:pPr>
      <w:r w:rsidRPr="003D2BB1">
        <w:rPr>
          <w:rFonts w:ascii="Calibri" w:hAnsi="Calibri" w:eastAsia="Georgia" w:cs="Calibri"/>
          <w:bCs/>
          <w:color w:val="000000" w:themeColor="text1"/>
        </w:rPr>
        <w:t>Lending intermediaries such as regional development banks already reduce credit risk and help developing countries overcome debt sustainability constraints by providing an additional layer of risk management. Such intermediaries can facilitate the flow of funds and ensure that sustainability-linked bonds and loans are structured in a way that maximizes their impact (Bouzidi and Papaioannou, 2021). The involvement of lending intermediaries likewise enhances the scalability of SLIDIs, making them a viable option for a broad range of countries and projects.</w:t>
      </w:r>
    </w:p>
    <w:p w:rsidRPr="00855332" w:rsidR="00317DC9" w:rsidP="00F50DCD" w:rsidRDefault="00317DC9" w14:paraId="7A7E1A7E" w14:textId="77777777">
      <w:pPr>
        <w:pStyle w:val="Heading2"/>
        <w:spacing w:line="240" w:lineRule="auto"/>
        <w:rPr>
          <w:rFonts w:ascii="Calibri" w:hAnsi="Calibri" w:cs="Calibri"/>
          <w:b/>
          <w:bCs/>
          <w:i/>
          <w:iCs/>
          <w:color w:val="000000" w:themeColor="text1"/>
          <w:sz w:val="22"/>
          <w:szCs w:val="22"/>
        </w:rPr>
      </w:pPr>
      <w:r w:rsidRPr="00855332">
        <w:rPr>
          <w:rFonts w:ascii="Calibri" w:hAnsi="Calibri" w:cs="Calibri"/>
          <w:b/>
          <w:bCs/>
          <w:i/>
          <w:iCs/>
          <w:color w:val="000000" w:themeColor="text1"/>
          <w:sz w:val="22"/>
          <w:szCs w:val="22"/>
        </w:rPr>
        <w:t>Advantages of SLIDIs</w:t>
      </w:r>
    </w:p>
    <w:p w:rsidRPr="00855332" w:rsidR="00317DC9" w:rsidP="00F50DCD" w:rsidRDefault="00317DC9" w14:paraId="52CB51CD" w14:textId="77777777">
      <w:pPr>
        <w:spacing w:line="240" w:lineRule="auto"/>
        <w:jc w:val="both"/>
        <w:rPr>
          <w:rFonts w:ascii="Calibri" w:hAnsi="Calibri" w:cs="Calibri"/>
          <w:bCs/>
          <w:color w:val="000000" w:themeColor="text1"/>
        </w:rPr>
      </w:pPr>
      <w:r w:rsidRPr="00855332">
        <w:rPr>
          <w:rFonts w:ascii="Calibri" w:hAnsi="Calibri" w:cs="Calibri"/>
          <w:bCs/>
          <w:color w:val="000000" w:themeColor="text1"/>
        </w:rPr>
        <w:t xml:space="preserve">SLIDIs offer a pathway to mobilize additional resources by aligning the interests of developing-country governments with the achievement of specific climate and sustainable development goals. This </w:t>
      </w:r>
      <w:r w:rsidRPr="00855332">
        <w:rPr>
          <w:rFonts w:ascii="Calibri" w:hAnsi="Calibri" w:cs="Calibri"/>
          <w:bCs/>
          <w:color w:val="000000" w:themeColor="text1"/>
        </w:rPr>
        <w:lastRenderedPageBreak/>
        <w:t>alignment is achieved by tying financial rewards to the successful implementation of target KPIs, thereby creating a clear incentive for both public and private sector participation in specified sustainable development and climate-related investments. By bridging the gap between needed and available resources, SLIDIs can play a critical role in advancing global climate goals.</w:t>
      </w:r>
    </w:p>
    <w:p w:rsidRPr="00855332" w:rsidR="00317DC9" w:rsidP="00F50DCD" w:rsidRDefault="00317DC9" w14:paraId="5D0E1364" w14:textId="77777777">
      <w:pPr>
        <w:spacing w:line="240" w:lineRule="auto"/>
        <w:jc w:val="both"/>
        <w:rPr>
          <w:rFonts w:ascii="Calibri" w:hAnsi="Calibri" w:cs="Calibri"/>
          <w:bCs/>
          <w:color w:val="000000" w:themeColor="text1"/>
        </w:rPr>
      </w:pPr>
      <w:r w:rsidRPr="00855332">
        <w:rPr>
          <w:rFonts w:ascii="Calibri" w:hAnsi="Calibri" w:cs="Calibri"/>
          <w:bCs/>
          <w:color w:val="000000" w:themeColor="text1"/>
        </w:rPr>
        <w:t>The introduction of climate-KPI-linked SLIDIs, which offer fixed returns and are backed by robust de-risking mechanisms, provides a potential solution to the challenge of attracting private capital for climate finance in developing countries while managing country risk. By reducing perceived financial risk and offering predictable returns, climate-related SLIDIs backed by highly developed sovereigns can help alleviate the financial constraints faced by developing countries, including in relation to the development of non-fossil energy infrastructure.</w:t>
      </w:r>
    </w:p>
    <w:p w:rsidRPr="00855332" w:rsidR="00317DC9" w:rsidP="00F50DCD" w:rsidRDefault="00855332" w14:paraId="000ACF14" w14:textId="4D10F8AA">
      <w:pPr>
        <w:pStyle w:val="Heading2"/>
        <w:spacing w:line="240" w:lineRule="auto"/>
        <w:rPr>
          <w:rFonts w:ascii="Calibri" w:hAnsi="Calibri" w:cs="Calibri"/>
          <w:b/>
          <w:bCs/>
          <w:color w:val="000000" w:themeColor="text1"/>
          <w:sz w:val="22"/>
          <w:szCs w:val="22"/>
        </w:rPr>
      </w:pPr>
      <w:r w:rsidRPr="00855332">
        <w:rPr>
          <w:rFonts w:ascii="Calibri" w:hAnsi="Calibri" w:cs="Calibri"/>
          <w:b/>
          <w:bCs/>
          <w:color w:val="000000" w:themeColor="text1"/>
          <w:sz w:val="22"/>
          <w:szCs w:val="22"/>
        </w:rPr>
        <w:t>RISK MANAGEMENT</w:t>
      </w:r>
    </w:p>
    <w:p w:rsidRPr="00855332" w:rsidR="00317DC9" w:rsidP="00F50DCD" w:rsidRDefault="00317DC9" w14:paraId="39B6ED62" w14:textId="77777777">
      <w:pPr>
        <w:pStyle w:val="Heading3"/>
        <w:spacing w:line="240" w:lineRule="auto"/>
        <w:rPr>
          <w:rFonts w:ascii="Calibri" w:hAnsi="Calibri" w:cs="Calibri"/>
          <w:b/>
          <w:bCs/>
          <w:i/>
          <w:iCs/>
          <w:color w:val="000000" w:themeColor="text1"/>
          <w:sz w:val="22"/>
          <w:szCs w:val="22"/>
        </w:rPr>
      </w:pPr>
      <w:r w:rsidRPr="00855332">
        <w:rPr>
          <w:rFonts w:ascii="Calibri" w:hAnsi="Calibri" w:cs="Calibri"/>
          <w:b/>
          <w:bCs/>
          <w:i/>
          <w:iCs/>
          <w:color w:val="000000" w:themeColor="text1"/>
          <w:sz w:val="22"/>
          <w:szCs w:val="22"/>
        </w:rPr>
        <w:t>Managing Bond Payment Default Risks</w:t>
      </w:r>
    </w:p>
    <w:p w:rsidRPr="00855332" w:rsidR="00317DC9" w:rsidP="00F50DCD" w:rsidRDefault="00317DC9" w14:paraId="39BDAE82" w14:textId="53B5782E">
      <w:pPr>
        <w:spacing w:before="240" w:after="240" w:line="240" w:lineRule="auto"/>
        <w:jc w:val="both"/>
        <w:rPr>
          <w:rFonts w:ascii="Calibri" w:hAnsi="Calibri" w:cs="Calibri"/>
          <w:bCs/>
          <w:color w:val="000000" w:themeColor="text1"/>
        </w:rPr>
      </w:pPr>
      <w:r w:rsidRPr="00855332">
        <w:rPr>
          <w:rFonts w:ascii="Calibri" w:hAnsi="Calibri" w:cs="Calibri"/>
          <w:bCs/>
          <w:color w:val="000000" w:themeColor="text1"/>
        </w:rPr>
        <w:t xml:space="preserve">Each implementation model must account for the risk of default, assessing whether the structure reduces the likelihood of default and how investors can be protected. </w:t>
      </w:r>
      <w:r w:rsidRPr="00855332">
        <w:rPr>
          <w:rFonts w:ascii="Calibri" w:hAnsi="Calibri" w:eastAsia="Georgia" w:cs="Calibri"/>
          <w:bCs/>
          <w:color w:val="000000" w:themeColor="text1"/>
        </w:rPr>
        <w:t xml:space="preserve">SLIDIs, by design, incorporate de-risking mechanisms that align the interests of all stakeholders, thereby minimizing the risk of default on bonds and providing incentives for meeting agreed sustainability-linked target KPIs. These de-risking mechanisms, i.e., financial guarantees and collateralization, provide a safety net for investors and enhance the credibility of SLIDIs, making them a viable option for mobilizing private capital in developing countries. The next section explores an additional de-risking mechanism: participation of institutions like the </w:t>
      </w:r>
      <w:r w:rsidR="00166BC8">
        <w:rPr>
          <w:rFonts w:ascii="Calibri" w:hAnsi="Calibri" w:eastAsia="Georgia" w:cs="Calibri"/>
          <w:bCs/>
          <w:color w:val="000000" w:themeColor="text1"/>
        </w:rPr>
        <w:t>WB</w:t>
      </w:r>
      <w:r w:rsidRPr="00855332">
        <w:rPr>
          <w:rFonts w:ascii="Calibri" w:hAnsi="Calibri" w:eastAsia="Georgia" w:cs="Calibri"/>
          <w:bCs/>
          <w:color w:val="000000" w:themeColor="text1"/>
        </w:rPr>
        <w:t xml:space="preserve"> or other development banks which have preferred creditor status in buying approved bonds issued under a SLIDI program.</w:t>
      </w:r>
    </w:p>
    <w:p w:rsidRPr="00CA355C" w:rsidR="00317DC9" w:rsidP="00F50DCD" w:rsidRDefault="00317DC9" w14:paraId="3CDC738A" w14:textId="77777777">
      <w:pPr>
        <w:pStyle w:val="Heading3"/>
        <w:spacing w:line="240" w:lineRule="auto"/>
        <w:rPr>
          <w:rFonts w:ascii="Calibri" w:hAnsi="Calibri" w:cs="Calibri"/>
          <w:b/>
          <w:bCs/>
          <w:i/>
          <w:iCs/>
          <w:color w:val="000000" w:themeColor="text1"/>
          <w:sz w:val="22"/>
          <w:szCs w:val="22"/>
        </w:rPr>
      </w:pPr>
      <w:r w:rsidRPr="00CA355C">
        <w:rPr>
          <w:rFonts w:ascii="Calibri" w:hAnsi="Calibri" w:cs="Calibri"/>
          <w:b/>
          <w:bCs/>
          <w:i/>
          <w:iCs/>
          <w:color w:val="000000" w:themeColor="text1"/>
          <w:sz w:val="22"/>
          <w:szCs w:val="22"/>
        </w:rPr>
        <w:t>Purchasing Bonds</w:t>
      </w:r>
    </w:p>
    <w:p w:rsidRPr="00CA355C" w:rsidR="00317DC9" w:rsidP="00F50DCD" w:rsidRDefault="00317DC9" w14:paraId="70494574" w14:textId="19868069">
      <w:pPr>
        <w:spacing w:before="240" w:after="240" w:line="240" w:lineRule="auto"/>
        <w:jc w:val="both"/>
        <w:rPr>
          <w:rFonts w:ascii="Calibri" w:hAnsi="Calibri" w:eastAsia="Georgia" w:cs="Calibri"/>
          <w:color w:val="000000" w:themeColor="text1"/>
        </w:rPr>
      </w:pPr>
      <w:r w:rsidRPr="00CA355C">
        <w:rPr>
          <w:rFonts w:ascii="Calibri" w:hAnsi="Calibri" w:eastAsia="Georgia" w:cs="Calibri"/>
          <w:color w:val="000000" w:themeColor="text1"/>
        </w:rPr>
        <w:t>A risk of harm to the relationship between an official development partner and a borrowing developing-country sovereign</w:t>
      </w:r>
      <w:r w:rsidR="00367AE5">
        <w:rPr>
          <w:rFonts w:ascii="Calibri" w:hAnsi="Calibri" w:eastAsia="Georgia" w:cs="Calibri"/>
          <w:color w:val="000000" w:themeColor="text1"/>
        </w:rPr>
        <w:t>,</w:t>
      </w:r>
      <w:r w:rsidRPr="00CA355C">
        <w:rPr>
          <w:rFonts w:ascii="Calibri" w:hAnsi="Calibri" w:eastAsia="Georgia" w:cs="Calibri"/>
          <w:color w:val="000000" w:themeColor="text1"/>
        </w:rPr>
        <w:t xml:space="preserve"> consequent to defaults on approved SLIDI bonds</w:t>
      </w:r>
      <w:r w:rsidR="00367AE5">
        <w:rPr>
          <w:rFonts w:ascii="Calibri" w:hAnsi="Calibri" w:eastAsia="Georgia" w:cs="Calibri"/>
          <w:color w:val="000000" w:themeColor="text1"/>
        </w:rPr>
        <w:t>,</w:t>
      </w:r>
      <w:r w:rsidRPr="00CA355C">
        <w:rPr>
          <w:rFonts w:ascii="Calibri" w:hAnsi="Calibri" w:eastAsia="Georgia" w:cs="Calibri"/>
          <w:color w:val="000000" w:themeColor="text1"/>
        </w:rPr>
        <w:t xml:space="preserve"> can serve as a further de-risking mechanism and make such SLBs more attractive to private sector investors. </w:t>
      </w:r>
      <w:r w:rsidRPr="00367AE5" w:rsidR="00367AE5">
        <w:rPr>
          <w:rFonts w:ascii="Calibri" w:hAnsi="Calibri" w:eastAsia="Georgia" w:cs="Calibri"/>
          <w:color w:val="000000" w:themeColor="text1"/>
        </w:rPr>
        <w:t xml:space="preserve">For example, the </w:t>
      </w:r>
      <w:r w:rsidR="00166BC8">
        <w:rPr>
          <w:rFonts w:ascii="Calibri" w:hAnsi="Calibri" w:eastAsia="Georgia" w:cs="Calibri"/>
          <w:color w:val="000000" w:themeColor="text1"/>
        </w:rPr>
        <w:t xml:space="preserve">WB </w:t>
      </w:r>
      <w:r w:rsidRPr="00367AE5" w:rsidR="00367AE5">
        <w:rPr>
          <w:rFonts w:ascii="Calibri" w:hAnsi="Calibri" w:eastAsia="Georgia" w:cs="Calibri"/>
          <w:color w:val="000000" w:themeColor="text1"/>
        </w:rPr>
        <w:t>or another development partner with preferred creditor status could purchase a small portion of an approved sustainability-linked sovereign bond issuance, effectively positioning the bond issuance as super-senior debt.</w:t>
      </w:r>
      <w:r w:rsidR="00367AE5">
        <w:rPr>
          <w:rFonts w:ascii="Calibri" w:hAnsi="Calibri" w:eastAsia="Georgia" w:cs="Calibri"/>
          <w:color w:val="000000" w:themeColor="text1"/>
        </w:rPr>
        <w:t xml:space="preserve"> </w:t>
      </w:r>
      <w:r w:rsidRPr="00CA355C">
        <w:rPr>
          <w:rFonts w:ascii="Calibri" w:hAnsi="Calibri" w:eastAsia="Georgia" w:cs="Calibri"/>
          <w:color w:val="000000" w:themeColor="text1"/>
        </w:rPr>
        <w:t xml:space="preserve">This approach could tie defaults on </w:t>
      </w:r>
      <w:r w:rsidRPr="00CA355C">
        <w:rPr>
          <w:rFonts w:ascii="Calibri" w:hAnsi="Calibri" w:eastAsia="Georgia" w:cs="Calibri"/>
          <w:i/>
          <w:iCs/>
          <w:color w:val="000000" w:themeColor="text1"/>
        </w:rPr>
        <w:t>any</w:t>
      </w:r>
      <w:r w:rsidRPr="00CA355C">
        <w:rPr>
          <w:rFonts w:ascii="Calibri" w:hAnsi="Calibri" w:eastAsia="Georgia" w:cs="Calibri"/>
          <w:color w:val="000000" w:themeColor="text1"/>
        </w:rPr>
        <w:t xml:space="preserve"> bond in the sovereign’s approved SLIDI program SLB issuance, including bonds sold to private sector investors, to defaults against the participating official development partner. In case of defaults on payments on such bonds, the borrowing country would forego MLDB funding for other projects, MLDB technical assistance, and other forms of support provided by the development partner. The bond amounts bought by the participating MLDB can be very small, in essence ‘symbolic,’ and, thus, would not represent a real threat to its balance sheet and credit rating, even as the arrangement would be seen as presenting a credible threat of serious consequences to the borrowing country in case it defaults on the bond. This should be seen as a strong de-risking measure or implicit credit guarantee by private investors.   </w:t>
      </w:r>
    </w:p>
    <w:p w:rsidRPr="00CA355C" w:rsidR="00317DC9" w:rsidP="00F50DCD" w:rsidRDefault="00317DC9" w14:paraId="45FA688E" w14:textId="19D4700D">
      <w:pPr>
        <w:spacing w:before="240" w:after="240" w:line="240" w:lineRule="auto"/>
        <w:jc w:val="both"/>
        <w:rPr>
          <w:rFonts w:ascii="Calibri" w:hAnsi="Calibri" w:eastAsia="Georgia" w:cs="Calibri"/>
          <w:smallCaps/>
          <w:color w:val="000000" w:themeColor="text1"/>
          <w:spacing w:val="15"/>
        </w:rPr>
      </w:pPr>
      <w:r w:rsidRPr="00CA355C">
        <w:rPr>
          <w:rFonts w:ascii="Calibri" w:hAnsi="Calibri" w:eastAsia="Georgia" w:cs="Calibri"/>
          <w:color w:val="000000" w:themeColor="text1"/>
        </w:rPr>
        <w:t xml:space="preserve">In this model, a preferred creditor such as the </w:t>
      </w:r>
      <w:r w:rsidR="00166BC8">
        <w:rPr>
          <w:rFonts w:ascii="Calibri" w:hAnsi="Calibri" w:eastAsia="Georgia" w:cs="Calibri"/>
          <w:color w:val="000000" w:themeColor="text1"/>
        </w:rPr>
        <w:t xml:space="preserve">WB </w:t>
      </w:r>
      <w:r w:rsidRPr="00CA355C">
        <w:rPr>
          <w:rFonts w:ascii="Calibri" w:hAnsi="Calibri" w:eastAsia="Georgia" w:cs="Calibri"/>
          <w:color w:val="000000" w:themeColor="text1"/>
        </w:rPr>
        <w:t xml:space="preserve">purchases a small proportion of the SLIDI program approved sustainability-linked bonds issued by a developing-country sovereign, creating a ‘halo’ effect that discourages sovereign default on these bonds. The involvement of the </w:t>
      </w:r>
      <w:r w:rsidR="00166BC8">
        <w:rPr>
          <w:rFonts w:ascii="Calibri" w:hAnsi="Calibri" w:eastAsia="Georgia" w:cs="Calibri"/>
          <w:color w:val="000000" w:themeColor="text1"/>
        </w:rPr>
        <w:t xml:space="preserve">WB </w:t>
      </w:r>
      <w:r w:rsidRPr="00CA355C">
        <w:rPr>
          <w:rFonts w:ascii="Calibri" w:hAnsi="Calibri" w:eastAsia="Georgia" w:cs="Calibri"/>
          <w:color w:val="000000" w:themeColor="text1"/>
        </w:rPr>
        <w:t>or some other multilateral development bank provides a strong signal to the market, enhancing the credibility of the bonds and making them more attractive to private investors. This approach also allows the development bank and affiliated development agencies to directly influence the achievement of KPIs by providing technical assistance and monitoring support.</w:t>
      </w:r>
    </w:p>
    <w:p w:rsidRPr="00CA355C" w:rsidR="00317DC9" w:rsidP="00F50DCD" w:rsidRDefault="00CA355C" w14:paraId="3289DB57" w14:textId="6C36508C">
      <w:pPr>
        <w:pStyle w:val="Heading2"/>
        <w:spacing w:line="240" w:lineRule="auto"/>
        <w:rPr>
          <w:rFonts w:ascii="Calibri" w:hAnsi="Calibri" w:cs="Calibri"/>
          <w:b/>
          <w:bCs/>
          <w:color w:val="000000" w:themeColor="text1"/>
          <w:sz w:val="22"/>
          <w:szCs w:val="22"/>
        </w:rPr>
      </w:pPr>
      <w:r>
        <w:rPr>
          <w:rFonts w:ascii="Calibri" w:hAnsi="Calibri" w:cs="Calibri"/>
          <w:b/>
          <w:bCs/>
          <w:color w:val="000000" w:themeColor="text1"/>
          <w:sz w:val="22"/>
          <w:szCs w:val="22"/>
        </w:rPr>
        <w:lastRenderedPageBreak/>
        <w:t>SETTING AND MONITORING KPIS</w:t>
      </w:r>
    </w:p>
    <w:p w:rsidRPr="00CA355C" w:rsidR="00317DC9" w:rsidP="00F50DCD" w:rsidRDefault="00317DC9" w14:paraId="6DB06495" w14:textId="77777777">
      <w:pPr>
        <w:pStyle w:val="Heading3"/>
        <w:spacing w:line="240" w:lineRule="auto"/>
        <w:rPr>
          <w:rFonts w:ascii="Calibri" w:hAnsi="Calibri" w:cs="Calibri"/>
          <w:b/>
          <w:bCs/>
          <w:i/>
          <w:iCs/>
          <w:color w:val="000000" w:themeColor="text1"/>
          <w:sz w:val="22"/>
          <w:szCs w:val="22"/>
        </w:rPr>
      </w:pPr>
      <w:bookmarkStart w:name="_Toc175616595" w:id="8"/>
      <w:bookmarkStart w:name="_Toc321259582" w:id="9"/>
      <w:r w:rsidRPr="00CA355C">
        <w:rPr>
          <w:rFonts w:ascii="Calibri" w:hAnsi="Calibri" w:cs="Calibri"/>
          <w:b/>
          <w:bCs/>
          <w:i/>
          <w:iCs/>
          <w:color w:val="000000" w:themeColor="text1"/>
          <w:sz w:val="22"/>
          <w:szCs w:val="22"/>
        </w:rPr>
        <w:t>Types of KPIs</w:t>
      </w:r>
      <w:bookmarkEnd w:id="8"/>
      <w:bookmarkEnd w:id="9"/>
    </w:p>
    <w:p w:rsidRPr="007A6DF7" w:rsidR="00317DC9" w:rsidP="00F50DCD" w:rsidRDefault="00317DC9" w14:paraId="230F8903" w14:textId="77777777">
      <w:pPr>
        <w:spacing w:before="240" w:after="240" w:line="240" w:lineRule="auto"/>
        <w:jc w:val="both"/>
        <w:rPr>
          <w:rFonts w:ascii="Calibri" w:hAnsi="Calibri" w:eastAsia="Georgia" w:cs="Calibri"/>
          <w:bCs/>
          <w:color w:val="000000" w:themeColor="text1"/>
        </w:rPr>
      </w:pPr>
      <w:r w:rsidRPr="007A6DF7">
        <w:rPr>
          <w:rFonts w:ascii="Calibri" w:hAnsi="Calibri" w:eastAsia="Georgia" w:cs="Calibri"/>
          <w:bCs/>
          <w:color w:val="000000" w:themeColor="text1"/>
        </w:rPr>
        <w:t>Policy Reform KPIs: Examples include introduction of carbon pricing, feebates, or renewable energy auctions. These KPIs are designed to incentivize policy changes that broadly impact climate outcomes. Policy reform KPIs are particularly effective in creating systemic changes that drive long-term sustainability.</w:t>
      </w:r>
    </w:p>
    <w:p w:rsidRPr="007A6DF7" w:rsidR="00317DC9" w:rsidP="00F50DCD" w:rsidRDefault="00317DC9" w14:paraId="26080CB0" w14:textId="77777777">
      <w:pPr>
        <w:spacing w:before="240" w:after="240" w:line="240" w:lineRule="auto"/>
        <w:jc w:val="both"/>
        <w:rPr>
          <w:rFonts w:ascii="Calibri" w:hAnsi="Calibri" w:eastAsia="Georgia" w:cs="Calibri"/>
          <w:bCs/>
          <w:color w:val="000000" w:themeColor="text1"/>
        </w:rPr>
      </w:pPr>
      <w:r w:rsidRPr="007A6DF7">
        <w:rPr>
          <w:rFonts w:ascii="Calibri" w:hAnsi="Calibri" w:eastAsia="Georgia" w:cs="Calibri"/>
          <w:bCs/>
          <w:color w:val="000000" w:themeColor="text1"/>
        </w:rPr>
        <w:t>Clean Energy Infrastructure KPIs: KPIs related to the rollout of renewable energy and other clean infrastructure projects. These KPIs focus on tangible projects that contribute directly to reducing carbon emissions. Clean energy infrastructure KPIs are critical for meeting immediate climate targets and creating a foundation for sustainable development. While green energy bonds generally relate to specific projects, a sustainability-linked bond KPI would relate to a national goal, e.g., it might specify a progressively larger target percentage of renewable energy in the issuing country’s total electricity supply.</w:t>
      </w:r>
    </w:p>
    <w:p w:rsidRPr="007A6DF7" w:rsidR="00317DC9" w:rsidP="00F50DCD" w:rsidRDefault="00317DC9" w14:paraId="1DDB7230" w14:textId="77777777">
      <w:pPr>
        <w:spacing w:before="240" w:after="240" w:line="240" w:lineRule="auto"/>
        <w:jc w:val="both"/>
        <w:rPr>
          <w:rFonts w:ascii="Calibri" w:hAnsi="Calibri" w:eastAsia="Georgia" w:cs="Calibri"/>
          <w:bCs/>
          <w:color w:val="000000" w:themeColor="text1"/>
        </w:rPr>
      </w:pPr>
      <w:r w:rsidRPr="007A6DF7">
        <w:rPr>
          <w:rFonts w:ascii="Calibri" w:hAnsi="Calibri" w:eastAsia="Georgia" w:cs="Calibri"/>
          <w:bCs/>
          <w:color w:val="000000" w:themeColor="text1"/>
        </w:rPr>
        <w:t>Forest Cover KPIs: KPIs related to forest cover or policies to reduce deforestation. These KPIs are critical for protecting natural carbon sinks and maintaining biodiversity. Forest cover KPIs are essential for preserving ecosystems and preventing the release of stored carbon.</w:t>
      </w:r>
    </w:p>
    <w:p w:rsidRPr="007A6DF7" w:rsidR="00317DC9" w:rsidP="00F50DCD" w:rsidRDefault="00317DC9" w14:paraId="06B86266" w14:textId="77777777">
      <w:pPr>
        <w:pStyle w:val="Heading3"/>
        <w:spacing w:line="240" w:lineRule="auto"/>
        <w:rPr>
          <w:rFonts w:ascii="Calibri" w:hAnsi="Calibri" w:cs="Calibri"/>
          <w:b/>
          <w:bCs/>
          <w:i/>
          <w:iCs/>
          <w:color w:val="000000" w:themeColor="text1"/>
          <w:sz w:val="22"/>
          <w:szCs w:val="22"/>
        </w:rPr>
      </w:pPr>
      <w:bookmarkStart w:name="_Toc175616596" w:id="10"/>
      <w:bookmarkStart w:name="_Toc1517197068" w:id="11"/>
      <w:r w:rsidRPr="007A6DF7">
        <w:rPr>
          <w:rFonts w:ascii="Calibri" w:hAnsi="Calibri" w:cs="Calibri"/>
          <w:b/>
          <w:bCs/>
          <w:i/>
          <w:iCs/>
          <w:color w:val="000000" w:themeColor="text1"/>
          <w:sz w:val="22"/>
          <w:szCs w:val="22"/>
        </w:rPr>
        <w:t>Baselining</w:t>
      </w:r>
      <w:bookmarkEnd w:id="10"/>
      <w:bookmarkEnd w:id="11"/>
      <w:r w:rsidRPr="007A6DF7">
        <w:rPr>
          <w:rFonts w:ascii="Calibri" w:hAnsi="Calibri" w:cs="Calibri"/>
          <w:b/>
          <w:bCs/>
          <w:i/>
          <w:iCs/>
          <w:color w:val="000000" w:themeColor="text1"/>
          <w:sz w:val="22"/>
          <w:szCs w:val="22"/>
        </w:rPr>
        <w:t xml:space="preserve"> and Accounting</w:t>
      </w:r>
    </w:p>
    <w:p w:rsidRPr="007A6DF7" w:rsidR="00317DC9" w:rsidP="00F50DCD" w:rsidRDefault="00317DC9" w14:paraId="6AA3970D" w14:textId="77777777">
      <w:pPr>
        <w:spacing w:before="240" w:after="240" w:line="240" w:lineRule="auto"/>
        <w:jc w:val="both"/>
        <w:rPr>
          <w:rFonts w:ascii="Calibri" w:hAnsi="Calibri" w:eastAsia="Georgia" w:cs="Calibri"/>
          <w:bCs/>
          <w:color w:val="000000" w:themeColor="text1"/>
        </w:rPr>
      </w:pPr>
      <w:r w:rsidRPr="007A6DF7">
        <w:rPr>
          <w:rFonts w:ascii="Calibri" w:hAnsi="Calibri" w:eastAsia="Georgia" w:cs="Calibri"/>
          <w:bCs/>
          <w:color w:val="000000" w:themeColor="text1"/>
        </w:rPr>
        <w:t xml:space="preserve">KPIs typically require a baseline, but this comes with the risk of perverse incentives (establishment of deliberately weak baselines). Establishing norms for credible baselines is essential to avoid ad hoc baselining, which can distort the effectiveness of sustainability-linked bonds (Kölbel and Lambillon, 2022). </w:t>
      </w:r>
    </w:p>
    <w:p w:rsidRPr="007A6DF7" w:rsidR="00317DC9" w:rsidP="00F50DCD" w:rsidRDefault="00317DC9" w14:paraId="20E6D02D" w14:textId="1FEF5A95">
      <w:pPr>
        <w:spacing w:before="240" w:after="240" w:line="240" w:lineRule="auto"/>
        <w:jc w:val="both"/>
        <w:rPr>
          <w:rFonts w:ascii="Calibri" w:hAnsi="Calibri" w:cs="Calibri"/>
          <w:bCs/>
          <w:color w:val="000000" w:themeColor="text1"/>
        </w:rPr>
      </w:pPr>
      <w:r w:rsidRPr="007A6DF7">
        <w:rPr>
          <w:rFonts w:ascii="Calibri" w:hAnsi="Calibri" w:eastAsia="Georgia" w:cs="Calibri"/>
          <w:bCs/>
          <w:color w:val="000000" w:themeColor="text1"/>
        </w:rPr>
        <w:t>A standardized approach to baselining ensures that KPIs are set in a way that accurately reflects the environmental impact of the projects funded. By avoiding the pitfalls of ad hoc baselining, SLIDIs can provide a more accurate and reliable measure of their environmental impact.</w:t>
      </w:r>
      <w:r w:rsidRPr="007A6DF7">
        <w:rPr>
          <w:rFonts w:ascii="Calibri" w:hAnsi="Calibri" w:cs="Calibri"/>
          <w:bCs/>
          <w:color w:val="000000" w:themeColor="text1"/>
        </w:rPr>
        <w:t xml:space="preserve"> </w:t>
      </w:r>
      <w:r w:rsidRPr="007A6DF7">
        <w:rPr>
          <w:rFonts w:ascii="Calibri" w:hAnsi="Calibri" w:eastAsia="Georgia" w:cs="Calibri"/>
          <w:bCs/>
          <w:color w:val="000000" w:themeColor="text1"/>
        </w:rPr>
        <w:t xml:space="preserve">Climate-related KPIs can be assessed using GHG accounting to measure the benefits of the projects. </w:t>
      </w:r>
    </w:p>
    <w:p w:rsidRPr="007A6DF7" w:rsidR="00317DC9" w:rsidP="00F50DCD" w:rsidRDefault="00317DC9" w14:paraId="51CD0AE4" w14:textId="77777777">
      <w:pPr>
        <w:pStyle w:val="Heading3"/>
        <w:spacing w:line="240" w:lineRule="auto"/>
        <w:rPr>
          <w:rFonts w:ascii="Calibri" w:hAnsi="Calibri" w:cs="Calibri"/>
          <w:b/>
          <w:bCs/>
          <w:i/>
          <w:iCs/>
          <w:color w:val="000000" w:themeColor="text1"/>
          <w:sz w:val="22"/>
          <w:szCs w:val="22"/>
        </w:rPr>
      </w:pPr>
      <w:r w:rsidRPr="007A6DF7">
        <w:rPr>
          <w:rFonts w:ascii="Calibri" w:hAnsi="Calibri" w:cs="Calibri"/>
          <w:b/>
          <w:bCs/>
          <w:i/>
          <w:iCs/>
          <w:color w:val="000000" w:themeColor="text1"/>
          <w:sz w:val="22"/>
          <w:szCs w:val="22"/>
        </w:rPr>
        <w:t>Capacity Assessment</w:t>
      </w:r>
    </w:p>
    <w:p w:rsidRPr="007A6DF7" w:rsidR="00317DC9" w:rsidP="00F50DCD" w:rsidRDefault="00317DC9" w14:paraId="42279DAD" w14:textId="77777777">
      <w:pPr>
        <w:spacing w:before="240" w:after="240" w:line="240" w:lineRule="auto"/>
        <w:jc w:val="both"/>
        <w:rPr>
          <w:rFonts w:ascii="Calibri" w:hAnsi="Calibri" w:cs="Calibri"/>
          <w:bCs/>
          <w:color w:val="000000" w:themeColor="text1"/>
        </w:rPr>
      </w:pPr>
      <w:r w:rsidRPr="007A6DF7">
        <w:rPr>
          <w:rFonts w:ascii="Calibri" w:hAnsi="Calibri" w:eastAsia="Georgia" w:cs="Calibri"/>
          <w:bCs/>
          <w:color w:val="000000" w:themeColor="text1"/>
        </w:rPr>
        <w:t>An assessment of the issuer's capacity to deliver on climate targets is also crucial (Bouzidi and Papaioannou, 2021). This involves evaluating the technical and financial capabilities of the issuer to ensure that they can meet the KPIs and deliver on the bond's promises. Capacity assessment is a critical step in the structuring of SLIDIs, as it ensures that the issuer has the necessary resources and expertise to achieve the desired outcomes – or that development agency partners are recruited to help the issuer achieve realistically set targets.</w:t>
      </w:r>
    </w:p>
    <w:p w:rsidRPr="007A6DF7" w:rsidR="00317DC9" w:rsidP="00F50DCD" w:rsidRDefault="00317DC9" w14:paraId="04D8CF51" w14:textId="77777777">
      <w:pPr>
        <w:spacing w:before="240" w:after="240" w:line="240" w:lineRule="auto"/>
        <w:jc w:val="both"/>
        <w:rPr>
          <w:rFonts w:ascii="Calibri" w:hAnsi="Calibri" w:cs="Calibri"/>
          <w:bCs/>
          <w:color w:val="000000" w:themeColor="text1"/>
        </w:rPr>
      </w:pPr>
      <w:r w:rsidRPr="007A6DF7">
        <w:rPr>
          <w:rFonts w:ascii="Calibri" w:hAnsi="Calibri" w:eastAsia="Georgia" w:cs="Calibri"/>
          <w:bCs/>
          <w:color w:val="000000" w:themeColor="text1"/>
        </w:rPr>
        <w:t>Careful negotiation with stakeholders is required to align KPIs with the issuer's climate goals and development partners' expectations. This collaborative approach ensures that all parties are committed to achieving the bond's specified objectives. Stakeholder negotiations are needed ensure that the KPIs are realistic, achievable, and aligned with broader climate and public policy goals. By bringing all stakeholders to the table, SLIDIs can create a sense of shared responsibility and commitment to achieving the bond's objectives.</w:t>
      </w:r>
    </w:p>
    <w:p w:rsidRPr="007A6DF7" w:rsidR="00317DC9" w:rsidP="00F50DCD" w:rsidRDefault="00317DC9" w14:paraId="0C960542" w14:textId="77777777">
      <w:pPr>
        <w:spacing w:before="240" w:after="240" w:line="240" w:lineRule="auto"/>
        <w:jc w:val="both"/>
        <w:rPr>
          <w:rFonts w:ascii="Calibri" w:hAnsi="Calibri" w:eastAsia="Georgia" w:cs="Calibri"/>
          <w:bCs/>
          <w:smallCaps/>
          <w:color w:val="000000" w:themeColor="text1"/>
          <w:spacing w:val="15"/>
        </w:rPr>
      </w:pPr>
      <w:bookmarkStart w:name="_Toc175616599" w:id="12"/>
      <w:bookmarkStart w:name="_Toc693056645" w:id="13"/>
      <w:r w:rsidRPr="007A6DF7">
        <w:rPr>
          <w:rFonts w:ascii="Calibri" w:hAnsi="Calibri" w:eastAsia="Georgia" w:cs="Calibri"/>
          <w:bCs/>
          <w:color w:val="000000" w:themeColor="text1"/>
        </w:rPr>
        <w:t xml:space="preserve">Additional considerations include regulating target KPIs to prevent greenwashing, establishing institutions for monitoring, and setting private sector participation thresholds for purchases of new bond issuances. These measures ensure the integrity of the bonds and protect against potential </w:t>
      </w:r>
      <w:r w:rsidRPr="007A6DF7">
        <w:rPr>
          <w:rFonts w:ascii="Calibri" w:hAnsi="Calibri" w:eastAsia="Georgia" w:cs="Calibri"/>
          <w:bCs/>
          <w:color w:val="000000" w:themeColor="text1"/>
        </w:rPr>
        <w:lastRenderedPageBreak/>
        <w:t>abuses (Giráldez and Fontana, 2022). By establishing clear rules and guidelines, SLIDIs can maintain their credibility and effectiveness in mobilizing private capital for climate finance.</w:t>
      </w:r>
    </w:p>
    <w:p w:rsidRPr="007A6DF7" w:rsidR="00317DC9" w:rsidP="00F50DCD" w:rsidRDefault="007A6DF7" w14:paraId="72547C9B" w14:textId="127C10B4">
      <w:pPr>
        <w:pStyle w:val="Heading2"/>
        <w:spacing w:line="240" w:lineRule="auto"/>
        <w:rPr>
          <w:rFonts w:ascii="Calibri" w:hAnsi="Calibri" w:cs="Calibri"/>
          <w:b/>
          <w:bCs/>
          <w:color w:val="000000" w:themeColor="text1"/>
          <w:sz w:val="22"/>
          <w:szCs w:val="22"/>
        </w:rPr>
      </w:pPr>
      <w:r>
        <w:rPr>
          <w:rFonts w:ascii="Calibri" w:hAnsi="Calibri" w:cs="Calibri"/>
          <w:b/>
          <w:bCs/>
          <w:color w:val="000000" w:themeColor="text1"/>
          <w:sz w:val="22"/>
          <w:szCs w:val="22"/>
        </w:rPr>
        <w:t>THE ROLE OF INTERNATIONAL INSTITUTIONS</w:t>
      </w:r>
    </w:p>
    <w:p w:rsidRPr="007A6DF7" w:rsidR="00317DC9" w:rsidP="00F50DCD" w:rsidRDefault="00317DC9" w14:paraId="2E3D3906" w14:textId="77777777">
      <w:pPr>
        <w:pStyle w:val="Heading3"/>
        <w:spacing w:line="240" w:lineRule="auto"/>
        <w:rPr>
          <w:rFonts w:ascii="Calibri" w:hAnsi="Calibri" w:cs="Calibri"/>
          <w:b/>
          <w:bCs/>
          <w:i/>
          <w:iCs/>
          <w:color w:val="000000" w:themeColor="text1"/>
          <w:sz w:val="22"/>
          <w:szCs w:val="22"/>
        </w:rPr>
      </w:pPr>
      <w:r w:rsidRPr="007A6DF7">
        <w:rPr>
          <w:rFonts w:ascii="Calibri" w:hAnsi="Calibri" w:cs="Calibri"/>
          <w:b/>
          <w:bCs/>
          <w:i/>
          <w:iCs/>
          <w:color w:val="000000" w:themeColor="text1"/>
          <w:sz w:val="22"/>
          <w:szCs w:val="22"/>
        </w:rPr>
        <w:t>The Role of the World Bank</w:t>
      </w:r>
    </w:p>
    <w:p w:rsidRPr="007A6DF7" w:rsidR="00317DC9" w:rsidP="00F50DCD" w:rsidRDefault="00317DC9" w14:paraId="7DC1789D" w14:textId="3E91C45F">
      <w:pPr>
        <w:spacing w:before="240" w:after="240" w:line="240" w:lineRule="auto"/>
        <w:jc w:val="both"/>
        <w:rPr>
          <w:rFonts w:ascii="Calibri" w:hAnsi="Calibri" w:eastAsia="Georgia" w:cs="Calibri"/>
          <w:color w:val="000000" w:themeColor="text1"/>
        </w:rPr>
      </w:pPr>
      <w:r w:rsidRPr="007A6DF7">
        <w:rPr>
          <w:rFonts w:ascii="Calibri" w:hAnsi="Calibri" w:eastAsia="Georgia" w:cs="Calibri"/>
          <w:color w:val="000000" w:themeColor="text1"/>
        </w:rPr>
        <w:t xml:space="preserve">The </w:t>
      </w:r>
      <w:r w:rsidR="00166BC8">
        <w:rPr>
          <w:rFonts w:ascii="Calibri" w:hAnsi="Calibri" w:eastAsia="Georgia" w:cs="Calibri"/>
          <w:color w:val="000000" w:themeColor="text1"/>
        </w:rPr>
        <w:t>WB</w:t>
      </w:r>
      <w:r w:rsidRPr="007A6DF7">
        <w:rPr>
          <w:rFonts w:ascii="Calibri" w:hAnsi="Calibri" w:eastAsia="Georgia" w:cs="Calibri"/>
          <w:color w:val="000000" w:themeColor="text1"/>
        </w:rPr>
        <w:t xml:space="preserve"> collaborates with impact investors to create KPIs in key areas such as natural forest protection, carbon pricing, and renewable energy targets. Such collaborations can ensure that KPIs are aligned with global climate goals and that the bonds have a significant impact. If the </w:t>
      </w:r>
      <w:r w:rsidR="00166BC8">
        <w:rPr>
          <w:rFonts w:ascii="Calibri" w:hAnsi="Calibri" w:eastAsia="Georgia" w:cs="Calibri"/>
          <w:color w:val="000000" w:themeColor="text1"/>
        </w:rPr>
        <w:t>WB</w:t>
      </w:r>
      <w:r w:rsidRPr="007A6DF7">
        <w:rPr>
          <w:rFonts w:ascii="Calibri" w:hAnsi="Calibri" w:eastAsia="Georgia" w:cs="Calibri"/>
          <w:color w:val="000000" w:themeColor="text1"/>
        </w:rPr>
        <w:t xml:space="preserve"> were to get involved in structuring SLIDIs, this would provide credibility and assurance to investors, making prospective </w:t>
      </w:r>
      <w:r w:rsidR="00166BC8">
        <w:rPr>
          <w:rFonts w:ascii="Calibri" w:hAnsi="Calibri" w:eastAsia="Georgia" w:cs="Calibri"/>
          <w:color w:val="000000" w:themeColor="text1"/>
        </w:rPr>
        <w:t>WB</w:t>
      </w:r>
      <w:r w:rsidRPr="007A6DF7">
        <w:rPr>
          <w:rFonts w:ascii="Calibri" w:hAnsi="Calibri" w:eastAsia="Georgia" w:cs="Calibri"/>
          <w:color w:val="000000" w:themeColor="text1"/>
        </w:rPr>
        <w:t xml:space="preserve">-linked SLIDIs a more attractive investment option than bonds that lack </w:t>
      </w:r>
      <w:r w:rsidR="00166BC8">
        <w:rPr>
          <w:rFonts w:ascii="Calibri" w:hAnsi="Calibri" w:eastAsia="Georgia" w:cs="Calibri"/>
          <w:color w:val="000000" w:themeColor="text1"/>
        </w:rPr>
        <w:t>WB</w:t>
      </w:r>
      <w:r w:rsidRPr="007A6DF7">
        <w:rPr>
          <w:rFonts w:ascii="Calibri" w:hAnsi="Calibri" w:eastAsia="Georgia" w:cs="Calibri"/>
          <w:color w:val="000000" w:themeColor="text1"/>
        </w:rPr>
        <w:t xml:space="preserve"> involvement. Involvement of regional development banks, e.g., </w:t>
      </w:r>
      <w:r w:rsidR="00C46990">
        <w:rPr>
          <w:rFonts w:ascii="Calibri" w:hAnsi="Calibri" w:eastAsia="Georgia" w:cs="Calibri"/>
          <w:color w:val="000000" w:themeColor="text1"/>
        </w:rPr>
        <w:t>IDB</w:t>
      </w:r>
      <w:r w:rsidRPr="007A6DF7">
        <w:rPr>
          <w:rFonts w:ascii="Calibri" w:hAnsi="Calibri" w:eastAsia="Georgia" w:cs="Calibri"/>
          <w:color w:val="000000" w:themeColor="text1"/>
        </w:rPr>
        <w:t xml:space="preserve"> or </w:t>
      </w:r>
      <w:r w:rsidR="00C46990">
        <w:rPr>
          <w:rFonts w:ascii="Calibri" w:hAnsi="Calibri" w:eastAsia="Georgia" w:cs="Calibri"/>
          <w:color w:val="000000" w:themeColor="text1"/>
        </w:rPr>
        <w:t>AfDB</w:t>
      </w:r>
      <w:r w:rsidRPr="007A6DF7">
        <w:rPr>
          <w:rFonts w:ascii="Calibri" w:hAnsi="Calibri" w:eastAsia="Georgia" w:cs="Calibri"/>
          <w:color w:val="000000" w:themeColor="text1"/>
        </w:rPr>
        <w:t xml:space="preserve">, could have similar benefits. </w:t>
      </w:r>
    </w:p>
    <w:p w:rsidRPr="007A6DF7" w:rsidR="00317DC9" w:rsidP="00F50DCD" w:rsidRDefault="00317DC9" w14:paraId="023D0C49" w14:textId="06576E17">
      <w:pPr>
        <w:spacing w:before="240" w:after="240" w:line="240" w:lineRule="auto"/>
        <w:jc w:val="both"/>
        <w:rPr>
          <w:rFonts w:ascii="Calibri" w:hAnsi="Calibri" w:eastAsia="Georgia" w:cs="Calibri"/>
          <w:color w:val="000000" w:themeColor="text1"/>
        </w:rPr>
      </w:pPr>
      <w:r w:rsidRPr="007A6DF7">
        <w:rPr>
          <w:rFonts w:ascii="Calibri" w:hAnsi="Calibri" w:eastAsia="Georgia" w:cs="Calibri"/>
          <w:color w:val="000000" w:themeColor="text1"/>
        </w:rPr>
        <w:t xml:space="preserve">The </w:t>
      </w:r>
      <w:r w:rsidR="00166BC8">
        <w:rPr>
          <w:rFonts w:ascii="Calibri" w:hAnsi="Calibri" w:eastAsia="Georgia" w:cs="Calibri"/>
          <w:color w:val="000000" w:themeColor="text1"/>
        </w:rPr>
        <w:t>WB</w:t>
      </w:r>
      <w:r w:rsidRPr="007A6DF7">
        <w:rPr>
          <w:rFonts w:ascii="Calibri" w:hAnsi="Calibri" w:eastAsia="Georgia" w:cs="Calibri"/>
          <w:color w:val="000000" w:themeColor="text1"/>
        </w:rPr>
        <w:t xml:space="preserve"> could prioritize developing KPI norms in each region. This approach can ensure that the bonds are tailored to the specific needs of each region, making them more effective in achieving their objectives (Bouzidi and Papaioannou, 2021). Norm development is critical for creating a consistent and reliable framework for SLIDIs, ensuring that they can be scaled up and applied across different contexts.</w:t>
      </w:r>
    </w:p>
    <w:p w:rsidRPr="007A6DF7" w:rsidR="00317DC9" w:rsidP="00F50DCD" w:rsidRDefault="00317DC9" w14:paraId="7B0CF9B3" w14:textId="416D616B">
      <w:pPr>
        <w:pStyle w:val="Heading3"/>
        <w:spacing w:line="240" w:lineRule="auto"/>
        <w:rPr>
          <w:rFonts w:ascii="Calibri" w:hAnsi="Calibri" w:cs="Calibri" w:eastAsiaTheme="minorEastAsia"/>
          <w:b/>
          <w:bCs/>
          <w:i/>
          <w:iCs/>
          <w:color w:val="000000" w:themeColor="text1"/>
          <w:sz w:val="22"/>
          <w:szCs w:val="22"/>
        </w:rPr>
      </w:pPr>
      <w:r w:rsidRPr="007A6DF7">
        <w:rPr>
          <w:rFonts w:ascii="Calibri" w:hAnsi="Calibri" w:cs="Calibri"/>
          <w:b/>
          <w:bCs/>
          <w:i/>
          <w:iCs/>
          <w:color w:val="000000" w:themeColor="text1"/>
          <w:sz w:val="22"/>
          <w:szCs w:val="22"/>
        </w:rPr>
        <w:t xml:space="preserve">The </w:t>
      </w:r>
      <w:r w:rsidRPr="007A6DF7" w:rsidR="007A6DF7">
        <w:rPr>
          <w:rFonts w:ascii="Calibri" w:hAnsi="Calibri" w:cs="Calibri"/>
          <w:b/>
          <w:bCs/>
          <w:i/>
          <w:iCs/>
          <w:color w:val="000000" w:themeColor="text1"/>
          <w:sz w:val="22"/>
          <w:szCs w:val="22"/>
        </w:rPr>
        <w:t>R</w:t>
      </w:r>
      <w:r w:rsidRPr="007A6DF7">
        <w:rPr>
          <w:rFonts w:ascii="Calibri" w:hAnsi="Calibri" w:cs="Calibri"/>
          <w:b/>
          <w:bCs/>
          <w:i/>
          <w:iCs/>
          <w:color w:val="000000" w:themeColor="text1"/>
          <w:sz w:val="22"/>
          <w:szCs w:val="22"/>
        </w:rPr>
        <w:t xml:space="preserve">ole of </w:t>
      </w:r>
      <w:r w:rsidRPr="007A6DF7" w:rsidR="007A6DF7">
        <w:rPr>
          <w:rFonts w:ascii="Calibri" w:hAnsi="Calibri" w:cs="Calibri"/>
          <w:b/>
          <w:bCs/>
          <w:i/>
          <w:iCs/>
          <w:color w:val="000000" w:themeColor="text1"/>
          <w:sz w:val="22"/>
          <w:szCs w:val="22"/>
        </w:rPr>
        <w:t>D</w:t>
      </w:r>
      <w:r w:rsidRPr="007A6DF7">
        <w:rPr>
          <w:rFonts w:ascii="Calibri" w:hAnsi="Calibri" w:cs="Calibri"/>
          <w:b/>
          <w:bCs/>
          <w:i/>
          <w:iCs/>
          <w:color w:val="000000" w:themeColor="text1"/>
          <w:sz w:val="22"/>
          <w:szCs w:val="22"/>
        </w:rPr>
        <w:t xml:space="preserve">evelopment </w:t>
      </w:r>
      <w:r w:rsidRPr="007A6DF7" w:rsidR="007A6DF7">
        <w:rPr>
          <w:rFonts w:ascii="Calibri" w:hAnsi="Calibri" w:cs="Calibri"/>
          <w:b/>
          <w:bCs/>
          <w:i/>
          <w:iCs/>
          <w:color w:val="000000" w:themeColor="text1"/>
          <w:sz w:val="22"/>
          <w:szCs w:val="22"/>
        </w:rPr>
        <w:t>P</w:t>
      </w:r>
      <w:r w:rsidRPr="007A6DF7">
        <w:rPr>
          <w:rFonts w:ascii="Calibri" w:hAnsi="Calibri" w:cs="Calibri"/>
          <w:b/>
          <w:bCs/>
          <w:i/>
          <w:iCs/>
          <w:color w:val="000000" w:themeColor="text1"/>
          <w:sz w:val="22"/>
          <w:szCs w:val="22"/>
        </w:rPr>
        <w:t>artners</w:t>
      </w:r>
    </w:p>
    <w:p w:rsidRPr="007A6DF7" w:rsidR="00317DC9" w:rsidP="00F50DCD" w:rsidRDefault="00317DC9" w14:paraId="3BD4362D" w14:textId="77777777">
      <w:pPr>
        <w:spacing w:before="240" w:after="240" w:line="240" w:lineRule="auto"/>
        <w:jc w:val="both"/>
        <w:rPr>
          <w:rFonts w:ascii="Calibri" w:hAnsi="Calibri" w:cs="Calibri"/>
          <w:bCs/>
          <w:color w:val="000000" w:themeColor="text1"/>
        </w:rPr>
      </w:pPr>
      <w:r w:rsidRPr="007A6DF7">
        <w:rPr>
          <w:rFonts w:ascii="Calibri" w:hAnsi="Calibri" w:eastAsia="Georgia" w:cs="Calibri"/>
          <w:bCs/>
          <w:color w:val="000000" w:themeColor="text1"/>
        </w:rPr>
        <w:t>Development partners such as development banks and development agencies are crucial in designing KPIs that are specific, measurable, achievable, relevant, and time-bound (SMART). Their role includes aligning KPIs with sovereigns’ climate goals and providing the necessary technical assistance to ensure that these goals are met (Giráldez and Fontana, 2022). The effectiveness of SLIDIs will depend largely on the quality and relevance of the KPIs set by development partners, making their involvement essential to the success of these instruments.</w:t>
      </w:r>
    </w:p>
    <w:p w:rsidRPr="007A6DF7" w:rsidR="00317DC9" w:rsidP="00F50DCD" w:rsidRDefault="00317DC9" w14:paraId="572F275A" w14:textId="77777777">
      <w:pPr>
        <w:spacing w:line="240" w:lineRule="auto"/>
        <w:jc w:val="both"/>
        <w:rPr>
          <w:rFonts w:ascii="Calibri" w:hAnsi="Calibri" w:cs="Calibri"/>
          <w:bCs/>
          <w:color w:val="000000" w:themeColor="text1"/>
        </w:rPr>
      </w:pPr>
      <w:r w:rsidRPr="007A6DF7">
        <w:rPr>
          <w:rFonts w:ascii="Calibri" w:hAnsi="Calibri" w:eastAsia="Georgia" w:cs="Calibri"/>
          <w:bCs/>
          <w:color w:val="000000" w:themeColor="text1"/>
        </w:rPr>
        <w:t xml:space="preserve">Development partners play a key role in monitoring KPI achievement, ensuring accountability, and preventing greenwashing. Regular evaluations and transparent reporting are essential to maintain investor confidence and ensure that sustainability-linked bonds and loans achieve their intended environmental and social outcomes (Kölbel and Lambillon, 2022). </w:t>
      </w:r>
      <w:bookmarkEnd w:id="12"/>
      <w:bookmarkEnd w:id="13"/>
      <w:r w:rsidRPr="007A6DF7">
        <w:rPr>
          <w:rFonts w:ascii="Calibri" w:hAnsi="Calibri" w:eastAsia="Georgia" w:cs="Calibri"/>
          <w:bCs/>
          <w:color w:val="000000" w:themeColor="text1"/>
        </w:rPr>
        <w:t xml:space="preserve"> </w:t>
      </w:r>
    </w:p>
    <w:p w:rsidRPr="007A6DF7" w:rsidR="00317DC9" w:rsidP="00F50DCD" w:rsidRDefault="007A6DF7" w14:paraId="47057AB7" w14:textId="2F637D99">
      <w:pPr>
        <w:pStyle w:val="Heading2"/>
        <w:spacing w:line="240" w:lineRule="auto"/>
        <w:rPr>
          <w:rFonts w:ascii="Calibri" w:hAnsi="Calibri" w:cs="Calibri"/>
          <w:b/>
          <w:bCs/>
          <w:color w:val="000000" w:themeColor="text1"/>
          <w:sz w:val="22"/>
          <w:szCs w:val="22"/>
        </w:rPr>
      </w:pPr>
      <w:r>
        <w:rPr>
          <w:rFonts w:ascii="Calibri" w:hAnsi="Calibri" w:cs="Calibri"/>
          <w:b/>
          <w:bCs/>
          <w:color w:val="000000" w:themeColor="text1"/>
          <w:sz w:val="22"/>
          <w:szCs w:val="22"/>
        </w:rPr>
        <w:t>CONCLUSION</w:t>
      </w:r>
    </w:p>
    <w:p w:rsidRPr="007A6DF7" w:rsidR="00317DC9" w:rsidP="00F50DCD" w:rsidRDefault="00317DC9" w14:paraId="3841A236" w14:textId="77777777">
      <w:pPr>
        <w:spacing w:before="240" w:after="240" w:line="240" w:lineRule="auto"/>
        <w:jc w:val="both"/>
        <w:rPr>
          <w:rFonts w:ascii="Calibri" w:hAnsi="Calibri" w:eastAsia="Georgia" w:cs="Calibri"/>
          <w:bCs/>
          <w:color w:val="000000" w:themeColor="text1"/>
        </w:rPr>
      </w:pPr>
      <w:r w:rsidRPr="007A6DF7">
        <w:rPr>
          <w:rFonts w:ascii="Calibri" w:hAnsi="Calibri" w:eastAsia="Georgia" w:cs="Calibri"/>
          <w:bCs/>
          <w:color w:val="000000" w:themeColor="text1"/>
        </w:rPr>
        <w:t xml:space="preserve">A coherent suite of sustainability-linked intermediated debt instruments, including fixed-coupon climate bonds to raise money for on-lending via sustainability-linked loans, with partial interest rate refunds paid out to developing-country borrowers on achievement of sustainability-linked KPIs with the support of trusted development agencies, could offer a promising solution to mobilizing private sector capital for the climate agenda. By incorporating clear KPIs, robust de-risking mechanisms, and fixed coupon payments, climate KPI-linked bonds and associated sustainability-linked loans may present a more effective means of mobilizing private capital for environmentally responsible projects in developing countries than current-generation sustainability-linked loans. </w:t>
      </w:r>
    </w:p>
    <w:p w:rsidRPr="007A6DF7" w:rsidR="00317DC9" w:rsidP="00F50DCD" w:rsidRDefault="00317DC9" w14:paraId="48F8C264" w14:textId="77777777">
      <w:pPr>
        <w:spacing w:before="240" w:after="240" w:line="240" w:lineRule="auto"/>
        <w:jc w:val="both"/>
        <w:rPr>
          <w:rFonts w:ascii="Calibri" w:hAnsi="Calibri" w:cs="Calibri"/>
          <w:bCs/>
          <w:color w:val="000000" w:themeColor="text1"/>
        </w:rPr>
      </w:pPr>
      <w:r w:rsidRPr="007A6DF7">
        <w:rPr>
          <w:rFonts w:ascii="Calibri" w:hAnsi="Calibri" w:eastAsia="Georgia" w:cs="Calibri"/>
          <w:bCs/>
          <w:color w:val="000000" w:themeColor="text1"/>
        </w:rPr>
        <w:t xml:space="preserve">SLIDIs could reduce the cost of capital for sustainable development in developing countries while providing a stable, predictable, de-risked return structure for institutional investors. By aligning sovereign incentives, private investor interests, and development partner goals, SLIDIs could play a pivotal role in closing the enormous climate finance gap in developing regions. </w:t>
      </w:r>
    </w:p>
    <w:p w:rsidRPr="007A6DF7" w:rsidR="00317DC9" w:rsidP="00F50DCD" w:rsidRDefault="007A6DF7" w14:paraId="0A4648D4" w14:textId="6F99AE25">
      <w:pPr>
        <w:pStyle w:val="Heading3"/>
        <w:spacing w:line="240" w:lineRule="auto"/>
        <w:rPr>
          <w:rFonts w:ascii="Calibri" w:hAnsi="Calibri" w:cs="Calibri"/>
          <w:b/>
          <w:bCs/>
          <w:color w:val="000000" w:themeColor="text1"/>
          <w:sz w:val="22"/>
          <w:szCs w:val="22"/>
        </w:rPr>
      </w:pPr>
      <w:r w:rsidRPr="007A6DF7">
        <w:rPr>
          <w:rFonts w:ascii="Calibri" w:hAnsi="Calibri" w:cs="Calibri"/>
          <w:b/>
          <w:bCs/>
          <w:color w:val="000000" w:themeColor="text1"/>
          <w:sz w:val="22"/>
          <w:szCs w:val="22"/>
        </w:rPr>
        <w:lastRenderedPageBreak/>
        <w:t>RECOMMENDATIONS FOR FUTURE RESEARCH</w:t>
      </w:r>
    </w:p>
    <w:p w:rsidRPr="007A6DF7" w:rsidR="00317DC9" w:rsidP="00F50DCD" w:rsidRDefault="00317DC9" w14:paraId="45649FF8" w14:textId="77777777">
      <w:pPr>
        <w:spacing w:before="240" w:after="240" w:line="240" w:lineRule="auto"/>
        <w:jc w:val="both"/>
        <w:rPr>
          <w:rFonts w:ascii="Calibri" w:hAnsi="Calibri" w:cs="Calibri"/>
          <w:bCs/>
          <w:color w:val="000000" w:themeColor="text1"/>
        </w:rPr>
      </w:pPr>
      <w:r w:rsidRPr="007A6DF7">
        <w:rPr>
          <w:rFonts w:ascii="Calibri" w:hAnsi="Calibri" w:eastAsia="Georgia" w:cs="Calibri"/>
          <w:bCs/>
          <w:color w:val="000000" w:themeColor="text1"/>
        </w:rPr>
        <w:t>Further research should focus on refining the technical details of SLIDIs, exploring additional implementation models, and assessing the long-term impacts of KPI-linked financing on global climate goals. It should include:</w:t>
      </w:r>
    </w:p>
    <w:p w:rsidRPr="00182B1B" w:rsidR="00317DC9" w:rsidP="00182B1B" w:rsidRDefault="00317DC9" w14:paraId="4059B45A" w14:textId="77777777">
      <w:pPr>
        <w:pStyle w:val="ListParagraph"/>
        <w:numPr>
          <w:ilvl w:val="0"/>
          <w:numId w:val="21"/>
        </w:numPr>
        <w:spacing w:after="0" w:line="240" w:lineRule="auto"/>
        <w:jc w:val="both"/>
        <w:rPr>
          <w:rFonts w:ascii="Calibri" w:hAnsi="Calibri" w:eastAsia="Georgia" w:cs="Calibri"/>
          <w:bCs/>
          <w:color w:val="000000" w:themeColor="text1"/>
        </w:rPr>
      </w:pPr>
      <w:r w:rsidRPr="00182B1B">
        <w:rPr>
          <w:rFonts w:ascii="Calibri" w:hAnsi="Calibri" w:eastAsia="Georgia" w:cs="Calibri"/>
          <w:bCs/>
          <w:color w:val="000000" w:themeColor="text1"/>
        </w:rPr>
        <w:t>Developing sophisticated risk management frameworks for SLIDIs.</w:t>
      </w:r>
    </w:p>
    <w:p w:rsidRPr="00182B1B" w:rsidR="00317DC9" w:rsidP="00182B1B" w:rsidRDefault="00317DC9" w14:paraId="4C68B092" w14:textId="77777777">
      <w:pPr>
        <w:pStyle w:val="ListParagraph"/>
        <w:numPr>
          <w:ilvl w:val="0"/>
          <w:numId w:val="21"/>
        </w:numPr>
        <w:spacing w:after="0" w:line="240" w:lineRule="auto"/>
        <w:jc w:val="both"/>
        <w:rPr>
          <w:rFonts w:ascii="Calibri" w:hAnsi="Calibri" w:eastAsia="Georgia" w:cs="Calibri"/>
          <w:bCs/>
          <w:color w:val="000000" w:themeColor="text1"/>
        </w:rPr>
      </w:pPr>
      <w:r w:rsidRPr="00182B1B">
        <w:rPr>
          <w:rFonts w:ascii="Calibri" w:hAnsi="Calibri" w:eastAsia="Georgia" w:cs="Calibri"/>
          <w:bCs/>
          <w:color w:val="000000" w:themeColor="text1"/>
        </w:rPr>
        <w:t>Exploring hybrid models that combine SLIDIs with other financial instruments.</w:t>
      </w:r>
    </w:p>
    <w:p w:rsidRPr="00182B1B" w:rsidR="00317DC9" w:rsidP="00182B1B" w:rsidRDefault="00317DC9" w14:paraId="674A9CA4" w14:textId="77777777">
      <w:pPr>
        <w:pStyle w:val="ListParagraph"/>
        <w:numPr>
          <w:ilvl w:val="0"/>
          <w:numId w:val="21"/>
        </w:numPr>
        <w:spacing w:after="0" w:line="240" w:lineRule="auto"/>
        <w:jc w:val="both"/>
        <w:rPr>
          <w:rFonts w:ascii="Calibri" w:hAnsi="Calibri" w:eastAsia="Georgia" w:cs="Calibri"/>
          <w:bCs/>
          <w:color w:val="000000" w:themeColor="text1"/>
        </w:rPr>
      </w:pPr>
      <w:r w:rsidRPr="00182B1B">
        <w:rPr>
          <w:rFonts w:ascii="Calibri" w:hAnsi="Calibri" w:eastAsia="Georgia" w:cs="Calibri"/>
          <w:bCs/>
          <w:color w:val="000000" w:themeColor="text1"/>
        </w:rPr>
        <w:t>Evaluating the likely impact of SLIDIs on the cost of capital in developing countries.</w:t>
      </w:r>
    </w:p>
    <w:p w:rsidRPr="00182B1B" w:rsidR="00317DC9" w:rsidP="00182B1B" w:rsidRDefault="00317DC9" w14:paraId="346823FC" w14:textId="77777777">
      <w:pPr>
        <w:pStyle w:val="ListParagraph"/>
        <w:numPr>
          <w:ilvl w:val="0"/>
          <w:numId w:val="21"/>
        </w:numPr>
        <w:spacing w:after="0" w:line="240" w:lineRule="auto"/>
        <w:jc w:val="both"/>
        <w:rPr>
          <w:rFonts w:ascii="Calibri" w:hAnsi="Calibri" w:eastAsia="Georgia" w:cs="Calibri"/>
          <w:bCs/>
          <w:color w:val="000000" w:themeColor="text1"/>
        </w:rPr>
      </w:pPr>
      <w:r w:rsidRPr="00182B1B">
        <w:rPr>
          <w:rFonts w:ascii="Calibri" w:hAnsi="Calibri" w:eastAsia="Georgia" w:cs="Calibri"/>
          <w:bCs/>
          <w:color w:val="000000" w:themeColor="text1"/>
        </w:rPr>
        <w:t>Evaluating the potential for SLIDIs to drive policy reform and systemic change.</w:t>
      </w:r>
    </w:p>
    <w:p w:rsidRPr="00182B1B" w:rsidR="00317DC9" w:rsidP="00182B1B" w:rsidRDefault="00317DC9" w14:paraId="1A393D50" w14:textId="77777777">
      <w:pPr>
        <w:pStyle w:val="ListParagraph"/>
        <w:numPr>
          <w:ilvl w:val="0"/>
          <w:numId w:val="21"/>
        </w:numPr>
        <w:spacing w:after="0" w:line="240" w:lineRule="auto"/>
        <w:jc w:val="both"/>
        <w:rPr>
          <w:rFonts w:ascii="Calibri" w:hAnsi="Calibri" w:eastAsia="Georgia" w:cs="Calibri"/>
          <w:bCs/>
          <w:color w:val="000000" w:themeColor="text1"/>
        </w:rPr>
      </w:pPr>
      <w:r w:rsidRPr="00182B1B">
        <w:rPr>
          <w:rFonts w:ascii="Calibri" w:hAnsi="Calibri" w:eastAsia="Georgia" w:cs="Calibri"/>
          <w:bCs/>
          <w:color w:val="000000" w:themeColor="text1"/>
        </w:rPr>
        <w:t>Exploring the role of technology in monitoring and verifying KPI achievements.</w:t>
      </w:r>
    </w:p>
    <w:p w:rsidRPr="00182B1B" w:rsidR="00317DC9" w:rsidP="00182B1B" w:rsidRDefault="00317DC9" w14:paraId="20F1D379" w14:textId="77777777">
      <w:pPr>
        <w:pStyle w:val="ListParagraph"/>
        <w:numPr>
          <w:ilvl w:val="0"/>
          <w:numId w:val="21"/>
        </w:numPr>
        <w:spacing w:after="0" w:line="240" w:lineRule="auto"/>
        <w:jc w:val="both"/>
        <w:rPr>
          <w:rFonts w:ascii="Calibri" w:hAnsi="Calibri" w:eastAsia="Georgia" w:cs="Calibri"/>
          <w:bCs/>
          <w:color w:val="000000" w:themeColor="text1"/>
        </w:rPr>
      </w:pPr>
      <w:r w:rsidRPr="00182B1B">
        <w:rPr>
          <w:rFonts w:ascii="Calibri" w:hAnsi="Calibri" w:eastAsia="Georgia" w:cs="Calibri"/>
          <w:bCs/>
          <w:color w:val="000000" w:themeColor="text1"/>
        </w:rPr>
        <w:t>Assessing the scalability of SLIDIs in different regional and economic contexts, identifying factors that influence their success.</w:t>
      </w:r>
    </w:p>
    <w:p w:rsidRPr="007A6DF7" w:rsidR="00317DC9" w:rsidP="00F50DCD" w:rsidRDefault="00317DC9" w14:paraId="784A7F47" w14:textId="77777777">
      <w:pPr>
        <w:spacing w:line="240" w:lineRule="auto"/>
        <w:jc w:val="both"/>
        <w:rPr>
          <w:rFonts w:ascii="Calibri" w:hAnsi="Calibri" w:eastAsia="Georgia" w:cs="Calibri"/>
          <w:bCs/>
          <w:caps/>
          <w:color w:val="000000" w:themeColor="text1"/>
          <w:spacing w:val="15"/>
        </w:rPr>
      </w:pPr>
      <w:r w:rsidRPr="007A6DF7">
        <w:rPr>
          <w:rFonts w:ascii="Calibri" w:hAnsi="Calibri" w:eastAsia="Georgia" w:cs="Calibri"/>
          <w:bCs/>
          <w:color w:val="000000" w:themeColor="text1"/>
        </w:rPr>
        <w:br w:type="page"/>
      </w:r>
    </w:p>
    <w:p w:rsidRPr="00166BC8" w:rsidR="00166BC8" w:rsidP="00F50DCD" w:rsidRDefault="007A6DF7" w14:paraId="796E7A6E" w14:textId="1E5BB61D">
      <w:pPr>
        <w:pStyle w:val="Heading2"/>
        <w:spacing w:line="240" w:lineRule="auto"/>
        <w:rPr>
          <w:rFonts w:ascii="Calibri" w:hAnsi="Calibri" w:cs="Calibri"/>
          <w:b/>
          <w:bCs/>
          <w:color w:val="000000" w:themeColor="text1"/>
          <w:sz w:val="22"/>
          <w:szCs w:val="22"/>
        </w:rPr>
      </w:pPr>
      <w:r>
        <w:rPr>
          <w:rFonts w:ascii="Calibri" w:hAnsi="Calibri" w:cs="Calibri"/>
          <w:b/>
          <w:bCs/>
          <w:color w:val="000000" w:themeColor="text1"/>
          <w:sz w:val="22"/>
          <w:szCs w:val="22"/>
        </w:rPr>
        <w:lastRenderedPageBreak/>
        <w:t>BIBLIOGRAPHY</w:t>
      </w:r>
    </w:p>
    <w:p w:rsidRPr="006121A4" w:rsidR="00317DC9" w:rsidP="00F50DCD" w:rsidRDefault="00317DC9" w14:paraId="2672EAE0"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Ahren, L. (2024). SLBs: 2024 issuance slumps as issuer wariness grows. </w:t>
      </w:r>
      <w:r w:rsidRPr="006121A4">
        <w:rPr>
          <w:rFonts w:ascii="Calibri" w:hAnsi="Calibri" w:eastAsia="Georgia" w:cs="Calibri"/>
          <w:i/>
          <w:iCs/>
          <w:color w:val="000000" w:themeColor="text1"/>
        </w:rPr>
        <w:t>Environmental Finance</w:t>
      </w:r>
      <w:r w:rsidRPr="006121A4">
        <w:rPr>
          <w:rFonts w:ascii="Calibri" w:hAnsi="Calibri" w:eastAsia="Georgia" w:cs="Calibri"/>
          <w:color w:val="000000" w:themeColor="text1"/>
        </w:rPr>
        <w:t xml:space="preserve"> </w:t>
      </w:r>
      <w:hyperlink w:history="1" r:id="rId20">
        <w:r w:rsidRPr="006121A4">
          <w:rPr>
            <w:rStyle w:val="Hyperlink"/>
            <w:rFonts w:ascii="Calibri" w:hAnsi="Calibri" w:eastAsia="Georgia" w:cs="Calibri"/>
            <w:color w:val="000000" w:themeColor="text1"/>
          </w:rPr>
          <w:t>online journal article</w:t>
        </w:r>
      </w:hyperlink>
      <w:r w:rsidRPr="006121A4">
        <w:rPr>
          <w:rFonts w:ascii="Calibri" w:hAnsi="Calibri" w:eastAsia="Georgia" w:cs="Calibri"/>
          <w:color w:val="000000" w:themeColor="text1"/>
        </w:rPr>
        <w:t xml:space="preserve">. </w:t>
      </w:r>
    </w:p>
    <w:p w:rsidRPr="006121A4" w:rsidR="00317DC9" w:rsidP="00F50DCD" w:rsidRDefault="00317DC9" w14:paraId="21A9497A" w14:textId="77777777">
      <w:pPr>
        <w:spacing w:after="80" w:line="240" w:lineRule="auto"/>
        <w:jc w:val="both"/>
        <w:rPr>
          <w:rFonts w:ascii="Calibri" w:hAnsi="Calibri" w:eastAsia="Georgia" w:cs="Calibri"/>
          <w:color w:val="000000" w:themeColor="text1"/>
        </w:rPr>
      </w:pPr>
      <w:r w:rsidRPr="006121A4">
        <w:rPr>
          <w:rFonts w:ascii="Calibri" w:hAnsi="Calibri" w:cs="Calibri"/>
          <w:color w:val="000000" w:themeColor="text1"/>
        </w:rPr>
        <w:t xml:space="preserve">Bhattacharya A, Songwe V, Soubeyran E and Stern N (2023) A climate finance framework: decisive action to deliver on the Paris Agreement – Summary. Second report of the Independent High-Level Expert Group on Climate Finance. London: Grantham Research Institute on Climate Change and the Environment, London School of Economics and Political Science. </w:t>
      </w:r>
    </w:p>
    <w:p w:rsidRPr="006121A4" w:rsidR="00317DC9" w:rsidP="00F50DCD" w:rsidRDefault="00317DC9" w14:paraId="76748656"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Bouzidi, A., &amp; Papaioannou, D. (2021). Sovereign Sustainability-Linked Bonds: Opportunities, challenges, and pricing considerations. Monetary Economics: Financial System &amp; Institutions eJournal.</w:t>
      </w:r>
    </w:p>
    <w:p w:rsidRPr="006121A4" w:rsidR="00317DC9" w:rsidP="00F50DCD" w:rsidRDefault="00317DC9" w14:paraId="6F529A35"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Bolton, P., Gulati, M., &amp; Erlandsson, U. (2022). Environmental Protection and Sovereign Debt Restructuring. SSRN Electronic Journal.</w:t>
      </w:r>
    </w:p>
    <w:p w:rsidRPr="006121A4" w:rsidR="00317DC9" w:rsidP="00F50DCD" w:rsidRDefault="00317DC9" w14:paraId="4EF2E4F4"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Cassimon, D., &amp; Essers, D. (2013). A Chameleon called Debt Relief. </w:t>
      </w:r>
      <w:hyperlink w:history="1" r:id="rId21">
        <w:r w:rsidRPr="006121A4">
          <w:rPr>
            <w:rStyle w:val="Hyperlink"/>
            <w:rFonts w:ascii="Calibri" w:hAnsi="Calibri" w:eastAsia="Georgia" w:cs="Calibri"/>
            <w:color w:val="000000" w:themeColor="text1"/>
          </w:rPr>
          <w:t>IOB Working Paper 2013.01</w:t>
        </w:r>
      </w:hyperlink>
      <w:r w:rsidRPr="006121A4">
        <w:rPr>
          <w:rFonts w:ascii="Calibri" w:hAnsi="Calibri" w:eastAsia="Georgia" w:cs="Calibri"/>
          <w:color w:val="000000" w:themeColor="text1"/>
        </w:rPr>
        <w:t xml:space="preserve">. </w:t>
      </w:r>
    </w:p>
    <w:p w:rsidR="00317DC9" w:rsidP="00F50DCD" w:rsidRDefault="00317DC9" w14:paraId="57464EAA" w14:textId="77777777">
      <w:pPr>
        <w:spacing w:after="80" w:line="240" w:lineRule="auto"/>
        <w:jc w:val="both"/>
        <w:rPr>
          <w:rStyle w:val="Hyperlink"/>
          <w:rFonts w:ascii="Calibri" w:hAnsi="Calibri" w:cs="Calibri"/>
          <w:color w:val="000000" w:themeColor="text1"/>
        </w:rPr>
      </w:pPr>
      <w:r w:rsidRPr="006121A4">
        <w:rPr>
          <w:rFonts w:ascii="Calibri" w:hAnsi="Calibri" w:cs="Calibri"/>
          <w:color w:val="000000" w:themeColor="text1"/>
          <w:shd w:val="clear" w:color="auto" w:fill="FFFFFF"/>
        </w:rPr>
        <w:t>Chowdhury, A., &amp; Tadjoeddin, M. Z. (2022). Financing green transformation in developing countries. </w:t>
      </w:r>
      <w:r w:rsidRPr="006121A4">
        <w:rPr>
          <w:rFonts w:ascii="Calibri" w:hAnsi="Calibri" w:cs="Calibri"/>
          <w:i/>
          <w:iCs/>
          <w:color w:val="000000" w:themeColor="text1"/>
          <w:shd w:val="clear" w:color="auto" w:fill="FFFFFF"/>
        </w:rPr>
        <w:t>Canadian Journal of Development Studies / Revue Canadienne d’études Du Développement</w:t>
      </w:r>
      <w:r w:rsidRPr="006121A4">
        <w:rPr>
          <w:rFonts w:ascii="Calibri" w:hAnsi="Calibri" w:cs="Calibri"/>
          <w:color w:val="000000" w:themeColor="text1"/>
          <w:shd w:val="clear" w:color="auto" w:fill="FFFFFF"/>
        </w:rPr>
        <w:t>, </w:t>
      </w:r>
      <w:r w:rsidRPr="006121A4">
        <w:rPr>
          <w:rFonts w:ascii="Calibri" w:hAnsi="Calibri" w:cs="Calibri"/>
          <w:i/>
          <w:iCs/>
          <w:color w:val="000000" w:themeColor="text1"/>
          <w:shd w:val="clear" w:color="auto" w:fill="FFFFFF"/>
        </w:rPr>
        <w:t>44</w:t>
      </w:r>
      <w:r w:rsidRPr="006121A4">
        <w:rPr>
          <w:rFonts w:ascii="Calibri" w:hAnsi="Calibri" w:cs="Calibri"/>
          <w:color w:val="000000" w:themeColor="text1"/>
          <w:shd w:val="clear" w:color="auto" w:fill="FFFFFF"/>
        </w:rPr>
        <w:t xml:space="preserve">(3), 430–453. </w:t>
      </w:r>
      <w:hyperlink r:id="rId22">
        <w:r w:rsidRPr="006121A4">
          <w:rPr>
            <w:rStyle w:val="Hyperlink"/>
            <w:rFonts w:ascii="Calibri" w:hAnsi="Calibri" w:cs="Calibri"/>
            <w:color w:val="000000" w:themeColor="text1"/>
          </w:rPr>
          <w:t>https://doi.org/10.1080/02255189.2022.2113767</w:t>
        </w:r>
      </w:hyperlink>
    </w:p>
    <w:p w:rsidRPr="00D757E5" w:rsidR="00D757E5" w:rsidP="00F50DCD" w:rsidRDefault="00D757E5" w14:paraId="7B0058D0" w14:textId="65AFCEC3">
      <w:pPr>
        <w:spacing w:after="80" w:line="240" w:lineRule="auto"/>
        <w:jc w:val="both"/>
        <w:rPr>
          <w:rFonts w:ascii="Calibri" w:hAnsi="Calibri" w:cs="Calibri"/>
          <w:color w:val="000000" w:themeColor="text1"/>
          <w:lang w:val="en-GB"/>
        </w:rPr>
      </w:pPr>
      <w:r w:rsidRPr="00D757E5">
        <w:rPr>
          <w:rStyle w:val="Hyperlink"/>
          <w:rFonts w:ascii="Calibri" w:hAnsi="Calibri" w:cs="Calibri"/>
          <w:color w:val="000000" w:themeColor="text1"/>
          <w:u w:val="none"/>
        </w:rPr>
        <w:t>Clima</w:t>
      </w:r>
      <w:r>
        <w:rPr>
          <w:rStyle w:val="Hyperlink"/>
          <w:rFonts w:ascii="Calibri" w:hAnsi="Calibri" w:cs="Calibri"/>
          <w:color w:val="000000" w:themeColor="text1"/>
          <w:u w:val="none"/>
        </w:rPr>
        <w:t xml:space="preserve">te Bonds Initiative (2024). </w:t>
      </w:r>
      <w:r w:rsidRPr="00D757E5">
        <w:rPr>
          <w:rFonts w:ascii="Calibri" w:hAnsi="Calibri" w:cs="Calibri"/>
          <w:color w:val="000000" w:themeColor="text1"/>
          <w:lang w:val="en-GB"/>
        </w:rPr>
        <w:t>Sustainability-Linked Bonds: Building a High-Quality Market</w:t>
      </w:r>
      <w:r>
        <w:rPr>
          <w:rFonts w:ascii="Calibri" w:hAnsi="Calibri" w:cs="Calibri"/>
          <w:color w:val="000000" w:themeColor="text1"/>
          <w:lang w:val="en-GB"/>
        </w:rPr>
        <w:t xml:space="preserve">. </w:t>
      </w:r>
      <w:hyperlink w:history="1" r:id="rId23">
        <w:r w:rsidRPr="00D757E5">
          <w:rPr>
            <w:rStyle w:val="Hyperlink"/>
            <w:rFonts w:ascii="Calibri" w:hAnsi="Calibri" w:cs="Calibri"/>
            <w:lang w:val="en-GB"/>
          </w:rPr>
          <w:t>Online Report</w:t>
        </w:r>
      </w:hyperlink>
      <w:r>
        <w:rPr>
          <w:rFonts w:ascii="Calibri" w:hAnsi="Calibri" w:cs="Calibri"/>
          <w:color w:val="000000" w:themeColor="text1"/>
          <w:lang w:val="en-GB"/>
        </w:rPr>
        <w:t>.</w:t>
      </w:r>
    </w:p>
    <w:p w:rsidRPr="006121A4" w:rsidR="00317DC9" w:rsidP="00F50DCD" w:rsidRDefault="00317DC9" w14:paraId="3F44AA6C" w14:textId="49CEA18F">
      <w:pPr>
        <w:spacing w:after="80" w:line="240" w:lineRule="auto"/>
        <w:jc w:val="both"/>
        <w:rPr>
          <w:rFonts w:ascii="Calibri" w:hAnsi="Calibri" w:cs="Calibri"/>
          <w:color w:val="000000" w:themeColor="text1"/>
        </w:rPr>
      </w:pPr>
      <w:r w:rsidRPr="006121A4">
        <w:rPr>
          <w:rFonts w:ascii="Calibri" w:hAnsi="Calibri" w:cs="Calibri" w:eastAsiaTheme="minorEastAsia"/>
          <w:color w:val="000000" w:themeColor="text1"/>
        </w:rPr>
        <w:t xml:space="preserve">Diwan I, Kessler M, Songwe V. A Bridge </w:t>
      </w:r>
      <w:r w:rsidRPr="006121A4" w:rsidR="00367AE5">
        <w:rPr>
          <w:rFonts w:ascii="Calibri" w:hAnsi="Calibri" w:cs="Calibri" w:eastAsiaTheme="minorEastAsia"/>
          <w:color w:val="000000" w:themeColor="text1"/>
        </w:rPr>
        <w:t>to</w:t>
      </w:r>
      <w:r w:rsidRPr="006121A4">
        <w:rPr>
          <w:rFonts w:ascii="Calibri" w:hAnsi="Calibri" w:cs="Calibri" w:eastAsiaTheme="minorEastAsia"/>
          <w:color w:val="000000" w:themeColor="text1"/>
        </w:rPr>
        <w:t xml:space="preserve"> Climate Action: A Tripartite Deal </w:t>
      </w:r>
      <w:r w:rsidRPr="006121A4" w:rsidR="00367AE5">
        <w:rPr>
          <w:rFonts w:ascii="Calibri" w:hAnsi="Calibri" w:cs="Calibri" w:eastAsiaTheme="minorEastAsia"/>
          <w:color w:val="000000" w:themeColor="text1"/>
        </w:rPr>
        <w:t>for</w:t>
      </w:r>
      <w:r w:rsidRPr="006121A4">
        <w:rPr>
          <w:rFonts w:ascii="Calibri" w:hAnsi="Calibri" w:cs="Calibri" w:eastAsiaTheme="minorEastAsia"/>
          <w:color w:val="000000" w:themeColor="text1"/>
        </w:rPr>
        <w:t xml:space="preserve"> Times of Illiquidity. CEPREMAP; 2024 Jan. https://findevlab.org/wp-content/uploads/2024/01/FDL_A_Bridge_to_Climate_Action_final.pdf</w:t>
      </w:r>
    </w:p>
    <w:p w:rsidRPr="006121A4" w:rsidR="00317DC9" w:rsidP="00F50DCD" w:rsidRDefault="00317DC9" w14:paraId="484AC2D5" w14:textId="77777777">
      <w:pPr>
        <w:spacing w:after="80" w:line="240" w:lineRule="auto"/>
        <w:jc w:val="both"/>
        <w:rPr>
          <w:rFonts w:ascii="Calibri" w:hAnsi="Calibri" w:cs="Calibri"/>
          <w:color w:val="000000" w:themeColor="text1"/>
          <w:shd w:val="clear" w:color="auto" w:fill="FFFFFF"/>
        </w:rPr>
      </w:pPr>
      <w:r w:rsidRPr="006121A4">
        <w:rPr>
          <w:rFonts w:ascii="Calibri" w:hAnsi="Calibri" w:eastAsia="Georgia" w:cs="Calibri"/>
          <w:color w:val="000000" w:themeColor="text1"/>
        </w:rPr>
        <w:t xml:space="preserve">Giráldez, J., &amp; Fontana, S. (2022). Sustainability-Linked Bonds: The Next Frontier in </w:t>
      </w:r>
      <w:r w:rsidRPr="006121A4">
        <w:rPr>
          <w:rFonts w:ascii="Calibri" w:hAnsi="Calibri" w:cs="Calibri"/>
          <w:color w:val="000000" w:themeColor="text1"/>
          <w:shd w:val="clear" w:color="auto" w:fill="FFFFFF"/>
        </w:rPr>
        <w:t>Sovereign Financing, Oxford University Press, vol. 17(1), pages 8-19.</w:t>
      </w:r>
    </w:p>
    <w:p w:rsidR="00317DC9" w:rsidP="00F50DCD" w:rsidRDefault="00317DC9" w14:paraId="772137CC" w14:textId="77777777">
      <w:pPr>
        <w:spacing w:after="80" w:line="240" w:lineRule="auto"/>
        <w:jc w:val="both"/>
        <w:rPr>
          <w:rFonts w:ascii="Calibri" w:hAnsi="Calibri" w:eastAsia="Georgia" w:cs="Calibri"/>
          <w:color w:val="000000" w:themeColor="text1"/>
        </w:rPr>
      </w:pPr>
      <w:r w:rsidRPr="006121A4">
        <w:rPr>
          <w:rFonts w:ascii="Calibri" w:hAnsi="Calibri" w:cs="Calibri"/>
          <w:color w:val="000000" w:themeColor="text1"/>
          <w:shd w:val="clear" w:color="auto" w:fill="FFFFFF"/>
        </w:rPr>
        <w:t>Hurrell, A. (2024). Geopolitics and global economic governance, </w:t>
      </w:r>
      <w:r w:rsidRPr="006121A4">
        <w:rPr>
          <w:rFonts w:ascii="Calibri" w:hAnsi="Calibri" w:cs="Calibri"/>
          <w:i/>
          <w:iCs/>
          <w:color w:val="000000" w:themeColor="text1"/>
          <w:shd w:val="clear" w:color="auto" w:fill="FFFFFF"/>
        </w:rPr>
        <w:t>Oxford Review of Economic Policy</w:t>
      </w:r>
      <w:r w:rsidRPr="006121A4">
        <w:rPr>
          <w:rFonts w:ascii="Calibri" w:hAnsi="Calibri" w:cs="Calibri"/>
          <w:color w:val="000000" w:themeColor="text1"/>
          <w:shd w:val="clear" w:color="auto" w:fill="FFFFFF"/>
        </w:rPr>
        <w:t xml:space="preserve">, Volume 40, Issue 2, Summer 2024, Pages 220–233. </w:t>
      </w:r>
      <w:r w:rsidRPr="006121A4">
        <w:rPr>
          <w:rFonts w:ascii="Calibri" w:hAnsi="Calibri" w:eastAsia="Georgia" w:cs="Calibri"/>
          <w:color w:val="000000" w:themeColor="text1"/>
        </w:rPr>
        <w:t xml:space="preserve"> </w:t>
      </w:r>
    </w:p>
    <w:p w:rsidRPr="006121A4" w:rsidR="003D79F3" w:rsidP="00F50DCD" w:rsidRDefault="003D79F3" w14:paraId="372F4A2B"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International Energy Agency (IEA) (2023). Scaling Up Private Finance for Clean Energy in Emerging and Developing Economies. </w:t>
      </w:r>
      <w:hyperlink w:history="1" r:id="rId24">
        <w:r w:rsidRPr="006121A4">
          <w:rPr>
            <w:rStyle w:val="Hyperlink"/>
            <w:rFonts w:ascii="Calibri" w:hAnsi="Calibri" w:eastAsia="Georgia" w:cs="Calibri"/>
            <w:color w:val="000000" w:themeColor="text1"/>
          </w:rPr>
          <w:t>Online report</w:t>
        </w:r>
      </w:hyperlink>
      <w:r w:rsidRPr="006121A4">
        <w:rPr>
          <w:rFonts w:ascii="Calibri" w:hAnsi="Calibri" w:eastAsia="Georgia" w:cs="Calibri"/>
          <w:color w:val="000000" w:themeColor="text1"/>
        </w:rPr>
        <w:t xml:space="preserve">. </w:t>
      </w:r>
    </w:p>
    <w:p w:rsidRPr="006121A4" w:rsidR="003D79F3" w:rsidP="00F50DCD" w:rsidRDefault="003D79F3" w14:paraId="3317E815" w14:textId="3E262628">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International Monetary Fund (IMF) (2023). Emerging economies need much more private financing for climate transition. </w:t>
      </w:r>
      <w:hyperlink w:history="1" r:id="rId25">
        <w:r w:rsidRPr="006121A4">
          <w:rPr>
            <w:rStyle w:val="Hyperlink"/>
            <w:rFonts w:ascii="Calibri" w:hAnsi="Calibri" w:eastAsia="Georgia" w:cs="Calibri"/>
            <w:color w:val="000000" w:themeColor="text1"/>
          </w:rPr>
          <w:t>Online research blog post</w:t>
        </w:r>
      </w:hyperlink>
      <w:r w:rsidRPr="006121A4">
        <w:rPr>
          <w:rFonts w:ascii="Calibri" w:hAnsi="Calibri" w:eastAsia="Georgia" w:cs="Calibri"/>
          <w:color w:val="000000" w:themeColor="text1"/>
        </w:rPr>
        <w:t xml:space="preserve"> by Prasad Ananthakrishnan </w:t>
      </w:r>
      <w:r w:rsidRPr="006121A4">
        <w:rPr>
          <w:rFonts w:ascii="Calibri" w:hAnsi="Calibri" w:eastAsia="Georgia" w:cs="Calibri"/>
          <w:i/>
          <w:iCs/>
          <w:color w:val="000000" w:themeColor="text1"/>
        </w:rPr>
        <w:t>et al</w:t>
      </w:r>
      <w:r w:rsidRPr="006121A4">
        <w:rPr>
          <w:rFonts w:ascii="Calibri" w:hAnsi="Calibri" w:eastAsia="Georgia" w:cs="Calibri"/>
          <w:color w:val="000000" w:themeColor="text1"/>
        </w:rPr>
        <w:t>.</w:t>
      </w:r>
    </w:p>
    <w:p w:rsidRPr="006121A4" w:rsidR="00317DC9" w:rsidP="00F50DCD" w:rsidRDefault="00317DC9" w14:paraId="506685D1"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Kölbel, J. F., &amp; Lambillon, A. (2022). Who Pays for Sustainability? An Analysis of Sustainability-Linked Bonds. SSRN Electronic Journal.</w:t>
      </w:r>
    </w:p>
    <w:p w:rsidRPr="006121A4" w:rsidR="00317DC9" w:rsidP="00F50DCD" w:rsidRDefault="00317DC9" w14:paraId="63FB93C6"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Lefournier, Julien (2023). The design flaw in Sustainability-Linked Bonds. </w:t>
      </w:r>
      <w:hyperlink w:history="1" r:id="rId26">
        <w:r w:rsidRPr="006121A4">
          <w:rPr>
            <w:rStyle w:val="Hyperlink"/>
            <w:rFonts w:ascii="Calibri" w:hAnsi="Calibri" w:eastAsia="Georgia" w:cs="Calibri"/>
            <w:color w:val="000000" w:themeColor="text1"/>
          </w:rPr>
          <w:t>Working paper</w:t>
        </w:r>
      </w:hyperlink>
      <w:r w:rsidRPr="006121A4">
        <w:rPr>
          <w:rFonts w:ascii="Calibri" w:hAnsi="Calibri" w:eastAsia="Georgia" w:cs="Calibri"/>
          <w:color w:val="000000" w:themeColor="text1"/>
        </w:rPr>
        <w:t xml:space="preserve"> (06/2023), Institut Louis Bachelier, Paris, France. </w:t>
      </w:r>
    </w:p>
    <w:p w:rsidRPr="006121A4" w:rsidR="00317DC9" w:rsidP="00F50DCD" w:rsidRDefault="00317DC9" w14:paraId="45610C50"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Maplecroft (a subsidiary of Verisk Analytics) (August 2024). </w:t>
      </w:r>
      <w:hyperlink w:history="1" r:id="rId27">
        <w:r w:rsidRPr="006121A4">
          <w:rPr>
            <w:rStyle w:val="Hyperlink"/>
            <w:rFonts w:ascii="Calibri" w:hAnsi="Calibri" w:eastAsia="Georgia" w:cs="Calibri"/>
            <w:color w:val="000000" w:themeColor="text1"/>
          </w:rPr>
          <w:t>Online report</w:t>
        </w:r>
      </w:hyperlink>
      <w:r w:rsidRPr="006121A4">
        <w:rPr>
          <w:rFonts w:ascii="Calibri" w:hAnsi="Calibri" w:eastAsia="Georgia" w:cs="Calibri"/>
          <w:color w:val="000000" w:themeColor="text1"/>
        </w:rPr>
        <w:t>: The rise of the Sovereign Sustainability-linked Bond: What should investors be looking for?</w:t>
      </w:r>
    </w:p>
    <w:p w:rsidRPr="006121A4" w:rsidR="00317DC9" w:rsidP="00F50DCD" w:rsidRDefault="00317DC9" w14:paraId="37223CCB"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McGeady, C. and Baskaran, G. (2023). Private Capital Mobilization for Climate Finance in an International Context. </w:t>
      </w:r>
      <w:hyperlink w:history="1" r:id="rId28">
        <w:r w:rsidRPr="006121A4">
          <w:rPr>
            <w:rStyle w:val="Hyperlink"/>
            <w:rFonts w:ascii="Calibri" w:hAnsi="Calibri" w:eastAsia="Georgia" w:cs="Calibri"/>
            <w:color w:val="000000" w:themeColor="text1"/>
          </w:rPr>
          <w:t>Online report</w:t>
        </w:r>
      </w:hyperlink>
      <w:r w:rsidRPr="006121A4">
        <w:rPr>
          <w:rFonts w:ascii="Calibri" w:hAnsi="Calibri" w:eastAsia="Georgia" w:cs="Calibri"/>
          <w:color w:val="000000" w:themeColor="text1"/>
        </w:rPr>
        <w:t xml:space="preserve">. CSIS, Center for Strategic &amp; International Studies. </w:t>
      </w:r>
    </w:p>
    <w:p w:rsidRPr="006121A4" w:rsidR="00317DC9" w:rsidP="00F50DCD" w:rsidRDefault="00317DC9" w14:paraId="37830885"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McKinsey Global Institute (2022). The net-zero transition: What it would cost, what it could bring. </w:t>
      </w:r>
      <w:hyperlink w:history="1" r:id="rId29">
        <w:r w:rsidRPr="006121A4">
          <w:rPr>
            <w:rStyle w:val="Hyperlink"/>
            <w:rFonts w:ascii="Calibri" w:hAnsi="Calibri" w:eastAsia="Georgia" w:cs="Calibri"/>
            <w:color w:val="000000" w:themeColor="text1"/>
          </w:rPr>
          <w:t>Online report</w:t>
        </w:r>
      </w:hyperlink>
      <w:r w:rsidRPr="006121A4">
        <w:rPr>
          <w:rFonts w:ascii="Calibri" w:hAnsi="Calibri" w:eastAsia="Georgia" w:cs="Calibri"/>
          <w:color w:val="000000" w:themeColor="text1"/>
        </w:rPr>
        <w:t xml:space="preserve">. </w:t>
      </w:r>
    </w:p>
    <w:p w:rsidRPr="006121A4" w:rsidR="00317DC9" w:rsidP="00F50DCD" w:rsidRDefault="00317DC9" w14:paraId="38EAA8D0"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McKinsey (2023). Solving the climate finance equation for developing countries. </w:t>
      </w:r>
      <w:hyperlink w:history="1" r:id="rId30">
        <w:r w:rsidRPr="006121A4">
          <w:rPr>
            <w:rStyle w:val="Hyperlink"/>
            <w:rFonts w:ascii="Calibri" w:hAnsi="Calibri" w:eastAsia="Georgia" w:cs="Calibri"/>
            <w:color w:val="000000" w:themeColor="text1"/>
          </w:rPr>
          <w:t>Online article</w:t>
        </w:r>
      </w:hyperlink>
      <w:r w:rsidRPr="006121A4">
        <w:rPr>
          <w:rFonts w:ascii="Calibri" w:hAnsi="Calibri" w:eastAsia="Georgia" w:cs="Calibri"/>
          <w:color w:val="000000" w:themeColor="text1"/>
        </w:rPr>
        <w:t>.</w:t>
      </w:r>
    </w:p>
    <w:p w:rsidRPr="006121A4" w:rsidR="00317DC9" w:rsidP="00F50DCD" w:rsidRDefault="00537A5E" w14:paraId="1D5B0CE1" w14:textId="46107D51">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Organization</w:t>
      </w:r>
      <w:r w:rsidRPr="006121A4" w:rsidR="00317DC9">
        <w:rPr>
          <w:rFonts w:ascii="Calibri" w:hAnsi="Calibri" w:eastAsia="Georgia" w:cs="Calibri"/>
          <w:color w:val="000000" w:themeColor="text1"/>
        </w:rPr>
        <w:t xml:space="preserve"> for Economic Cooperation and Development (OECD) (2024a). Climate finance and the USD 100 billion goal. </w:t>
      </w:r>
      <w:hyperlink w:history="1" w:anchor=":~:text=Close-,About,actions%20and%20transparency%20on%20implementation." r:id="rId31">
        <w:r w:rsidRPr="006121A4" w:rsidR="00317DC9">
          <w:rPr>
            <w:rStyle w:val="Hyperlink"/>
            <w:rFonts w:ascii="Calibri" w:hAnsi="Calibri" w:eastAsia="Georgia" w:cs="Calibri"/>
            <w:color w:val="000000" w:themeColor="text1"/>
          </w:rPr>
          <w:t>Online report</w:t>
        </w:r>
      </w:hyperlink>
      <w:r w:rsidRPr="006121A4" w:rsidR="00317DC9">
        <w:rPr>
          <w:rFonts w:ascii="Calibri" w:hAnsi="Calibri" w:eastAsia="Georgia" w:cs="Calibri"/>
          <w:color w:val="000000" w:themeColor="text1"/>
        </w:rPr>
        <w:t>.</w:t>
      </w:r>
    </w:p>
    <w:p w:rsidRPr="006121A4" w:rsidR="00317DC9" w:rsidP="00F50DCD" w:rsidRDefault="00537A5E" w14:paraId="4909DAFF" w14:textId="188CEC0E">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Organization</w:t>
      </w:r>
      <w:r w:rsidRPr="006121A4" w:rsidR="00317DC9">
        <w:rPr>
          <w:rFonts w:ascii="Calibri" w:hAnsi="Calibri" w:eastAsia="Georgia" w:cs="Calibri"/>
          <w:color w:val="000000" w:themeColor="text1"/>
        </w:rPr>
        <w:t xml:space="preserve"> for Economic Cooperation and Development (OECD) (2024b). Sustainability-linked bonds: How to make them work for developing countries, and how donors can help. </w:t>
      </w:r>
      <w:hyperlink w:history="1" r:id="rId32">
        <w:r w:rsidRPr="006121A4" w:rsidR="00317DC9">
          <w:rPr>
            <w:rStyle w:val="Hyperlink"/>
            <w:rFonts w:ascii="Calibri" w:hAnsi="Calibri" w:eastAsia="Georgia" w:cs="Calibri"/>
            <w:color w:val="000000" w:themeColor="text1"/>
          </w:rPr>
          <w:t>Online report</w:t>
        </w:r>
      </w:hyperlink>
      <w:r w:rsidRPr="006121A4" w:rsidR="00317DC9">
        <w:rPr>
          <w:rFonts w:ascii="Calibri" w:hAnsi="Calibri" w:eastAsia="Georgia" w:cs="Calibri"/>
          <w:color w:val="000000" w:themeColor="text1"/>
        </w:rPr>
        <w:t xml:space="preserve">. Paul Horrocks </w:t>
      </w:r>
      <w:r w:rsidRPr="006121A4" w:rsidR="00317DC9">
        <w:rPr>
          <w:rFonts w:ascii="Calibri" w:hAnsi="Calibri" w:eastAsia="Georgia" w:cs="Calibri"/>
          <w:i/>
          <w:iCs/>
          <w:color w:val="000000" w:themeColor="text1"/>
        </w:rPr>
        <w:t>et al</w:t>
      </w:r>
      <w:r w:rsidRPr="006121A4" w:rsidR="00317DC9">
        <w:rPr>
          <w:rFonts w:ascii="Calibri" w:hAnsi="Calibri" w:eastAsia="Georgia" w:cs="Calibri"/>
          <w:color w:val="000000" w:themeColor="text1"/>
        </w:rPr>
        <w:t xml:space="preserve">. </w:t>
      </w:r>
    </w:p>
    <w:p w:rsidR="00317DC9" w:rsidP="00F50DCD" w:rsidRDefault="00317DC9" w14:paraId="1A233883"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lastRenderedPageBreak/>
        <w:t>Silva, J. (2021). Scaling up Green, Social, Sustainability and Sustainability-linked Bond Issuances in Developing Countries. OECD Development Perspectives.</w:t>
      </w:r>
    </w:p>
    <w:p w:rsidRPr="006121A4" w:rsidR="003B33FF" w:rsidP="00F50DCD" w:rsidRDefault="003B33FF" w14:paraId="3AE765DA" w14:textId="6FEBD0FA">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Uruguay (2022). </w:t>
      </w:r>
      <w:hyperlink w:history="1" r:id="rId33">
        <w:r w:rsidRPr="006121A4">
          <w:rPr>
            <w:rStyle w:val="Hyperlink"/>
            <w:rFonts w:ascii="Calibri" w:hAnsi="Calibri" w:eastAsia="Georgia" w:cs="Calibri"/>
            <w:color w:val="000000" w:themeColor="text1"/>
          </w:rPr>
          <w:t>Online report</w:t>
        </w:r>
      </w:hyperlink>
      <w:r w:rsidRPr="006121A4">
        <w:rPr>
          <w:rFonts w:ascii="Calibri" w:hAnsi="Calibri" w:eastAsia="Georgia" w:cs="Calibri"/>
          <w:color w:val="000000" w:themeColor="text1"/>
        </w:rPr>
        <w:t xml:space="preserve">: Uruguay's Sovereign Sustainability-Linked Bond (SSLB) Framework for sustainability-linked bonds focused on climate and nature-based targets. </w:t>
      </w:r>
    </w:p>
    <w:p w:rsidR="00317DC9" w:rsidP="00F50DCD" w:rsidRDefault="00317DC9" w14:paraId="543BC531" w14:textId="77777777">
      <w:pPr>
        <w:spacing w:after="80" w:line="240" w:lineRule="auto"/>
        <w:jc w:val="both"/>
        <w:rPr>
          <w:rFonts w:ascii="Calibri" w:hAnsi="Calibri" w:eastAsia="Georgia" w:cs="Calibri"/>
          <w:color w:val="000000" w:themeColor="text1"/>
        </w:rPr>
      </w:pPr>
      <w:r w:rsidRPr="006121A4">
        <w:rPr>
          <w:rFonts w:ascii="Calibri" w:hAnsi="Calibri" w:eastAsia="Georgia" w:cs="Calibri"/>
          <w:color w:val="000000" w:themeColor="text1"/>
        </w:rPr>
        <w:t xml:space="preserve">World Bank (June 2023). Detox development: Repurposing environmentally harmful subsidies. </w:t>
      </w:r>
      <w:hyperlink w:history="1" r:id="rId34">
        <w:r w:rsidRPr="006121A4">
          <w:rPr>
            <w:rStyle w:val="Hyperlink"/>
            <w:rFonts w:ascii="Calibri" w:hAnsi="Calibri" w:eastAsia="Georgia" w:cs="Calibri"/>
            <w:color w:val="000000" w:themeColor="text1"/>
          </w:rPr>
          <w:t>Online report</w:t>
        </w:r>
      </w:hyperlink>
      <w:r w:rsidRPr="006121A4">
        <w:rPr>
          <w:rFonts w:ascii="Calibri" w:hAnsi="Calibri" w:eastAsia="Georgia" w:cs="Calibri"/>
          <w:color w:val="000000" w:themeColor="text1"/>
        </w:rPr>
        <w:t xml:space="preserve"> by Richard Damania </w:t>
      </w:r>
      <w:r w:rsidRPr="006121A4">
        <w:rPr>
          <w:rFonts w:ascii="Calibri" w:hAnsi="Calibri" w:eastAsia="Georgia" w:cs="Calibri"/>
          <w:i/>
          <w:iCs/>
          <w:color w:val="000000" w:themeColor="text1"/>
        </w:rPr>
        <w:t>et al</w:t>
      </w:r>
      <w:r w:rsidRPr="006121A4">
        <w:rPr>
          <w:rFonts w:ascii="Calibri" w:hAnsi="Calibri" w:eastAsia="Georgia" w:cs="Calibri"/>
          <w:color w:val="000000" w:themeColor="text1"/>
        </w:rPr>
        <w:t>.</w:t>
      </w:r>
      <w:bookmarkStart w:name="_Toc61258528" w:id="14"/>
    </w:p>
    <w:p w:rsidRPr="006121A4" w:rsidR="00176D37" w:rsidP="00F50DCD" w:rsidRDefault="00176D37" w14:paraId="30724A7E" w14:textId="581E5289">
      <w:pPr>
        <w:spacing w:after="80" w:line="240" w:lineRule="auto"/>
        <w:jc w:val="both"/>
        <w:rPr>
          <w:rFonts w:ascii="Calibri" w:hAnsi="Calibri" w:eastAsia="Georgia" w:cs="Calibri"/>
          <w:color w:val="000000" w:themeColor="text1"/>
        </w:rPr>
      </w:pPr>
      <w:r>
        <w:rPr>
          <w:rFonts w:ascii="Calibri" w:hAnsi="Calibri" w:eastAsia="Georgia" w:cs="Calibri"/>
          <w:color w:val="000000" w:themeColor="text1"/>
        </w:rPr>
        <w:t xml:space="preserve">World Bank (2024). World Bank Climate Finance 2024. </w:t>
      </w:r>
      <w:hyperlink w:history="1" r:id="rId35">
        <w:r w:rsidRPr="00176D37">
          <w:rPr>
            <w:rStyle w:val="Hyperlink"/>
            <w:rFonts w:ascii="Calibri" w:hAnsi="Calibri" w:eastAsia="Georgia" w:cs="Calibri"/>
          </w:rPr>
          <w:t>Online Report.</w:t>
        </w:r>
      </w:hyperlink>
      <w:r>
        <w:rPr>
          <w:rFonts w:ascii="Calibri" w:hAnsi="Calibri" w:eastAsia="Georgia" w:cs="Calibri"/>
          <w:color w:val="000000" w:themeColor="text1"/>
        </w:rPr>
        <w:t xml:space="preserve"> </w:t>
      </w:r>
    </w:p>
    <w:bookmarkEnd w:id="14"/>
    <w:p w:rsidRPr="006121A4" w:rsidR="00317DC9" w:rsidP="00F50DCD" w:rsidRDefault="00317DC9" w14:paraId="30B52D04" w14:textId="77777777">
      <w:pPr>
        <w:spacing w:line="240" w:lineRule="auto"/>
        <w:jc w:val="both"/>
        <w:rPr>
          <w:rFonts w:ascii="Calibri" w:hAnsi="Calibri" w:eastAsia="Georgia" w:cs="Calibri"/>
          <w:b/>
          <w:caps/>
          <w:color w:val="000000" w:themeColor="text1"/>
          <w:spacing w:val="15"/>
        </w:rPr>
      </w:pPr>
    </w:p>
    <w:p w:rsidRPr="006121A4" w:rsidR="00317DC9" w:rsidP="00F50DCD" w:rsidRDefault="00317DC9" w14:paraId="57C8718A" w14:textId="30328214">
      <w:pPr>
        <w:rPr>
          <w:rFonts w:ascii="Calibri" w:hAnsi="Calibri" w:cs="Calibri"/>
          <w:color w:val="000000" w:themeColor="text1"/>
        </w:rPr>
      </w:pPr>
    </w:p>
    <w:sectPr w:rsidRPr="006121A4" w:rsidR="00317DC9">
      <w:footerReference w:type="even" r:id="rId36"/>
      <w:footerReference w:type="default" r:id="rId3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90A93" w:rsidP="00316E7F" w:rsidRDefault="00A90A93" w14:paraId="6C943ACA" w14:textId="77777777">
      <w:pPr>
        <w:spacing w:after="0" w:line="240" w:lineRule="auto"/>
      </w:pPr>
      <w:r>
        <w:separator/>
      </w:r>
    </w:p>
  </w:endnote>
  <w:endnote w:type="continuationSeparator" w:id="0">
    <w:p w:rsidR="00A90A93" w:rsidP="00316E7F" w:rsidRDefault="00A90A93" w14:paraId="59B799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1612313"/>
      <w:docPartObj>
        <w:docPartGallery w:val="Page Numbers (Bottom of Page)"/>
        <w:docPartUnique/>
      </w:docPartObj>
    </w:sdtPr>
    <w:sdtEndPr>
      <w:rPr>
        <w:rStyle w:val="PageNumber"/>
      </w:rPr>
    </w:sdtEndPr>
    <w:sdtContent>
      <w:p w:rsidR="00316E7F" w:rsidP="003110E5" w:rsidRDefault="00316E7F" w14:paraId="74C46A05" w14:textId="413EDD64">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16E7F" w:rsidP="00316E7F" w:rsidRDefault="00316E7F" w14:paraId="3C2BBB7C"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18"/>
        <w:szCs w:val="18"/>
      </w:rPr>
      <w:id w:val="-1474366473"/>
      <w:docPartObj>
        <w:docPartGallery w:val="Page Numbers (Bottom of Page)"/>
        <w:docPartUnique/>
      </w:docPartObj>
    </w:sdtPr>
    <w:sdtEndPr>
      <w:rPr>
        <w:rStyle w:val="PageNumber"/>
        <w:sz w:val="18"/>
        <w:szCs w:val="18"/>
      </w:rPr>
    </w:sdtEndPr>
    <w:sdtContent>
      <w:p w:rsidRPr="00316E7F" w:rsidR="00316E7F" w:rsidP="003110E5" w:rsidRDefault="00316E7F" w14:paraId="4AE738C1" w14:textId="5838D2D6">
        <w:pPr>
          <w:pStyle w:val="Footer"/>
          <w:framePr w:wrap="none" w:hAnchor="margin" w:vAnchor="text" w:xAlign="right" w:y="1"/>
          <w:rPr>
            <w:rStyle w:val="PageNumber"/>
            <w:sz w:val="18"/>
            <w:szCs w:val="18"/>
          </w:rPr>
        </w:pPr>
        <w:r w:rsidRPr="00316E7F">
          <w:rPr>
            <w:rStyle w:val="PageNumber"/>
            <w:sz w:val="18"/>
            <w:szCs w:val="18"/>
          </w:rPr>
          <w:fldChar w:fldCharType="begin"/>
        </w:r>
        <w:r w:rsidRPr="00316E7F">
          <w:rPr>
            <w:rStyle w:val="PageNumber"/>
            <w:sz w:val="18"/>
            <w:szCs w:val="18"/>
          </w:rPr>
          <w:instrText xml:space="preserve"> PAGE </w:instrText>
        </w:r>
        <w:r w:rsidRPr="00316E7F">
          <w:rPr>
            <w:rStyle w:val="PageNumber"/>
            <w:sz w:val="18"/>
            <w:szCs w:val="18"/>
          </w:rPr>
          <w:fldChar w:fldCharType="separate"/>
        </w:r>
        <w:r w:rsidRPr="00316E7F">
          <w:rPr>
            <w:rStyle w:val="PageNumber"/>
            <w:noProof/>
            <w:sz w:val="18"/>
            <w:szCs w:val="18"/>
          </w:rPr>
          <w:t>1</w:t>
        </w:r>
        <w:r w:rsidRPr="00316E7F">
          <w:rPr>
            <w:rStyle w:val="PageNumber"/>
            <w:sz w:val="18"/>
            <w:szCs w:val="18"/>
          </w:rPr>
          <w:fldChar w:fldCharType="end"/>
        </w:r>
      </w:p>
    </w:sdtContent>
  </w:sdt>
  <w:p w:rsidR="00316E7F" w:rsidP="00316E7F" w:rsidRDefault="00316E7F" w14:paraId="0047507B" w14:textId="77777777">
    <w:pPr>
      <w:pStyle w:val="Footer"/>
      <w:ind w:right="360"/>
    </w:pPr>
  </w:p>
  <w:p w:rsidR="00316E7F" w:rsidP="00316E7F" w:rsidRDefault="00316E7F" w14:paraId="7F7E3515"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90A93" w:rsidP="00316E7F" w:rsidRDefault="00A90A93" w14:paraId="544E1192" w14:textId="77777777">
      <w:pPr>
        <w:spacing w:after="0" w:line="240" w:lineRule="auto"/>
      </w:pPr>
      <w:r>
        <w:separator/>
      </w:r>
    </w:p>
  </w:footnote>
  <w:footnote w:type="continuationSeparator" w:id="0">
    <w:p w:rsidR="00A90A93" w:rsidP="00316E7F" w:rsidRDefault="00A90A93" w14:paraId="213D948B" w14:textId="77777777">
      <w:pPr>
        <w:spacing w:after="0" w:line="240" w:lineRule="auto"/>
      </w:pPr>
      <w:r>
        <w:continuationSeparator/>
      </w:r>
    </w:p>
  </w:footnote>
  <w:footnote w:id="1">
    <w:p w:rsidRPr="003E2E65" w:rsidR="003E2E65" w:rsidRDefault="003E2E65" w14:paraId="5EB4DB0D" w14:textId="679E9275">
      <w:pPr>
        <w:pStyle w:val="FootnoteText"/>
        <w:rPr>
          <w:lang w:val="en-GB"/>
        </w:rPr>
      </w:pPr>
      <w:r>
        <w:rPr>
          <w:rStyle w:val="FootnoteReference"/>
        </w:rPr>
        <w:footnoteRef/>
      </w:r>
      <w:r>
        <w:t xml:space="preserve"> </w:t>
      </w:r>
      <w:r w:rsidRPr="003E2E65">
        <w:rPr>
          <w:lang w:val="en-GB"/>
        </w:rPr>
        <w:t xml:space="preserve">Please note: these remarks are made in a personal capacity and do not represent the views of any institutions </w:t>
      </w:r>
      <w:r>
        <w:rPr>
          <w:lang w:val="en-GB"/>
        </w:rPr>
        <w:t>the authors</w:t>
      </w:r>
      <w:r w:rsidRPr="003E2E65">
        <w:rPr>
          <w:lang w:val="en-GB"/>
        </w:rPr>
        <w:t xml:space="preserve"> are affiliated to</w:t>
      </w:r>
      <w:r>
        <w:rPr>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061D8"/>
    <w:multiLevelType w:val="hybridMultilevel"/>
    <w:tmpl w:val="749AD5C0"/>
    <w:lvl w:ilvl="0" w:tplc="A38EF0F0">
      <w:start w:val="1"/>
      <w:numFmt w:val="bullet"/>
      <w:lvlText w:val="·"/>
      <w:lvlJc w:val="left"/>
      <w:pPr>
        <w:ind w:left="720" w:hanging="360"/>
      </w:pPr>
      <w:rPr>
        <w:rFonts w:hint="default" w:ascii="Symbol" w:hAnsi="Symbol"/>
      </w:rPr>
    </w:lvl>
    <w:lvl w:ilvl="1" w:tplc="E38CF21E">
      <w:start w:val="1"/>
      <w:numFmt w:val="bullet"/>
      <w:lvlText w:val="o"/>
      <w:lvlJc w:val="left"/>
      <w:pPr>
        <w:ind w:left="1440" w:hanging="360"/>
      </w:pPr>
      <w:rPr>
        <w:rFonts w:hint="default" w:ascii="Courier New" w:hAnsi="Courier New"/>
      </w:rPr>
    </w:lvl>
    <w:lvl w:ilvl="2" w:tplc="18FCE8FE">
      <w:start w:val="1"/>
      <w:numFmt w:val="bullet"/>
      <w:lvlText w:val=""/>
      <w:lvlJc w:val="left"/>
      <w:pPr>
        <w:ind w:left="2160" w:hanging="360"/>
      </w:pPr>
      <w:rPr>
        <w:rFonts w:hint="default" w:ascii="Wingdings" w:hAnsi="Wingdings"/>
      </w:rPr>
    </w:lvl>
    <w:lvl w:ilvl="3" w:tplc="E8AE0E66">
      <w:start w:val="1"/>
      <w:numFmt w:val="bullet"/>
      <w:lvlText w:val=""/>
      <w:lvlJc w:val="left"/>
      <w:pPr>
        <w:ind w:left="2880" w:hanging="360"/>
      </w:pPr>
      <w:rPr>
        <w:rFonts w:hint="default" w:ascii="Symbol" w:hAnsi="Symbol"/>
      </w:rPr>
    </w:lvl>
    <w:lvl w:ilvl="4" w:tplc="C69CD85C">
      <w:start w:val="1"/>
      <w:numFmt w:val="bullet"/>
      <w:lvlText w:val="o"/>
      <w:lvlJc w:val="left"/>
      <w:pPr>
        <w:ind w:left="3600" w:hanging="360"/>
      </w:pPr>
      <w:rPr>
        <w:rFonts w:hint="default" w:ascii="Courier New" w:hAnsi="Courier New"/>
      </w:rPr>
    </w:lvl>
    <w:lvl w:ilvl="5" w:tplc="D234D314">
      <w:start w:val="1"/>
      <w:numFmt w:val="bullet"/>
      <w:lvlText w:val=""/>
      <w:lvlJc w:val="left"/>
      <w:pPr>
        <w:ind w:left="4320" w:hanging="360"/>
      </w:pPr>
      <w:rPr>
        <w:rFonts w:hint="default" w:ascii="Wingdings" w:hAnsi="Wingdings"/>
      </w:rPr>
    </w:lvl>
    <w:lvl w:ilvl="6" w:tplc="5CCC7648">
      <w:start w:val="1"/>
      <w:numFmt w:val="bullet"/>
      <w:lvlText w:val=""/>
      <w:lvlJc w:val="left"/>
      <w:pPr>
        <w:ind w:left="5040" w:hanging="360"/>
      </w:pPr>
      <w:rPr>
        <w:rFonts w:hint="default" w:ascii="Symbol" w:hAnsi="Symbol"/>
      </w:rPr>
    </w:lvl>
    <w:lvl w:ilvl="7" w:tplc="46F0C2D6">
      <w:start w:val="1"/>
      <w:numFmt w:val="bullet"/>
      <w:lvlText w:val="o"/>
      <w:lvlJc w:val="left"/>
      <w:pPr>
        <w:ind w:left="5760" w:hanging="360"/>
      </w:pPr>
      <w:rPr>
        <w:rFonts w:hint="default" w:ascii="Courier New" w:hAnsi="Courier New"/>
      </w:rPr>
    </w:lvl>
    <w:lvl w:ilvl="8" w:tplc="4718B6BE">
      <w:start w:val="1"/>
      <w:numFmt w:val="bullet"/>
      <w:lvlText w:val=""/>
      <w:lvlJc w:val="left"/>
      <w:pPr>
        <w:ind w:left="6480" w:hanging="360"/>
      </w:pPr>
      <w:rPr>
        <w:rFonts w:hint="default" w:ascii="Wingdings" w:hAnsi="Wingdings"/>
      </w:rPr>
    </w:lvl>
  </w:abstractNum>
  <w:abstractNum w:abstractNumId="1" w15:restartNumberingAfterBreak="0">
    <w:nsid w:val="0BB41C79"/>
    <w:multiLevelType w:val="hybridMultilevel"/>
    <w:tmpl w:val="646026A6"/>
    <w:lvl w:ilvl="0" w:tplc="1CF8B5D8">
      <w:start w:val="2"/>
      <w:numFmt w:val="decimal"/>
      <w:lvlText w:val="%1."/>
      <w:lvlJc w:val="left"/>
      <w:pPr>
        <w:ind w:left="720" w:hanging="360"/>
      </w:pPr>
    </w:lvl>
    <w:lvl w:ilvl="1" w:tplc="CFEAB9C0">
      <w:start w:val="1"/>
      <w:numFmt w:val="lowerLetter"/>
      <w:lvlText w:val="%2."/>
      <w:lvlJc w:val="left"/>
      <w:pPr>
        <w:ind w:left="1440" w:hanging="360"/>
      </w:pPr>
    </w:lvl>
    <w:lvl w:ilvl="2" w:tplc="7B3AE17E">
      <w:start w:val="1"/>
      <w:numFmt w:val="lowerRoman"/>
      <w:lvlText w:val="%3."/>
      <w:lvlJc w:val="right"/>
      <w:pPr>
        <w:ind w:left="2160" w:hanging="180"/>
      </w:pPr>
    </w:lvl>
    <w:lvl w:ilvl="3" w:tplc="26D03EEA">
      <w:start w:val="1"/>
      <w:numFmt w:val="decimal"/>
      <w:lvlText w:val="%4."/>
      <w:lvlJc w:val="left"/>
      <w:pPr>
        <w:ind w:left="2880" w:hanging="360"/>
      </w:pPr>
    </w:lvl>
    <w:lvl w:ilvl="4" w:tplc="EC3E9E04">
      <w:start w:val="1"/>
      <w:numFmt w:val="lowerLetter"/>
      <w:lvlText w:val="%5."/>
      <w:lvlJc w:val="left"/>
      <w:pPr>
        <w:ind w:left="3600" w:hanging="360"/>
      </w:pPr>
    </w:lvl>
    <w:lvl w:ilvl="5" w:tplc="A538DF54">
      <w:start w:val="1"/>
      <w:numFmt w:val="lowerRoman"/>
      <w:lvlText w:val="%6."/>
      <w:lvlJc w:val="right"/>
      <w:pPr>
        <w:ind w:left="4320" w:hanging="180"/>
      </w:pPr>
    </w:lvl>
    <w:lvl w:ilvl="6" w:tplc="5B9A987E">
      <w:start w:val="1"/>
      <w:numFmt w:val="decimal"/>
      <w:lvlText w:val="%7."/>
      <w:lvlJc w:val="left"/>
      <w:pPr>
        <w:ind w:left="5040" w:hanging="360"/>
      </w:pPr>
    </w:lvl>
    <w:lvl w:ilvl="7" w:tplc="B3BCE0F2">
      <w:start w:val="1"/>
      <w:numFmt w:val="lowerLetter"/>
      <w:lvlText w:val="%8."/>
      <w:lvlJc w:val="left"/>
      <w:pPr>
        <w:ind w:left="5760" w:hanging="360"/>
      </w:pPr>
    </w:lvl>
    <w:lvl w:ilvl="8" w:tplc="69F680EA">
      <w:start w:val="1"/>
      <w:numFmt w:val="lowerRoman"/>
      <w:lvlText w:val="%9."/>
      <w:lvlJc w:val="right"/>
      <w:pPr>
        <w:ind w:left="6480" w:hanging="180"/>
      </w:pPr>
    </w:lvl>
  </w:abstractNum>
  <w:abstractNum w:abstractNumId="2" w15:restartNumberingAfterBreak="0">
    <w:nsid w:val="0EC7B687"/>
    <w:multiLevelType w:val="hybridMultilevel"/>
    <w:tmpl w:val="69625E20"/>
    <w:lvl w:ilvl="0" w:tplc="6E669936">
      <w:start w:val="1"/>
      <w:numFmt w:val="bullet"/>
      <w:lvlText w:val="·"/>
      <w:lvlJc w:val="left"/>
      <w:pPr>
        <w:ind w:left="720" w:hanging="360"/>
      </w:pPr>
      <w:rPr>
        <w:rFonts w:hint="default" w:ascii="Symbol" w:hAnsi="Symbol"/>
      </w:rPr>
    </w:lvl>
    <w:lvl w:ilvl="1" w:tplc="3EA2259C">
      <w:start w:val="1"/>
      <w:numFmt w:val="bullet"/>
      <w:lvlText w:val="o"/>
      <w:lvlJc w:val="left"/>
      <w:pPr>
        <w:ind w:left="1440" w:hanging="360"/>
      </w:pPr>
      <w:rPr>
        <w:rFonts w:hint="default" w:ascii="Courier New" w:hAnsi="Courier New"/>
      </w:rPr>
    </w:lvl>
    <w:lvl w:ilvl="2" w:tplc="545CA9DC">
      <w:start w:val="1"/>
      <w:numFmt w:val="bullet"/>
      <w:lvlText w:val=""/>
      <w:lvlJc w:val="left"/>
      <w:pPr>
        <w:ind w:left="2160" w:hanging="360"/>
      </w:pPr>
      <w:rPr>
        <w:rFonts w:hint="default" w:ascii="Wingdings" w:hAnsi="Wingdings"/>
      </w:rPr>
    </w:lvl>
    <w:lvl w:ilvl="3" w:tplc="E4FADBD8">
      <w:start w:val="1"/>
      <w:numFmt w:val="bullet"/>
      <w:lvlText w:val=""/>
      <w:lvlJc w:val="left"/>
      <w:pPr>
        <w:ind w:left="2880" w:hanging="360"/>
      </w:pPr>
      <w:rPr>
        <w:rFonts w:hint="default" w:ascii="Symbol" w:hAnsi="Symbol"/>
      </w:rPr>
    </w:lvl>
    <w:lvl w:ilvl="4" w:tplc="66D2E9CE">
      <w:start w:val="1"/>
      <w:numFmt w:val="bullet"/>
      <w:lvlText w:val="o"/>
      <w:lvlJc w:val="left"/>
      <w:pPr>
        <w:ind w:left="3600" w:hanging="360"/>
      </w:pPr>
      <w:rPr>
        <w:rFonts w:hint="default" w:ascii="Courier New" w:hAnsi="Courier New"/>
      </w:rPr>
    </w:lvl>
    <w:lvl w:ilvl="5" w:tplc="3E2EC194">
      <w:start w:val="1"/>
      <w:numFmt w:val="bullet"/>
      <w:lvlText w:val=""/>
      <w:lvlJc w:val="left"/>
      <w:pPr>
        <w:ind w:left="4320" w:hanging="360"/>
      </w:pPr>
      <w:rPr>
        <w:rFonts w:hint="default" w:ascii="Wingdings" w:hAnsi="Wingdings"/>
      </w:rPr>
    </w:lvl>
    <w:lvl w:ilvl="6" w:tplc="F9F6007C">
      <w:start w:val="1"/>
      <w:numFmt w:val="bullet"/>
      <w:lvlText w:val=""/>
      <w:lvlJc w:val="left"/>
      <w:pPr>
        <w:ind w:left="5040" w:hanging="360"/>
      </w:pPr>
      <w:rPr>
        <w:rFonts w:hint="default" w:ascii="Symbol" w:hAnsi="Symbol"/>
      </w:rPr>
    </w:lvl>
    <w:lvl w:ilvl="7" w:tplc="D3A26B76">
      <w:start w:val="1"/>
      <w:numFmt w:val="bullet"/>
      <w:lvlText w:val="o"/>
      <w:lvlJc w:val="left"/>
      <w:pPr>
        <w:ind w:left="5760" w:hanging="360"/>
      </w:pPr>
      <w:rPr>
        <w:rFonts w:hint="default" w:ascii="Courier New" w:hAnsi="Courier New"/>
      </w:rPr>
    </w:lvl>
    <w:lvl w:ilvl="8" w:tplc="297CE7C8">
      <w:start w:val="1"/>
      <w:numFmt w:val="bullet"/>
      <w:lvlText w:val=""/>
      <w:lvlJc w:val="left"/>
      <w:pPr>
        <w:ind w:left="6480" w:hanging="360"/>
      </w:pPr>
      <w:rPr>
        <w:rFonts w:hint="default" w:ascii="Wingdings" w:hAnsi="Wingdings"/>
      </w:rPr>
    </w:lvl>
  </w:abstractNum>
  <w:abstractNum w:abstractNumId="3" w15:restartNumberingAfterBreak="0">
    <w:nsid w:val="1884DE7A"/>
    <w:multiLevelType w:val="hybridMultilevel"/>
    <w:tmpl w:val="DE7E482C"/>
    <w:lvl w:ilvl="0" w:tplc="1176592C">
      <w:start w:val="1"/>
      <w:numFmt w:val="bullet"/>
      <w:lvlText w:val="·"/>
      <w:lvlJc w:val="left"/>
      <w:pPr>
        <w:ind w:left="720" w:hanging="360"/>
      </w:pPr>
      <w:rPr>
        <w:rFonts w:hint="default" w:ascii="Symbol" w:hAnsi="Symbol"/>
      </w:rPr>
    </w:lvl>
    <w:lvl w:ilvl="1" w:tplc="7946D4D8">
      <w:start w:val="1"/>
      <w:numFmt w:val="bullet"/>
      <w:lvlText w:val="o"/>
      <w:lvlJc w:val="left"/>
      <w:pPr>
        <w:ind w:left="1440" w:hanging="360"/>
      </w:pPr>
      <w:rPr>
        <w:rFonts w:hint="default" w:ascii="Courier New" w:hAnsi="Courier New"/>
      </w:rPr>
    </w:lvl>
    <w:lvl w:ilvl="2" w:tplc="F386E5E2">
      <w:start w:val="1"/>
      <w:numFmt w:val="bullet"/>
      <w:lvlText w:val=""/>
      <w:lvlJc w:val="left"/>
      <w:pPr>
        <w:ind w:left="2160" w:hanging="360"/>
      </w:pPr>
      <w:rPr>
        <w:rFonts w:hint="default" w:ascii="Wingdings" w:hAnsi="Wingdings"/>
      </w:rPr>
    </w:lvl>
    <w:lvl w:ilvl="3" w:tplc="9FFC24BA">
      <w:start w:val="1"/>
      <w:numFmt w:val="bullet"/>
      <w:lvlText w:val=""/>
      <w:lvlJc w:val="left"/>
      <w:pPr>
        <w:ind w:left="2880" w:hanging="360"/>
      </w:pPr>
      <w:rPr>
        <w:rFonts w:hint="default" w:ascii="Symbol" w:hAnsi="Symbol"/>
      </w:rPr>
    </w:lvl>
    <w:lvl w:ilvl="4" w:tplc="397E1D38">
      <w:start w:val="1"/>
      <w:numFmt w:val="bullet"/>
      <w:lvlText w:val="o"/>
      <w:lvlJc w:val="left"/>
      <w:pPr>
        <w:ind w:left="3600" w:hanging="360"/>
      </w:pPr>
      <w:rPr>
        <w:rFonts w:hint="default" w:ascii="Courier New" w:hAnsi="Courier New"/>
      </w:rPr>
    </w:lvl>
    <w:lvl w:ilvl="5" w:tplc="600AFE5C">
      <w:start w:val="1"/>
      <w:numFmt w:val="bullet"/>
      <w:lvlText w:val=""/>
      <w:lvlJc w:val="left"/>
      <w:pPr>
        <w:ind w:left="4320" w:hanging="360"/>
      </w:pPr>
      <w:rPr>
        <w:rFonts w:hint="default" w:ascii="Wingdings" w:hAnsi="Wingdings"/>
      </w:rPr>
    </w:lvl>
    <w:lvl w:ilvl="6" w:tplc="AA5E4CC6">
      <w:start w:val="1"/>
      <w:numFmt w:val="bullet"/>
      <w:lvlText w:val=""/>
      <w:lvlJc w:val="left"/>
      <w:pPr>
        <w:ind w:left="5040" w:hanging="360"/>
      </w:pPr>
      <w:rPr>
        <w:rFonts w:hint="default" w:ascii="Symbol" w:hAnsi="Symbol"/>
      </w:rPr>
    </w:lvl>
    <w:lvl w:ilvl="7" w:tplc="B2887E36">
      <w:start w:val="1"/>
      <w:numFmt w:val="bullet"/>
      <w:lvlText w:val="o"/>
      <w:lvlJc w:val="left"/>
      <w:pPr>
        <w:ind w:left="5760" w:hanging="360"/>
      </w:pPr>
      <w:rPr>
        <w:rFonts w:hint="default" w:ascii="Courier New" w:hAnsi="Courier New"/>
      </w:rPr>
    </w:lvl>
    <w:lvl w:ilvl="8" w:tplc="482C2BBA">
      <w:start w:val="1"/>
      <w:numFmt w:val="bullet"/>
      <w:lvlText w:val=""/>
      <w:lvlJc w:val="left"/>
      <w:pPr>
        <w:ind w:left="6480" w:hanging="360"/>
      </w:pPr>
      <w:rPr>
        <w:rFonts w:hint="default" w:ascii="Wingdings" w:hAnsi="Wingdings"/>
      </w:rPr>
    </w:lvl>
  </w:abstractNum>
  <w:abstractNum w:abstractNumId="4" w15:restartNumberingAfterBreak="0">
    <w:nsid w:val="23111DC0"/>
    <w:multiLevelType w:val="hybridMultilevel"/>
    <w:tmpl w:val="2FD44A36"/>
    <w:lvl w:ilvl="0" w:tplc="88523F3E">
      <w:start w:val="1"/>
      <w:numFmt w:val="bullet"/>
      <w:lvlText w:val="·"/>
      <w:lvlJc w:val="left"/>
      <w:pPr>
        <w:ind w:left="720" w:hanging="360"/>
      </w:pPr>
      <w:rPr>
        <w:rFonts w:hint="default" w:ascii="Symbol" w:hAnsi="Symbol"/>
      </w:rPr>
    </w:lvl>
    <w:lvl w:ilvl="1" w:tplc="BAB06F0C">
      <w:start w:val="1"/>
      <w:numFmt w:val="bullet"/>
      <w:lvlText w:val="o"/>
      <w:lvlJc w:val="left"/>
      <w:pPr>
        <w:ind w:left="1440" w:hanging="360"/>
      </w:pPr>
      <w:rPr>
        <w:rFonts w:hint="default" w:ascii="Courier New" w:hAnsi="Courier New"/>
      </w:rPr>
    </w:lvl>
    <w:lvl w:ilvl="2" w:tplc="B72A59D6">
      <w:start w:val="1"/>
      <w:numFmt w:val="bullet"/>
      <w:lvlText w:val=""/>
      <w:lvlJc w:val="left"/>
      <w:pPr>
        <w:ind w:left="2160" w:hanging="360"/>
      </w:pPr>
      <w:rPr>
        <w:rFonts w:hint="default" w:ascii="Wingdings" w:hAnsi="Wingdings"/>
      </w:rPr>
    </w:lvl>
    <w:lvl w:ilvl="3" w:tplc="D382A30E">
      <w:start w:val="1"/>
      <w:numFmt w:val="bullet"/>
      <w:lvlText w:val=""/>
      <w:lvlJc w:val="left"/>
      <w:pPr>
        <w:ind w:left="2880" w:hanging="360"/>
      </w:pPr>
      <w:rPr>
        <w:rFonts w:hint="default" w:ascii="Symbol" w:hAnsi="Symbol"/>
      </w:rPr>
    </w:lvl>
    <w:lvl w:ilvl="4" w:tplc="F102A4A0">
      <w:start w:val="1"/>
      <w:numFmt w:val="bullet"/>
      <w:lvlText w:val="o"/>
      <w:lvlJc w:val="left"/>
      <w:pPr>
        <w:ind w:left="3600" w:hanging="360"/>
      </w:pPr>
      <w:rPr>
        <w:rFonts w:hint="default" w:ascii="Courier New" w:hAnsi="Courier New"/>
      </w:rPr>
    </w:lvl>
    <w:lvl w:ilvl="5" w:tplc="FC58721E">
      <w:start w:val="1"/>
      <w:numFmt w:val="bullet"/>
      <w:lvlText w:val=""/>
      <w:lvlJc w:val="left"/>
      <w:pPr>
        <w:ind w:left="4320" w:hanging="360"/>
      </w:pPr>
      <w:rPr>
        <w:rFonts w:hint="default" w:ascii="Wingdings" w:hAnsi="Wingdings"/>
      </w:rPr>
    </w:lvl>
    <w:lvl w:ilvl="6" w:tplc="8B026160">
      <w:start w:val="1"/>
      <w:numFmt w:val="bullet"/>
      <w:lvlText w:val=""/>
      <w:lvlJc w:val="left"/>
      <w:pPr>
        <w:ind w:left="5040" w:hanging="360"/>
      </w:pPr>
      <w:rPr>
        <w:rFonts w:hint="default" w:ascii="Symbol" w:hAnsi="Symbol"/>
      </w:rPr>
    </w:lvl>
    <w:lvl w:ilvl="7" w:tplc="0256EBAC">
      <w:start w:val="1"/>
      <w:numFmt w:val="bullet"/>
      <w:lvlText w:val="o"/>
      <w:lvlJc w:val="left"/>
      <w:pPr>
        <w:ind w:left="5760" w:hanging="360"/>
      </w:pPr>
      <w:rPr>
        <w:rFonts w:hint="default" w:ascii="Courier New" w:hAnsi="Courier New"/>
      </w:rPr>
    </w:lvl>
    <w:lvl w:ilvl="8" w:tplc="D768565A">
      <w:start w:val="1"/>
      <w:numFmt w:val="bullet"/>
      <w:lvlText w:val=""/>
      <w:lvlJc w:val="left"/>
      <w:pPr>
        <w:ind w:left="6480" w:hanging="360"/>
      </w:pPr>
      <w:rPr>
        <w:rFonts w:hint="default" w:ascii="Wingdings" w:hAnsi="Wingdings"/>
      </w:rPr>
    </w:lvl>
  </w:abstractNum>
  <w:abstractNum w:abstractNumId="5" w15:restartNumberingAfterBreak="0">
    <w:nsid w:val="2C229B16"/>
    <w:multiLevelType w:val="hybridMultilevel"/>
    <w:tmpl w:val="8532371E"/>
    <w:lvl w:ilvl="0" w:tplc="062E89DE">
      <w:start w:val="1"/>
      <w:numFmt w:val="lowerLetter"/>
      <w:lvlText w:val="%1)"/>
      <w:lvlJc w:val="left"/>
      <w:pPr>
        <w:ind w:left="720" w:hanging="360"/>
      </w:pPr>
    </w:lvl>
    <w:lvl w:ilvl="1" w:tplc="91D63A24">
      <w:start w:val="1"/>
      <w:numFmt w:val="lowerLetter"/>
      <w:lvlText w:val="%2."/>
      <w:lvlJc w:val="left"/>
      <w:pPr>
        <w:ind w:left="1440" w:hanging="360"/>
      </w:pPr>
    </w:lvl>
    <w:lvl w:ilvl="2" w:tplc="BF48D67E">
      <w:start w:val="1"/>
      <w:numFmt w:val="lowerRoman"/>
      <w:lvlText w:val="%3."/>
      <w:lvlJc w:val="right"/>
      <w:pPr>
        <w:ind w:left="2160" w:hanging="180"/>
      </w:pPr>
    </w:lvl>
    <w:lvl w:ilvl="3" w:tplc="1A1CEF22">
      <w:start w:val="1"/>
      <w:numFmt w:val="decimal"/>
      <w:lvlText w:val="%4."/>
      <w:lvlJc w:val="left"/>
      <w:pPr>
        <w:ind w:left="2880" w:hanging="360"/>
      </w:pPr>
    </w:lvl>
    <w:lvl w:ilvl="4" w:tplc="7210372A">
      <w:start w:val="1"/>
      <w:numFmt w:val="lowerLetter"/>
      <w:lvlText w:val="%5."/>
      <w:lvlJc w:val="left"/>
      <w:pPr>
        <w:ind w:left="3600" w:hanging="360"/>
      </w:pPr>
    </w:lvl>
    <w:lvl w:ilvl="5" w:tplc="A7560EE0">
      <w:start w:val="1"/>
      <w:numFmt w:val="lowerRoman"/>
      <w:lvlText w:val="%6."/>
      <w:lvlJc w:val="right"/>
      <w:pPr>
        <w:ind w:left="4320" w:hanging="180"/>
      </w:pPr>
    </w:lvl>
    <w:lvl w:ilvl="6" w:tplc="1F86D16C">
      <w:start w:val="1"/>
      <w:numFmt w:val="decimal"/>
      <w:lvlText w:val="%7."/>
      <w:lvlJc w:val="left"/>
      <w:pPr>
        <w:ind w:left="5040" w:hanging="360"/>
      </w:pPr>
    </w:lvl>
    <w:lvl w:ilvl="7" w:tplc="97841D44">
      <w:start w:val="1"/>
      <w:numFmt w:val="lowerLetter"/>
      <w:lvlText w:val="%8."/>
      <w:lvlJc w:val="left"/>
      <w:pPr>
        <w:ind w:left="5760" w:hanging="360"/>
      </w:pPr>
    </w:lvl>
    <w:lvl w:ilvl="8" w:tplc="174E5926">
      <w:start w:val="1"/>
      <w:numFmt w:val="lowerRoman"/>
      <w:lvlText w:val="%9."/>
      <w:lvlJc w:val="right"/>
      <w:pPr>
        <w:ind w:left="6480" w:hanging="180"/>
      </w:pPr>
    </w:lvl>
  </w:abstractNum>
  <w:abstractNum w:abstractNumId="6" w15:restartNumberingAfterBreak="0">
    <w:nsid w:val="2CF78805"/>
    <w:multiLevelType w:val="hybridMultilevel"/>
    <w:tmpl w:val="FC08813C"/>
    <w:lvl w:ilvl="0" w:tplc="3CD2A92C">
      <w:start w:val="3"/>
      <w:numFmt w:val="decimal"/>
      <w:lvlText w:val="%1."/>
      <w:lvlJc w:val="left"/>
      <w:pPr>
        <w:ind w:left="720" w:hanging="360"/>
      </w:pPr>
    </w:lvl>
    <w:lvl w:ilvl="1" w:tplc="80EEBEAA">
      <w:start w:val="1"/>
      <w:numFmt w:val="lowerLetter"/>
      <w:lvlText w:val="%2."/>
      <w:lvlJc w:val="left"/>
      <w:pPr>
        <w:ind w:left="1440" w:hanging="360"/>
      </w:pPr>
    </w:lvl>
    <w:lvl w:ilvl="2" w:tplc="237494F6">
      <w:start w:val="1"/>
      <w:numFmt w:val="lowerRoman"/>
      <w:lvlText w:val="%3."/>
      <w:lvlJc w:val="right"/>
      <w:pPr>
        <w:ind w:left="2160" w:hanging="180"/>
      </w:pPr>
    </w:lvl>
    <w:lvl w:ilvl="3" w:tplc="39D4E91C">
      <w:start w:val="1"/>
      <w:numFmt w:val="decimal"/>
      <w:lvlText w:val="%4."/>
      <w:lvlJc w:val="left"/>
      <w:pPr>
        <w:ind w:left="2880" w:hanging="360"/>
      </w:pPr>
    </w:lvl>
    <w:lvl w:ilvl="4" w:tplc="70FAB200">
      <w:start w:val="1"/>
      <w:numFmt w:val="lowerLetter"/>
      <w:lvlText w:val="%5."/>
      <w:lvlJc w:val="left"/>
      <w:pPr>
        <w:ind w:left="3600" w:hanging="360"/>
      </w:pPr>
    </w:lvl>
    <w:lvl w:ilvl="5" w:tplc="56C887EC">
      <w:start w:val="1"/>
      <w:numFmt w:val="lowerRoman"/>
      <w:lvlText w:val="%6."/>
      <w:lvlJc w:val="right"/>
      <w:pPr>
        <w:ind w:left="4320" w:hanging="180"/>
      </w:pPr>
    </w:lvl>
    <w:lvl w:ilvl="6" w:tplc="C7A24740">
      <w:start w:val="1"/>
      <w:numFmt w:val="decimal"/>
      <w:lvlText w:val="%7."/>
      <w:lvlJc w:val="left"/>
      <w:pPr>
        <w:ind w:left="5040" w:hanging="360"/>
      </w:pPr>
    </w:lvl>
    <w:lvl w:ilvl="7" w:tplc="BCEA0040">
      <w:start w:val="1"/>
      <w:numFmt w:val="lowerLetter"/>
      <w:lvlText w:val="%8."/>
      <w:lvlJc w:val="left"/>
      <w:pPr>
        <w:ind w:left="5760" w:hanging="360"/>
      </w:pPr>
    </w:lvl>
    <w:lvl w:ilvl="8" w:tplc="D6E80496">
      <w:start w:val="1"/>
      <w:numFmt w:val="lowerRoman"/>
      <w:lvlText w:val="%9."/>
      <w:lvlJc w:val="right"/>
      <w:pPr>
        <w:ind w:left="6480" w:hanging="180"/>
      </w:pPr>
    </w:lvl>
  </w:abstractNum>
  <w:abstractNum w:abstractNumId="7" w15:restartNumberingAfterBreak="0">
    <w:nsid w:val="303684E7"/>
    <w:multiLevelType w:val="hybridMultilevel"/>
    <w:tmpl w:val="771E15EA"/>
    <w:lvl w:ilvl="0" w:tplc="F4D65134">
      <w:start w:val="1"/>
      <w:numFmt w:val="decimal"/>
      <w:lvlText w:val="%1."/>
      <w:lvlJc w:val="left"/>
      <w:pPr>
        <w:ind w:left="720" w:hanging="360"/>
      </w:pPr>
    </w:lvl>
    <w:lvl w:ilvl="1" w:tplc="990C10C6">
      <w:start w:val="1"/>
      <w:numFmt w:val="lowerLetter"/>
      <w:lvlText w:val="%2."/>
      <w:lvlJc w:val="left"/>
      <w:pPr>
        <w:ind w:left="1440" w:hanging="360"/>
      </w:pPr>
    </w:lvl>
    <w:lvl w:ilvl="2" w:tplc="D2861B28">
      <w:start w:val="1"/>
      <w:numFmt w:val="lowerRoman"/>
      <w:lvlText w:val="%3."/>
      <w:lvlJc w:val="right"/>
      <w:pPr>
        <w:ind w:left="2160" w:hanging="180"/>
      </w:pPr>
    </w:lvl>
    <w:lvl w:ilvl="3" w:tplc="2446F82C">
      <w:start w:val="1"/>
      <w:numFmt w:val="decimal"/>
      <w:lvlText w:val="%4."/>
      <w:lvlJc w:val="left"/>
      <w:pPr>
        <w:ind w:left="2880" w:hanging="360"/>
      </w:pPr>
    </w:lvl>
    <w:lvl w:ilvl="4" w:tplc="4A9826AA">
      <w:start w:val="1"/>
      <w:numFmt w:val="lowerLetter"/>
      <w:lvlText w:val="%5."/>
      <w:lvlJc w:val="left"/>
      <w:pPr>
        <w:ind w:left="3600" w:hanging="360"/>
      </w:pPr>
    </w:lvl>
    <w:lvl w:ilvl="5" w:tplc="BD68F300">
      <w:start w:val="1"/>
      <w:numFmt w:val="lowerRoman"/>
      <w:lvlText w:val="%6."/>
      <w:lvlJc w:val="right"/>
      <w:pPr>
        <w:ind w:left="4320" w:hanging="180"/>
      </w:pPr>
    </w:lvl>
    <w:lvl w:ilvl="6" w:tplc="E8DE31B2">
      <w:start w:val="1"/>
      <w:numFmt w:val="decimal"/>
      <w:lvlText w:val="%7."/>
      <w:lvlJc w:val="left"/>
      <w:pPr>
        <w:ind w:left="5040" w:hanging="360"/>
      </w:pPr>
    </w:lvl>
    <w:lvl w:ilvl="7" w:tplc="CBA06C08">
      <w:start w:val="1"/>
      <w:numFmt w:val="lowerLetter"/>
      <w:lvlText w:val="%8."/>
      <w:lvlJc w:val="left"/>
      <w:pPr>
        <w:ind w:left="5760" w:hanging="360"/>
      </w:pPr>
    </w:lvl>
    <w:lvl w:ilvl="8" w:tplc="EA80F84E">
      <w:start w:val="1"/>
      <w:numFmt w:val="lowerRoman"/>
      <w:lvlText w:val="%9."/>
      <w:lvlJc w:val="right"/>
      <w:pPr>
        <w:ind w:left="6480" w:hanging="180"/>
      </w:pPr>
    </w:lvl>
  </w:abstractNum>
  <w:abstractNum w:abstractNumId="8" w15:restartNumberingAfterBreak="0">
    <w:nsid w:val="42415775"/>
    <w:multiLevelType w:val="hybridMultilevel"/>
    <w:tmpl w:val="A930384E"/>
    <w:lvl w:ilvl="0" w:tplc="82D820A0">
      <w:start w:val="1"/>
      <w:numFmt w:val="bullet"/>
      <w:lvlText w:val=""/>
      <w:lvlJc w:val="left"/>
      <w:pPr>
        <w:ind w:left="720" w:hanging="360"/>
      </w:pPr>
      <w:rPr>
        <w:rFonts w:hint="default" w:ascii="Symbol" w:hAnsi="Symbol"/>
      </w:rPr>
    </w:lvl>
    <w:lvl w:ilvl="1" w:tplc="F2E4D740">
      <w:start w:val="1"/>
      <w:numFmt w:val="bullet"/>
      <w:lvlText w:val="o"/>
      <w:lvlJc w:val="left"/>
      <w:pPr>
        <w:ind w:left="1440" w:hanging="360"/>
      </w:pPr>
      <w:rPr>
        <w:rFonts w:hint="default" w:ascii="Courier New" w:hAnsi="Courier New"/>
      </w:rPr>
    </w:lvl>
    <w:lvl w:ilvl="2" w:tplc="58BEC290">
      <w:start w:val="1"/>
      <w:numFmt w:val="bullet"/>
      <w:lvlText w:val=""/>
      <w:lvlJc w:val="left"/>
      <w:pPr>
        <w:ind w:left="2160" w:hanging="360"/>
      </w:pPr>
      <w:rPr>
        <w:rFonts w:hint="default" w:ascii="Wingdings" w:hAnsi="Wingdings"/>
      </w:rPr>
    </w:lvl>
    <w:lvl w:ilvl="3" w:tplc="83E0AA66">
      <w:start w:val="1"/>
      <w:numFmt w:val="bullet"/>
      <w:lvlText w:val=""/>
      <w:lvlJc w:val="left"/>
      <w:pPr>
        <w:ind w:left="2880" w:hanging="360"/>
      </w:pPr>
      <w:rPr>
        <w:rFonts w:hint="default" w:ascii="Symbol" w:hAnsi="Symbol"/>
      </w:rPr>
    </w:lvl>
    <w:lvl w:ilvl="4" w:tplc="7C380B12">
      <w:start w:val="1"/>
      <w:numFmt w:val="bullet"/>
      <w:lvlText w:val="o"/>
      <w:lvlJc w:val="left"/>
      <w:pPr>
        <w:ind w:left="3600" w:hanging="360"/>
      </w:pPr>
      <w:rPr>
        <w:rFonts w:hint="default" w:ascii="Courier New" w:hAnsi="Courier New"/>
      </w:rPr>
    </w:lvl>
    <w:lvl w:ilvl="5" w:tplc="1D50E918">
      <w:start w:val="1"/>
      <w:numFmt w:val="bullet"/>
      <w:lvlText w:val=""/>
      <w:lvlJc w:val="left"/>
      <w:pPr>
        <w:ind w:left="4320" w:hanging="360"/>
      </w:pPr>
      <w:rPr>
        <w:rFonts w:hint="default" w:ascii="Wingdings" w:hAnsi="Wingdings"/>
      </w:rPr>
    </w:lvl>
    <w:lvl w:ilvl="6" w:tplc="F1920A8E">
      <w:start w:val="1"/>
      <w:numFmt w:val="bullet"/>
      <w:lvlText w:val=""/>
      <w:lvlJc w:val="left"/>
      <w:pPr>
        <w:ind w:left="5040" w:hanging="360"/>
      </w:pPr>
      <w:rPr>
        <w:rFonts w:hint="default" w:ascii="Symbol" w:hAnsi="Symbol"/>
      </w:rPr>
    </w:lvl>
    <w:lvl w:ilvl="7" w:tplc="248C8C64">
      <w:start w:val="1"/>
      <w:numFmt w:val="bullet"/>
      <w:lvlText w:val="o"/>
      <w:lvlJc w:val="left"/>
      <w:pPr>
        <w:ind w:left="5760" w:hanging="360"/>
      </w:pPr>
      <w:rPr>
        <w:rFonts w:hint="default" w:ascii="Courier New" w:hAnsi="Courier New"/>
      </w:rPr>
    </w:lvl>
    <w:lvl w:ilvl="8" w:tplc="7CA8BA8A">
      <w:start w:val="1"/>
      <w:numFmt w:val="bullet"/>
      <w:lvlText w:val=""/>
      <w:lvlJc w:val="left"/>
      <w:pPr>
        <w:ind w:left="6480" w:hanging="360"/>
      </w:pPr>
      <w:rPr>
        <w:rFonts w:hint="default" w:ascii="Wingdings" w:hAnsi="Wingdings"/>
      </w:rPr>
    </w:lvl>
  </w:abstractNum>
  <w:abstractNum w:abstractNumId="9" w15:restartNumberingAfterBreak="0">
    <w:nsid w:val="46AC141E"/>
    <w:multiLevelType w:val="hybridMultilevel"/>
    <w:tmpl w:val="53321354"/>
    <w:lvl w:ilvl="0" w:tplc="C306682E">
      <w:start w:val="1"/>
      <w:numFmt w:val="bullet"/>
      <w:lvlText w:val="·"/>
      <w:lvlJc w:val="left"/>
      <w:pPr>
        <w:ind w:left="720" w:hanging="360"/>
      </w:pPr>
      <w:rPr>
        <w:rFonts w:hint="default" w:ascii="Symbol" w:hAnsi="Symbol"/>
      </w:rPr>
    </w:lvl>
    <w:lvl w:ilvl="1" w:tplc="2B56EB3C">
      <w:start w:val="1"/>
      <w:numFmt w:val="bullet"/>
      <w:lvlText w:val="o"/>
      <w:lvlJc w:val="left"/>
      <w:pPr>
        <w:ind w:left="1440" w:hanging="360"/>
      </w:pPr>
      <w:rPr>
        <w:rFonts w:hint="default" w:ascii="Courier New" w:hAnsi="Courier New"/>
      </w:rPr>
    </w:lvl>
    <w:lvl w:ilvl="2" w:tplc="007CF296">
      <w:start w:val="1"/>
      <w:numFmt w:val="bullet"/>
      <w:lvlText w:val=""/>
      <w:lvlJc w:val="left"/>
      <w:pPr>
        <w:ind w:left="2160" w:hanging="360"/>
      </w:pPr>
      <w:rPr>
        <w:rFonts w:hint="default" w:ascii="Wingdings" w:hAnsi="Wingdings"/>
      </w:rPr>
    </w:lvl>
    <w:lvl w:ilvl="3" w:tplc="FF76FC86">
      <w:start w:val="1"/>
      <w:numFmt w:val="bullet"/>
      <w:lvlText w:val=""/>
      <w:lvlJc w:val="left"/>
      <w:pPr>
        <w:ind w:left="2880" w:hanging="360"/>
      </w:pPr>
      <w:rPr>
        <w:rFonts w:hint="default" w:ascii="Symbol" w:hAnsi="Symbol"/>
      </w:rPr>
    </w:lvl>
    <w:lvl w:ilvl="4" w:tplc="3E140196">
      <w:start w:val="1"/>
      <w:numFmt w:val="bullet"/>
      <w:lvlText w:val="o"/>
      <w:lvlJc w:val="left"/>
      <w:pPr>
        <w:ind w:left="3600" w:hanging="360"/>
      </w:pPr>
      <w:rPr>
        <w:rFonts w:hint="default" w:ascii="Courier New" w:hAnsi="Courier New"/>
      </w:rPr>
    </w:lvl>
    <w:lvl w:ilvl="5" w:tplc="1AE65E60">
      <w:start w:val="1"/>
      <w:numFmt w:val="bullet"/>
      <w:lvlText w:val=""/>
      <w:lvlJc w:val="left"/>
      <w:pPr>
        <w:ind w:left="4320" w:hanging="360"/>
      </w:pPr>
      <w:rPr>
        <w:rFonts w:hint="default" w:ascii="Wingdings" w:hAnsi="Wingdings"/>
      </w:rPr>
    </w:lvl>
    <w:lvl w:ilvl="6" w:tplc="1B90D59A">
      <w:start w:val="1"/>
      <w:numFmt w:val="bullet"/>
      <w:lvlText w:val=""/>
      <w:lvlJc w:val="left"/>
      <w:pPr>
        <w:ind w:left="5040" w:hanging="360"/>
      </w:pPr>
      <w:rPr>
        <w:rFonts w:hint="default" w:ascii="Symbol" w:hAnsi="Symbol"/>
      </w:rPr>
    </w:lvl>
    <w:lvl w:ilvl="7" w:tplc="F2123346">
      <w:start w:val="1"/>
      <w:numFmt w:val="bullet"/>
      <w:lvlText w:val="o"/>
      <w:lvlJc w:val="left"/>
      <w:pPr>
        <w:ind w:left="5760" w:hanging="360"/>
      </w:pPr>
      <w:rPr>
        <w:rFonts w:hint="default" w:ascii="Courier New" w:hAnsi="Courier New"/>
      </w:rPr>
    </w:lvl>
    <w:lvl w:ilvl="8" w:tplc="8F2AB758">
      <w:start w:val="1"/>
      <w:numFmt w:val="bullet"/>
      <w:lvlText w:val=""/>
      <w:lvlJc w:val="left"/>
      <w:pPr>
        <w:ind w:left="6480" w:hanging="360"/>
      </w:pPr>
      <w:rPr>
        <w:rFonts w:hint="default" w:ascii="Wingdings" w:hAnsi="Wingdings"/>
      </w:rPr>
    </w:lvl>
  </w:abstractNum>
  <w:abstractNum w:abstractNumId="10" w15:restartNumberingAfterBreak="0">
    <w:nsid w:val="4900803E"/>
    <w:multiLevelType w:val="hybridMultilevel"/>
    <w:tmpl w:val="D3028D7E"/>
    <w:lvl w:ilvl="0" w:tplc="AB986CDA">
      <w:start w:val="1"/>
      <w:numFmt w:val="bullet"/>
      <w:lvlText w:val="·"/>
      <w:lvlJc w:val="left"/>
      <w:pPr>
        <w:ind w:left="720" w:hanging="360"/>
      </w:pPr>
      <w:rPr>
        <w:rFonts w:hint="default" w:ascii="Symbol" w:hAnsi="Symbol"/>
      </w:rPr>
    </w:lvl>
    <w:lvl w:ilvl="1" w:tplc="76F29458">
      <w:start w:val="1"/>
      <w:numFmt w:val="bullet"/>
      <w:lvlText w:val="o"/>
      <w:lvlJc w:val="left"/>
      <w:pPr>
        <w:ind w:left="1440" w:hanging="360"/>
      </w:pPr>
      <w:rPr>
        <w:rFonts w:hint="default" w:ascii="Courier New" w:hAnsi="Courier New"/>
      </w:rPr>
    </w:lvl>
    <w:lvl w:ilvl="2" w:tplc="6A162D48">
      <w:start w:val="1"/>
      <w:numFmt w:val="bullet"/>
      <w:lvlText w:val=""/>
      <w:lvlJc w:val="left"/>
      <w:pPr>
        <w:ind w:left="2160" w:hanging="360"/>
      </w:pPr>
      <w:rPr>
        <w:rFonts w:hint="default" w:ascii="Wingdings" w:hAnsi="Wingdings"/>
      </w:rPr>
    </w:lvl>
    <w:lvl w:ilvl="3" w:tplc="A6684E0C">
      <w:start w:val="1"/>
      <w:numFmt w:val="bullet"/>
      <w:lvlText w:val=""/>
      <w:lvlJc w:val="left"/>
      <w:pPr>
        <w:ind w:left="2880" w:hanging="360"/>
      </w:pPr>
      <w:rPr>
        <w:rFonts w:hint="default" w:ascii="Symbol" w:hAnsi="Symbol"/>
      </w:rPr>
    </w:lvl>
    <w:lvl w:ilvl="4" w:tplc="ADA89A26">
      <w:start w:val="1"/>
      <w:numFmt w:val="bullet"/>
      <w:lvlText w:val="o"/>
      <w:lvlJc w:val="left"/>
      <w:pPr>
        <w:ind w:left="3600" w:hanging="360"/>
      </w:pPr>
      <w:rPr>
        <w:rFonts w:hint="default" w:ascii="Courier New" w:hAnsi="Courier New"/>
      </w:rPr>
    </w:lvl>
    <w:lvl w:ilvl="5" w:tplc="31AAB73C">
      <w:start w:val="1"/>
      <w:numFmt w:val="bullet"/>
      <w:lvlText w:val=""/>
      <w:lvlJc w:val="left"/>
      <w:pPr>
        <w:ind w:left="4320" w:hanging="360"/>
      </w:pPr>
      <w:rPr>
        <w:rFonts w:hint="default" w:ascii="Wingdings" w:hAnsi="Wingdings"/>
      </w:rPr>
    </w:lvl>
    <w:lvl w:ilvl="6" w:tplc="27486628">
      <w:start w:val="1"/>
      <w:numFmt w:val="bullet"/>
      <w:lvlText w:val=""/>
      <w:lvlJc w:val="left"/>
      <w:pPr>
        <w:ind w:left="5040" w:hanging="360"/>
      </w:pPr>
      <w:rPr>
        <w:rFonts w:hint="default" w:ascii="Symbol" w:hAnsi="Symbol"/>
      </w:rPr>
    </w:lvl>
    <w:lvl w:ilvl="7" w:tplc="6CE866F4">
      <w:start w:val="1"/>
      <w:numFmt w:val="bullet"/>
      <w:lvlText w:val="o"/>
      <w:lvlJc w:val="left"/>
      <w:pPr>
        <w:ind w:left="5760" w:hanging="360"/>
      </w:pPr>
      <w:rPr>
        <w:rFonts w:hint="default" w:ascii="Courier New" w:hAnsi="Courier New"/>
      </w:rPr>
    </w:lvl>
    <w:lvl w:ilvl="8" w:tplc="241C9466">
      <w:start w:val="1"/>
      <w:numFmt w:val="bullet"/>
      <w:lvlText w:val=""/>
      <w:lvlJc w:val="left"/>
      <w:pPr>
        <w:ind w:left="6480" w:hanging="360"/>
      </w:pPr>
      <w:rPr>
        <w:rFonts w:hint="default" w:ascii="Wingdings" w:hAnsi="Wingdings"/>
      </w:rPr>
    </w:lvl>
  </w:abstractNum>
  <w:abstractNum w:abstractNumId="11" w15:restartNumberingAfterBreak="0">
    <w:nsid w:val="4A343380"/>
    <w:multiLevelType w:val="hybridMultilevel"/>
    <w:tmpl w:val="F96E9866"/>
    <w:lvl w:ilvl="0" w:tplc="EB6AD1A0">
      <w:start w:val="1"/>
      <w:numFmt w:val="bullet"/>
      <w:lvlText w:val=""/>
      <w:lvlJc w:val="left"/>
      <w:pPr>
        <w:ind w:left="720" w:hanging="360"/>
      </w:pPr>
      <w:rPr>
        <w:rFonts w:hint="default" w:ascii="Symbol" w:hAnsi="Symbol"/>
      </w:rPr>
    </w:lvl>
    <w:lvl w:ilvl="1" w:tplc="9C34E3B6">
      <w:start w:val="1"/>
      <w:numFmt w:val="bullet"/>
      <w:lvlText w:val="o"/>
      <w:lvlJc w:val="left"/>
      <w:pPr>
        <w:ind w:left="1440" w:hanging="360"/>
      </w:pPr>
      <w:rPr>
        <w:rFonts w:hint="default" w:ascii="Courier New" w:hAnsi="Courier New"/>
      </w:rPr>
    </w:lvl>
    <w:lvl w:ilvl="2" w:tplc="7BC4A7A4">
      <w:start w:val="1"/>
      <w:numFmt w:val="bullet"/>
      <w:lvlText w:val=""/>
      <w:lvlJc w:val="left"/>
      <w:pPr>
        <w:ind w:left="2160" w:hanging="360"/>
      </w:pPr>
      <w:rPr>
        <w:rFonts w:hint="default" w:ascii="Wingdings" w:hAnsi="Wingdings"/>
      </w:rPr>
    </w:lvl>
    <w:lvl w:ilvl="3" w:tplc="CF605574">
      <w:start w:val="1"/>
      <w:numFmt w:val="bullet"/>
      <w:lvlText w:val=""/>
      <w:lvlJc w:val="left"/>
      <w:pPr>
        <w:ind w:left="2880" w:hanging="360"/>
      </w:pPr>
      <w:rPr>
        <w:rFonts w:hint="default" w:ascii="Symbol" w:hAnsi="Symbol"/>
      </w:rPr>
    </w:lvl>
    <w:lvl w:ilvl="4" w:tplc="DE2A744C">
      <w:start w:val="1"/>
      <w:numFmt w:val="bullet"/>
      <w:lvlText w:val="o"/>
      <w:lvlJc w:val="left"/>
      <w:pPr>
        <w:ind w:left="3600" w:hanging="360"/>
      </w:pPr>
      <w:rPr>
        <w:rFonts w:hint="default" w:ascii="Courier New" w:hAnsi="Courier New"/>
      </w:rPr>
    </w:lvl>
    <w:lvl w:ilvl="5" w:tplc="1210682C">
      <w:start w:val="1"/>
      <w:numFmt w:val="bullet"/>
      <w:lvlText w:val=""/>
      <w:lvlJc w:val="left"/>
      <w:pPr>
        <w:ind w:left="4320" w:hanging="360"/>
      </w:pPr>
      <w:rPr>
        <w:rFonts w:hint="default" w:ascii="Wingdings" w:hAnsi="Wingdings"/>
      </w:rPr>
    </w:lvl>
    <w:lvl w:ilvl="6" w:tplc="D38639DA">
      <w:start w:val="1"/>
      <w:numFmt w:val="bullet"/>
      <w:lvlText w:val=""/>
      <w:lvlJc w:val="left"/>
      <w:pPr>
        <w:ind w:left="5040" w:hanging="360"/>
      </w:pPr>
      <w:rPr>
        <w:rFonts w:hint="default" w:ascii="Symbol" w:hAnsi="Symbol"/>
      </w:rPr>
    </w:lvl>
    <w:lvl w:ilvl="7" w:tplc="D0EEEC3A">
      <w:start w:val="1"/>
      <w:numFmt w:val="bullet"/>
      <w:lvlText w:val="o"/>
      <w:lvlJc w:val="left"/>
      <w:pPr>
        <w:ind w:left="5760" w:hanging="360"/>
      </w:pPr>
      <w:rPr>
        <w:rFonts w:hint="default" w:ascii="Courier New" w:hAnsi="Courier New"/>
      </w:rPr>
    </w:lvl>
    <w:lvl w:ilvl="8" w:tplc="EED04B3A">
      <w:start w:val="1"/>
      <w:numFmt w:val="bullet"/>
      <w:lvlText w:val=""/>
      <w:lvlJc w:val="left"/>
      <w:pPr>
        <w:ind w:left="6480" w:hanging="360"/>
      </w:pPr>
      <w:rPr>
        <w:rFonts w:hint="default" w:ascii="Wingdings" w:hAnsi="Wingdings"/>
      </w:rPr>
    </w:lvl>
  </w:abstractNum>
  <w:abstractNum w:abstractNumId="12" w15:restartNumberingAfterBreak="0">
    <w:nsid w:val="4DC959F3"/>
    <w:multiLevelType w:val="hybridMultilevel"/>
    <w:tmpl w:val="3210DF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1AB5F99"/>
    <w:multiLevelType w:val="hybridMultilevel"/>
    <w:tmpl w:val="7FA08C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982793"/>
    <w:multiLevelType w:val="hybridMultilevel"/>
    <w:tmpl w:val="83A0F42A"/>
    <w:lvl w:ilvl="0" w:tplc="7DA47BB2">
      <w:start w:val="1"/>
      <w:numFmt w:val="bullet"/>
      <w:lvlText w:val="·"/>
      <w:lvlJc w:val="left"/>
      <w:pPr>
        <w:ind w:left="720" w:hanging="360"/>
      </w:pPr>
      <w:rPr>
        <w:rFonts w:hint="default" w:ascii="Symbol" w:hAnsi="Symbol"/>
      </w:rPr>
    </w:lvl>
    <w:lvl w:ilvl="1" w:tplc="E60288EC">
      <w:start w:val="1"/>
      <w:numFmt w:val="bullet"/>
      <w:lvlText w:val="o"/>
      <w:lvlJc w:val="left"/>
      <w:pPr>
        <w:ind w:left="1440" w:hanging="360"/>
      </w:pPr>
      <w:rPr>
        <w:rFonts w:hint="default" w:ascii="Courier New" w:hAnsi="Courier New"/>
      </w:rPr>
    </w:lvl>
    <w:lvl w:ilvl="2" w:tplc="526E9BE8">
      <w:start w:val="1"/>
      <w:numFmt w:val="bullet"/>
      <w:lvlText w:val=""/>
      <w:lvlJc w:val="left"/>
      <w:pPr>
        <w:ind w:left="2160" w:hanging="360"/>
      </w:pPr>
      <w:rPr>
        <w:rFonts w:hint="default" w:ascii="Wingdings" w:hAnsi="Wingdings"/>
      </w:rPr>
    </w:lvl>
    <w:lvl w:ilvl="3" w:tplc="A68A9100">
      <w:start w:val="1"/>
      <w:numFmt w:val="bullet"/>
      <w:lvlText w:val=""/>
      <w:lvlJc w:val="left"/>
      <w:pPr>
        <w:ind w:left="2880" w:hanging="360"/>
      </w:pPr>
      <w:rPr>
        <w:rFonts w:hint="default" w:ascii="Symbol" w:hAnsi="Symbol"/>
      </w:rPr>
    </w:lvl>
    <w:lvl w:ilvl="4" w:tplc="19CAC4FC">
      <w:start w:val="1"/>
      <w:numFmt w:val="bullet"/>
      <w:lvlText w:val="o"/>
      <w:lvlJc w:val="left"/>
      <w:pPr>
        <w:ind w:left="3600" w:hanging="360"/>
      </w:pPr>
      <w:rPr>
        <w:rFonts w:hint="default" w:ascii="Courier New" w:hAnsi="Courier New"/>
      </w:rPr>
    </w:lvl>
    <w:lvl w:ilvl="5" w:tplc="8AD22CB4">
      <w:start w:val="1"/>
      <w:numFmt w:val="bullet"/>
      <w:lvlText w:val=""/>
      <w:lvlJc w:val="left"/>
      <w:pPr>
        <w:ind w:left="4320" w:hanging="360"/>
      </w:pPr>
      <w:rPr>
        <w:rFonts w:hint="default" w:ascii="Wingdings" w:hAnsi="Wingdings"/>
      </w:rPr>
    </w:lvl>
    <w:lvl w:ilvl="6" w:tplc="6A189B26">
      <w:start w:val="1"/>
      <w:numFmt w:val="bullet"/>
      <w:lvlText w:val=""/>
      <w:lvlJc w:val="left"/>
      <w:pPr>
        <w:ind w:left="5040" w:hanging="360"/>
      </w:pPr>
      <w:rPr>
        <w:rFonts w:hint="default" w:ascii="Symbol" w:hAnsi="Symbol"/>
      </w:rPr>
    </w:lvl>
    <w:lvl w:ilvl="7" w:tplc="7388AB92">
      <w:start w:val="1"/>
      <w:numFmt w:val="bullet"/>
      <w:lvlText w:val="o"/>
      <w:lvlJc w:val="left"/>
      <w:pPr>
        <w:ind w:left="5760" w:hanging="360"/>
      </w:pPr>
      <w:rPr>
        <w:rFonts w:hint="default" w:ascii="Courier New" w:hAnsi="Courier New"/>
      </w:rPr>
    </w:lvl>
    <w:lvl w:ilvl="8" w:tplc="8ECA602E">
      <w:start w:val="1"/>
      <w:numFmt w:val="bullet"/>
      <w:lvlText w:val=""/>
      <w:lvlJc w:val="left"/>
      <w:pPr>
        <w:ind w:left="6480" w:hanging="360"/>
      </w:pPr>
      <w:rPr>
        <w:rFonts w:hint="default" w:ascii="Wingdings" w:hAnsi="Wingdings"/>
      </w:rPr>
    </w:lvl>
  </w:abstractNum>
  <w:abstractNum w:abstractNumId="15" w15:restartNumberingAfterBreak="0">
    <w:nsid w:val="64EBB466"/>
    <w:multiLevelType w:val="hybridMultilevel"/>
    <w:tmpl w:val="6A40BB92"/>
    <w:lvl w:ilvl="0" w:tplc="836AED90">
      <w:start w:val="1"/>
      <w:numFmt w:val="bullet"/>
      <w:lvlText w:val=""/>
      <w:lvlJc w:val="left"/>
      <w:pPr>
        <w:ind w:left="720" w:hanging="360"/>
      </w:pPr>
      <w:rPr>
        <w:rFonts w:hint="default" w:ascii="Symbol" w:hAnsi="Symbol"/>
      </w:rPr>
    </w:lvl>
    <w:lvl w:ilvl="1" w:tplc="30D602E6">
      <w:start w:val="1"/>
      <w:numFmt w:val="bullet"/>
      <w:lvlText w:val="o"/>
      <w:lvlJc w:val="left"/>
      <w:pPr>
        <w:ind w:left="1440" w:hanging="360"/>
      </w:pPr>
      <w:rPr>
        <w:rFonts w:hint="default" w:ascii="Courier New" w:hAnsi="Courier New"/>
      </w:rPr>
    </w:lvl>
    <w:lvl w:ilvl="2" w:tplc="75EAFA5C">
      <w:start w:val="1"/>
      <w:numFmt w:val="bullet"/>
      <w:lvlText w:val=""/>
      <w:lvlJc w:val="left"/>
      <w:pPr>
        <w:ind w:left="2160" w:hanging="360"/>
      </w:pPr>
      <w:rPr>
        <w:rFonts w:hint="default" w:ascii="Wingdings" w:hAnsi="Wingdings"/>
      </w:rPr>
    </w:lvl>
    <w:lvl w:ilvl="3" w:tplc="2AF8DF12">
      <w:start w:val="1"/>
      <w:numFmt w:val="bullet"/>
      <w:lvlText w:val=""/>
      <w:lvlJc w:val="left"/>
      <w:pPr>
        <w:ind w:left="2880" w:hanging="360"/>
      </w:pPr>
      <w:rPr>
        <w:rFonts w:hint="default" w:ascii="Symbol" w:hAnsi="Symbol"/>
      </w:rPr>
    </w:lvl>
    <w:lvl w:ilvl="4" w:tplc="6456A272">
      <w:start w:val="1"/>
      <w:numFmt w:val="bullet"/>
      <w:lvlText w:val="o"/>
      <w:lvlJc w:val="left"/>
      <w:pPr>
        <w:ind w:left="3600" w:hanging="360"/>
      </w:pPr>
      <w:rPr>
        <w:rFonts w:hint="default" w:ascii="Courier New" w:hAnsi="Courier New"/>
      </w:rPr>
    </w:lvl>
    <w:lvl w:ilvl="5" w:tplc="69EAB798">
      <w:start w:val="1"/>
      <w:numFmt w:val="bullet"/>
      <w:lvlText w:val=""/>
      <w:lvlJc w:val="left"/>
      <w:pPr>
        <w:ind w:left="4320" w:hanging="360"/>
      </w:pPr>
      <w:rPr>
        <w:rFonts w:hint="default" w:ascii="Wingdings" w:hAnsi="Wingdings"/>
      </w:rPr>
    </w:lvl>
    <w:lvl w:ilvl="6" w:tplc="C140695A">
      <w:start w:val="1"/>
      <w:numFmt w:val="bullet"/>
      <w:lvlText w:val=""/>
      <w:lvlJc w:val="left"/>
      <w:pPr>
        <w:ind w:left="5040" w:hanging="360"/>
      </w:pPr>
      <w:rPr>
        <w:rFonts w:hint="default" w:ascii="Symbol" w:hAnsi="Symbol"/>
      </w:rPr>
    </w:lvl>
    <w:lvl w:ilvl="7" w:tplc="FB707CE4">
      <w:start w:val="1"/>
      <w:numFmt w:val="bullet"/>
      <w:lvlText w:val="o"/>
      <w:lvlJc w:val="left"/>
      <w:pPr>
        <w:ind w:left="5760" w:hanging="360"/>
      </w:pPr>
      <w:rPr>
        <w:rFonts w:hint="default" w:ascii="Courier New" w:hAnsi="Courier New"/>
      </w:rPr>
    </w:lvl>
    <w:lvl w:ilvl="8" w:tplc="DD86EA48">
      <w:start w:val="1"/>
      <w:numFmt w:val="bullet"/>
      <w:lvlText w:val=""/>
      <w:lvlJc w:val="left"/>
      <w:pPr>
        <w:ind w:left="6480" w:hanging="360"/>
      </w:pPr>
      <w:rPr>
        <w:rFonts w:hint="default" w:ascii="Wingdings" w:hAnsi="Wingdings"/>
      </w:rPr>
    </w:lvl>
  </w:abstractNum>
  <w:abstractNum w:abstractNumId="16" w15:restartNumberingAfterBreak="0">
    <w:nsid w:val="685F27F6"/>
    <w:multiLevelType w:val="hybridMultilevel"/>
    <w:tmpl w:val="DD9424F6"/>
    <w:lvl w:ilvl="0" w:tplc="3684B11E">
      <w:start w:val="1"/>
      <w:numFmt w:val="decimal"/>
      <w:lvlText w:val="%1."/>
      <w:lvlJc w:val="left"/>
      <w:pPr>
        <w:ind w:left="720" w:hanging="360"/>
      </w:pPr>
    </w:lvl>
    <w:lvl w:ilvl="1" w:tplc="6B40FFB8">
      <w:start w:val="1"/>
      <w:numFmt w:val="lowerLetter"/>
      <w:lvlText w:val="%2."/>
      <w:lvlJc w:val="left"/>
      <w:pPr>
        <w:ind w:left="1440" w:hanging="360"/>
      </w:pPr>
    </w:lvl>
    <w:lvl w:ilvl="2" w:tplc="D5B29178">
      <w:start w:val="1"/>
      <w:numFmt w:val="lowerRoman"/>
      <w:lvlText w:val="%3."/>
      <w:lvlJc w:val="right"/>
      <w:pPr>
        <w:ind w:left="2160" w:hanging="180"/>
      </w:pPr>
    </w:lvl>
    <w:lvl w:ilvl="3" w:tplc="1B7E3348">
      <w:start w:val="1"/>
      <w:numFmt w:val="decimal"/>
      <w:lvlText w:val="%4."/>
      <w:lvlJc w:val="left"/>
      <w:pPr>
        <w:ind w:left="2880" w:hanging="360"/>
      </w:pPr>
    </w:lvl>
    <w:lvl w:ilvl="4" w:tplc="E3327306">
      <w:start w:val="1"/>
      <w:numFmt w:val="lowerLetter"/>
      <w:lvlText w:val="%5."/>
      <w:lvlJc w:val="left"/>
      <w:pPr>
        <w:ind w:left="3600" w:hanging="360"/>
      </w:pPr>
    </w:lvl>
    <w:lvl w:ilvl="5" w:tplc="42145C80">
      <w:start w:val="1"/>
      <w:numFmt w:val="lowerRoman"/>
      <w:lvlText w:val="%6."/>
      <w:lvlJc w:val="right"/>
      <w:pPr>
        <w:ind w:left="4320" w:hanging="180"/>
      </w:pPr>
    </w:lvl>
    <w:lvl w:ilvl="6" w:tplc="13608C4E">
      <w:start w:val="1"/>
      <w:numFmt w:val="decimal"/>
      <w:lvlText w:val="%7."/>
      <w:lvlJc w:val="left"/>
      <w:pPr>
        <w:ind w:left="5040" w:hanging="360"/>
      </w:pPr>
    </w:lvl>
    <w:lvl w:ilvl="7" w:tplc="35C884AA">
      <w:start w:val="1"/>
      <w:numFmt w:val="lowerLetter"/>
      <w:lvlText w:val="%8."/>
      <w:lvlJc w:val="left"/>
      <w:pPr>
        <w:ind w:left="5760" w:hanging="360"/>
      </w:pPr>
    </w:lvl>
    <w:lvl w:ilvl="8" w:tplc="CDDE6912">
      <w:start w:val="1"/>
      <w:numFmt w:val="lowerRoman"/>
      <w:lvlText w:val="%9."/>
      <w:lvlJc w:val="right"/>
      <w:pPr>
        <w:ind w:left="6480" w:hanging="180"/>
      </w:pPr>
    </w:lvl>
  </w:abstractNum>
  <w:abstractNum w:abstractNumId="17" w15:restartNumberingAfterBreak="0">
    <w:nsid w:val="6B6F376E"/>
    <w:multiLevelType w:val="hybridMultilevel"/>
    <w:tmpl w:val="95683F1A"/>
    <w:lvl w:ilvl="0" w:tplc="466ADCA2">
      <w:start w:val="1"/>
      <w:numFmt w:val="bullet"/>
      <w:lvlText w:val="·"/>
      <w:lvlJc w:val="left"/>
      <w:pPr>
        <w:ind w:left="720" w:hanging="360"/>
      </w:pPr>
      <w:rPr>
        <w:rFonts w:hint="default" w:ascii="Symbol" w:hAnsi="Symbol"/>
      </w:rPr>
    </w:lvl>
    <w:lvl w:ilvl="1" w:tplc="D22EDC94">
      <w:start w:val="1"/>
      <w:numFmt w:val="bullet"/>
      <w:lvlText w:val="o"/>
      <w:lvlJc w:val="left"/>
      <w:pPr>
        <w:ind w:left="1440" w:hanging="360"/>
      </w:pPr>
      <w:rPr>
        <w:rFonts w:hint="default" w:ascii="Courier New" w:hAnsi="Courier New"/>
      </w:rPr>
    </w:lvl>
    <w:lvl w:ilvl="2" w:tplc="B868DDA4">
      <w:start w:val="1"/>
      <w:numFmt w:val="bullet"/>
      <w:lvlText w:val=""/>
      <w:lvlJc w:val="left"/>
      <w:pPr>
        <w:ind w:left="2160" w:hanging="360"/>
      </w:pPr>
      <w:rPr>
        <w:rFonts w:hint="default" w:ascii="Wingdings" w:hAnsi="Wingdings"/>
      </w:rPr>
    </w:lvl>
    <w:lvl w:ilvl="3" w:tplc="7DC0D1D8">
      <w:start w:val="1"/>
      <w:numFmt w:val="bullet"/>
      <w:lvlText w:val=""/>
      <w:lvlJc w:val="left"/>
      <w:pPr>
        <w:ind w:left="2880" w:hanging="360"/>
      </w:pPr>
      <w:rPr>
        <w:rFonts w:hint="default" w:ascii="Symbol" w:hAnsi="Symbol"/>
      </w:rPr>
    </w:lvl>
    <w:lvl w:ilvl="4" w:tplc="F63AC20E">
      <w:start w:val="1"/>
      <w:numFmt w:val="bullet"/>
      <w:lvlText w:val="o"/>
      <w:lvlJc w:val="left"/>
      <w:pPr>
        <w:ind w:left="3600" w:hanging="360"/>
      </w:pPr>
      <w:rPr>
        <w:rFonts w:hint="default" w:ascii="Courier New" w:hAnsi="Courier New"/>
      </w:rPr>
    </w:lvl>
    <w:lvl w:ilvl="5" w:tplc="0BA8A204">
      <w:start w:val="1"/>
      <w:numFmt w:val="bullet"/>
      <w:lvlText w:val=""/>
      <w:lvlJc w:val="left"/>
      <w:pPr>
        <w:ind w:left="4320" w:hanging="360"/>
      </w:pPr>
      <w:rPr>
        <w:rFonts w:hint="default" w:ascii="Wingdings" w:hAnsi="Wingdings"/>
      </w:rPr>
    </w:lvl>
    <w:lvl w:ilvl="6" w:tplc="DC006652">
      <w:start w:val="1"/>
      <w:numFmt w:val="bullet"/>
      <w:lvlText w:val=""/>
      <w:lvlJc w:val="left"/>
      <w:pPr>
        <w:ind w:left="5040" w:hanging="360"/>
      </w:pPr>
      <w:rPr>
        <w:rFonts w:hint="default" w:ascii="Symbol" w:hAnsi="Symbol"/>
      </w:rPr>
    </w:lvl>
    <w:lvl w:ilvl="7" w:tplc="F3A4883A">
      <w:start w:val="1"/>
      <w:numFmt w:val="bullet"/>
      <w:lvlText w:val="o"/>
      <w:lvlJc w:val="left"/>
      <w:pPr>
        <w:ind w:left="5760" w:hanging="360"/>
      </w:pPr>
      <w:rPr>
        <w:rFonts w:hint="default" w:ascii="Courier New" w:hAnsi="Courier New"/>
      </w:rPr>
    </w:lvl>
    <w:lvl w:ilvl="8" w:tplc="A088EF56">
      <w:start w:val="1"/>
      <w:numFmt w:val="bullet"/>
      <w:lvlText w:val=""/>
      <w:lvlJc w:val="left"/>
      <w:pPr>
        <w:ind w:left="6480" w:hanging="360"/>
      </w:pPr>
      <w:rPr>
        <w:rFonts w:hint="default" w:ascii="Wingdings" w:hAnsi="Wingdings"/>
      </w:rPr>
    </w:lvl>
  </w:abstractNum>
  <w:abstractNum w:abstractNumId="18" w15:restartNumberingAfterBreak="0">
    <w:nsid w:val="74F09836"/>
    <w:multiLevelType w:val="hybridMultilevel"/>
    <w:tmpl w:val="22800562"/>
    <w:lvl w:ilvl="0" w:tplc="CC381548">
      <w:start w:val="1"/>
      <w:numFmt w:val="bullet"/>
      <w:lvlText w:val="·"/>
      <w:lvlJc w:val="left"/>
      <w:pPr>
        <w:ind w:left="720" w:hanging="360"/>
      </w:pPr>
      <w:rPr>
        <w:rFonts w:hint="default" w:ascii="Symbol" w:hAnsi="Symbol"/>
      </w:rPr>
    </w:lvl>
    <w:lvl w:ilvl="1" w:tplc="E1900F80">
      <w:start w:val="1"/>
      <w:numFmt w:val="bullet"/>
      <w:lvlText w:val="o"/>
      <w:lvlJc w:val="left"/>
      <w:pPr>
        <w:ind w:left="1440" w:hanging="360"/>
      </w:pPr>
      <w:rPr>
        <w:rFonts w:hint="default" w:ascii="Courier New" w:hAnsi="Courier New"/>
      </w:rPr>
    </w:lvl>
    <w:lvl w:ilvl="2" w:tplc="25024144">
      <w:start w:val="1"/>
      <w:numFmt w:val="bullet"/>
      <w:lvlText w:val=""/>
      <w:lvlJc w:val="left"/>
      <w:pPr>
        <w:ind w:left="2160" w:hanging="360"/>
      </w:pPr>
      <w:rPr>
        <w:rFonts w:hint="default" w:ascii="Wingdings" w:hAnsi="Wingdings"/>
      </w:rPr>
    </w:lvl>
    <w:lvl w:ilvl="3" w:tplc="2708EAAC">
      <w:start w:val="1"/>
      <w:numFmt w:val="bullet"/>
      <w:lvlText w:val=""/>
      <w:lvlJc w:val="left"/>
      <w:pPr>
        <w:ind w:left="2880" w:hanging="360"/>
      </w:pPr>
      <w:rPr>
        <w:rFonts w:hint="default" w:ascii="Symbol" w:hAnsi="Symbol"/>
      </w:rPr>
    </w:lvl>
    <w:lvl w:ilvl="4" w:tplc="7D303DC4">
      <w:start w:val="1"/>
      <w:numFmt w:val="bullet"/>
      <w:lvlText w:val="o"/>
      <w:lvlJc w:val="left"/>
      <w:pPr>
        <w:ind w:left="3600" w:hanging="360"/>
      </w:pPr>
      <w:rPr>
        <w:rFonts w:hint="default" w:ascii="Courier New" w:hAnsi="Courier New"/>
      </w:rPr>
    </w:lvl>
    <w:lvl w:ilvl="5" w:tplc="F050B758">
      <w:start w:val="1"/>
      <w:numFmt w:val="bullet"/>
      <w:lvlText w:val=""/>
      <w:lvlJc w:val="left"/>
      <w:pPr>
        <w:ind w:left="4320" w:hanging="360"/>
      </w:pPr>
      <w:rPr>
        <w:rFonts w:hint="default" w:ascii="Wingdings" w:hAnsi="Wingdings"/>
      </w:rPr>
    </w:lvl>
    <w:lvl w:ilvl="6" w:tplc="2DA45F5E">
      <w:start w:val="1"/>
      <w:numFmt w:val="bullet"/>
      <w:lvlText w:val=""/>
      <w:lvlJc w:val="left"/>
      <w:pPr>
        <w:ind w:left="5040" w:hanging="360"/>
      </w:pPr>
      <w:rPr>
        <w:rFonts w:hint="default" w:ascii="Symbol" w:hAnsi="Symbol"/>
      </w:rPr>
    </w:lvl>
    <w:lvl w:ilvl="7" w:tplc="0A220DBA">
      <w:start w:val="1"/>
      <w:numFmt w:val="bullet"/>
      <w:lvlText w:val="o"/>
      <w:lvlJc w:val="left"/>
      <w:pPr>
        <w:ind w:left="5760" w:hanging="360"/>
      </w:pPr>
      <w:rPr>
        <w:rFonts w:hint="default" w:ascii="Courier New" w:hAnsi="Courier New"/>
      </w:rPr>
    </w:lvl>
    <w:lvl w:ilvl="8" w:tplc="1200CD0C">
      <w:start w:val="1"/>
      <w:numFmt w:val="bullet"/>
      <w:lvlText w:val=""/>
      <w:lvlJc w:val="left"/>
      <w:pPr>
        <w:ind w:left="6480" w:hanging="360"/>
      </w:pPr>
      <w:rPr>
        <w:rFonts w:hint="default" w:ascii="Wingdings" w:hAnsi="Wingdings"/>
      </w:rPr>
    </w:lvl>
  </w:abstractNum>
  <w:abstractNum w:abstractNumId="19" w15:restartNumberingAfterBreak="0">
    <w:nsid w:val="75FE18A8"/>
    <w:multiLevelType w:val="hybridMultilevel"/>
    <w:tmpl w:val="7FC66D32"/>
    <w:lvl w:ilvl="0" w:tplc="98B26ECC">
      <w:start w:val="1"/>
      <w:numFmt w:val="bullet"/>
      <w:lvlText w:val="·"/>
      <w:lvlJc w:val="left"/>
      <w:pPr>
        <w:ind w:left="720" w:hanging="360"/>
      </w:pPr>
      <w:rPr>
        <w:rFonts w:hint="default" w:ascii="Symbol" w:hAnsi="Symbol"/>
      </w:rPr>
    </w:lvl>
    <w:lvl w:ilvl="1" w:tplc="1D2A2114">
      <w:start w:val="1"/>
      <w:numFmt w:val="bullet"/>
      <w:lvlText w:val="o"/>
      <w:lvlJc w:val="left"/>
      <w:pPr>
        <w:ind w:left="1440" w:hanging="360"/>
      </w:pPr>
      <w:rPr>
        <w:rFonts w:hint="default" w:ascii="Courier New" w:hAnsi="Courier New"/>
      </w:rPr>
    </w:lvl>
    <w:lvl w:ilvl="2" w:tplc="871CB752">
      <w:start w:val="1"/>
      <w:numFmt w:val="bullet"/>
      <w:lvlText w:val=""/>
      <w:lvlJc w:val="left"/>
      <w:pPr>
        <w:ind w:left="2160" w:hanging="360"/>
      </w:pPr>
      <w:rPr>
        <w:rFonts w:hint="default" w:ascii="Wingdings" w:hAnsi="Wingdings"/>
      </w:rPr>
    </w:lvl>
    <w:lvl w:ilvl="3" w:tplc="7E227D44">
      <w:start w:val="1"/>
      <w:numFmt w:val="bullet"/>
      <w:lvlText w:val=""/>
      <w:lvlJc w:val="left"/>
      <w:pPr>
        <w:ind w:left="2880" w:hanging="360"/>
      </w:pPr>
      <w:rPr>
        <w:rFonts w:hint="default" w:ascii="Symbol" w:hAnsi="Symbol"/>
      </w:rPr>
    </w:lvl>
    <w:lvl w:ilvl="4" w:tplc="F6E68AA2">
      <w:start w:val="1"/>
      <w:numFmt w:val="bullet"/>
      <w:lvlText w:val="o"/>
      <w:lvlJc w:val="left"/>
      <w:pPr>
        <w:ind w:left="3600" w:hanging="360"/>
      </w:pPr>
      <w:rPr>
        <w:rFonts w:hint="default" w:ascii="Courier New" w:hAnsi="Courier New"/>
      </w:rPr>
    </w:lvl>
    <w:lvl w:ilvl="5" w:tplc="E2240B7E">
      <w:start w:val="1"/>
      <w:numFmt w:val="bullet"/>
      <w:lvlText w:val=""/>
      <w:lvlJc w:val="left"/>
      <w:pPr>
        <w:ind w:left="4320" w:hanging="360"/>
      </w:pPr>
      <w:rPr>
        <w:rFonts w:hint="default" w:ascii="Wingdings" w:hAnsi="Wingdings"/>
      </w:rPr>
    </w:lvl>
    <w:lvl w:ilvl="6" w:tplc="45C883CC">
      <w:start w:val="1"/>
      <w:numFmt w:val="bullet"/>
      <w:lvlText w:val=""/>
      <w:lvlJc w:val="left"/>
      <w:pPr>
        <w:ind w:left="5040" w:hanging="360"/>
      </w:pPr>
      <w:rPr>
        <w:rFonts w:hint="default" w:ascii="Symbol" w:hAnsi="Symbol"/>
      </w:rPr>
    </w:lvl>
    <w:lvl w:ilvl="7" w:tplc="BBC05B14">
      <w:start w:val="1"/>
      <w:numFmt w:val="bullet"/>
      <w:lvlText w:val="o"/>
      <w:lvlJc w:val="left"/>
      <w:pPr>
        <w:ind w:left="5760" w:hanging="360"/>
      </w:pPr>
      <w:rPr>
        <w:rFonts w:hint="default" w:ascii="Courier New" w:hAnsi="Courier New"/>
      </w:rPr>
    </w:lvl>
    <w:lvl w:ilvl="8" w:tplc="64DE3516">
      <w:start w:val="1"/>
      <w:numFmt w:val="bullet"/>
      <w:lvlText w:val=""/>
      <w:lvlJc w:val="left"/>
      <w:pPr>
        <w:ind w:left="6480" w:hanging="360"/>
      </w:pPr>
      <w:rPr>
        <w:rFonts w:hint="default" w:ascii="Wingdings" w:hAnsi="Wingdings"/>
      </w:rPr>
    </w:lvl>
  </w:abstractNum>
  <w:abstractNum w:abstractNumId="20" w15:restartNumberingAfterBreak="0">
    <w:nsid w:val="77B2C7CC"/>
    <w:multiLevelType w:val="hybridMultilevel"/>
    <w:tmpl w:val="BCC8B6B8"/>
    <w:lvl w:ilvl="0" w:tplc="37DA180A">
      <w:start w:val="1"/>
      <w:numFmt w:val="decimal"/>
      <w:lvlText w:val="%1."/>
      <w:lvlJc w:val="left"/>
      <w:pPr>
        <w:ind w:left="720" w:hanging="360"/>
      </w:pPr>
    </w:lvl>
    <w:lvl w:ilvl="1" w:tplc="930CA9B0">
      <w:start w:val="1"/>
      <w:numFmt w:val="lowerLetter"/>
      <w:lvlText w:val="%2."/>
      <w:lvlJc w:val="left"/>
      <w:pPr>
        <w:ind w:left="1440" w:hanging="360"/>
      </w:pPr>
    </w:lvl>
    <w:lvl w:ilvl="2" w:tplc="56487056">
      <w:start w:val="1"/>
      <w:numFmt w:val="lowerRoman"/>
      <w:lvlText w:val="%3."/>
      <w:lvlJc w:val="right"/>
      <w:pPr>
        <w:ind w:left="2160" w:hanging="180"/>
      </w:pPr>
    </w:lvl>
    <w:lvl w:ilvl="3" w:tplc="FFF60382">
      <w:start w:val="1"/>
      <w:numFmt w:val="decimal"/>
      <w:lvlText w:val="%4."/>
      <w:lvlJc w:val="left"/>
      <w:pPr>
        <w:ind w:left="2880" w:hanging="360"/>
      </w:pPr>
    </w:lvl>
    <w:lvl w:ilvl="4" w:tplc="E0FEF480">
      <w:start w:val="1"/>
      <w:numFmt w:val="lowerLetter"/>
      <w:lvlText w:val="%5."/>
      <w:lvlJc w:val="left"/>
      <w:pPr>
        <w:ind w:left="3600" w:hanging="360"/>
      </w:pPr>
    </w:lvl>
    <w:lvl w:ilvl="5" w:tplc="7318BA94">
      <w:start w:val="1"/>
      <w:numFmt w:val="lowerRoman"/>
      <w:lvlText w:val="%6."/>
      <w:lvlJc w:val="right"/>
      <w:pPr>
        <w:ind w:left="4320" w:hanging="180"/>
      </w:pPr>
    </w:lvl>
    <w:lvl w:ilvl="6" w:tplc="687CB7B2">
      <w:start w:val="1"/>
      <w:numFmt w:val="decimal"/>
      <w:lvlText w:val="%7."/>
      <w:lvlJc w:val="left"/>
      <w:pPr>
        <w:ind w:left="5040" w:hanging="360"/>
      </w:pPr>
    </w:lvl>
    <w:lvl w:ilvl="7" w:tplc="D79C3190">
      <w:start w:val="1"/>
      <w:numFmt w:val="lowerLetter"/>
      <w:lvlText w:val="%8."/>
      <w:lvlJc w:val="left"/>
      <w:pPr>
        <w:ind w:left="5760" w:hanging="360"/>
      </w:pPr>
    </w:lvl>
    <w:lvl w:ilvl="8" w:tplc="D0328F7A">
      <w:start w:val="1"/>
      <w:numFmt w:val="lowerRoman"/>
      <w:lvlText w:val="%9."/>
      <w:lvlJc w:val="right"/>
      <w:pPr>
        <w:ind w:left="6480" w:hanging="180"/>
      </w:pPr>
    </w:lvl>
  </w:abstractNum>
  <w:num w:numId="1" w16cid:durableId="877166193">
    <w:abstractNumId w:val="20"/>
  </w:num>
  <w:num w:numId="2" w16cid:durableId="385104490">
    <w:abstractNumId w:val="8"/>
  </w:num>
  <w:num w:numId="3" w16cid:durableId="748620349">
    <w:abstractNumId w:val="15"/>
  </w:num>
  <w:num w:numId="4" w16cid:durableId="74713582">
    <w:abstractNumId w:val="7"/>
  </w:num>
  <w:num w:numId="5" w16cid:durableId="462776576">
    <w:abstractNumId w:val="11"/>
  </w:num>
  <w:num w:numId="6" w16cid:durableId="28721155">
    <w:abstractNumId w:val="5"/>
  </w:num>
  <w:num w:numId="7" w16cid:durableId="1728991705">
    <w:abstractNumId w:val="17"/>
  </w:num>
  <w:num w:numId="8" w16cid:durableId="954942155">
    <w:abstractNumId w:val="9"/>
  </w:num>
  <w:num w:numId="9" w16cid:durableId="895706935">
    <w:abstractNumId w:val="18"/>
  </w:num>
  <w:num w:numId="10" w16cid:durableId="1716926216">
    <w:abstractNumId w:val="0"/>
  </w:num>
  <w:num w:numId="11" w16cid:durableId="1545210295">
    <w:abstractNumId w:val="10"/>
  </w:num>
  <w:num w:numId="12" w16cid:durableId="1570459456">
    <w:abstractNumId w:val="14"/>
  </w:num>
  <w:num w:numId="13" w16cid:durableId="252013743">
    <w:abstractNumId w:val="6"/>
  </w:num>
  <w:num w:numId="14" w16cid:durableId="1145319714">
    <w:abstractNumId w:val="1"/>
  </w:num>
  <w:num w:numId="15" w16cid:durableId="800465238">
    <w:abstractNumId w:val="16"/>
  </w:num>
  <w:num w:numId="16" w16cid:durableId="356348886">
    <w:abstractNumId w:val="19"/>
  </w:num>
  <w:num w:numId="17" w16cid:durableId="467017402">
    <w:abstractNumId w:val="2"/>
  </w:num>
  <w:num w:numId="18" w16cid:durableId="109858965">
    <w:abstractNumId w:val="3"/>
  </w:num>
  <w:num w:numId="19" w16cid:durableId="616371862">
    <w:abstractNumId w:val="4"/>
  </w:num>
  <w:num w:numId="20" w16cid:durableId="2110196811">
    <w:abstractNumId w:val="13"/>
  </w:num>
  <w:num w:numId="21" w16cid:durableId="15542689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C9"/>
    <w:rsid w:val="00025F18"/>
    <w:rsid w:val="000422B4"/>
    <w:rsid w:val="001107B9"/>
    <w:rsid w:val="00152DB1"/>
    <w:rsid w:val="00156264"/>
    <w:rsid w:val="00166BC8"/>
    <w:rsid w:val="00176D37"/>
    <w:rsid w:val="00182B1B"/>
    <w:rsid w:val="001C2DF3"/>
    <w:rsid w:val="0021296B"/>
    <w:rsid w:val="00293CE1"/>
    <w:rsid w:val="00316E7F"/>
    <w:rsid w:val="00317DC9"/>
    <w:rsid w:val="00341893"/>
    <w:rsid w:val="00366D29"/>
    <w:rsid w:val="00367AE5"/>
    <w:rsid w:val="003707D4"/>
    <w:rsid w:val="00377A06"/>
    <w:rsid w:val="00396AE5"/>
    <w:rsid w:val="003B33FF"/>
    <w:rsid w:val="003D2BB1"/>
    <w:rsid w:val="003D79F3"/>
    <w:rsid w:val="003E2059"/>
    <w:rsid w:val="003E2E65"/>
    <w:rsid w:val="00527D39"/>
    <w:rsid w:val="00537A5E"/>
    <w:rsid w:val="00574BBF"/>
    <w:rsid w:val="00607152"/>
    <w:rsid w:val="006121A4"/>
    <w:rsid w:val="006227EB"/>
    <w:rsid w:val="00652CB0"/>
    <w:rsid w:val="007A6DF7"/>
    <w:rsid w:val="00834FA7"/>
    <w:rsid w:val="00855332"/>
    <w:rsid w:val="008F7027"/>
    <w:rsid w:val="00917AC2"/>
    <w:rsid w:val="009E5009"/>
    <w:rsid w:val="00A860D0"/>
    <w:rsid w:val="00A90A93"/>
    <w:rsid w:val="00AC327C"/>
    <w:rsid w:val="00B3753F"/>
    <w:rsid w:val="00BC3A32"/>
    <w:rsid w:val="00C31BF0"/>
    <w:rsid w:val="00C46990"/>
    <w:rsid w:val="00C61C19"/>
    <w:rsid w:val="00CA355C"/>
    <w:rsid w:val="00D56228"/>
    <w:rsid w:val="00D757E5"/>
    <w:rsid w:val="00D90D79"/>
    <w:rsid w:val="00DA4D18"/>
    <w:rsid w:val="00E57852"/>
    <w:rsid w:val="00E619CE"/>
    <w:rsid w:val="00F03CC2"/>
    <w:rsid w:val="00F4604E"/>
    <w:rsid w:val="00F50DCD"/>
    <w:rsid w:val="00F67A2C"/>
    <w:rsid w:val="00F93CE3"/>
    <w:rsid w:val="60085441"/>
    <w:rsid w:val="72A0B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F925D"/>
  <w15:chartTrackingRefBased/>
  <w15:docId w15:val="{6DA26648-CF0E-8245-B835-9FCDC4DE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7DC9"/>
    <w:pPr>
      <w:spacing w:after="200" w:line="252" w:lineRule="auto"/>
    </w:pPr>
    <w:rPr>
      <w:rFonts w:asciiTheme="majorHAnsi" w:hAnsiTheme="majorHAnsi" w:cstheme="majorBidi"/>
      <w:kern w:val="0"/>
      <w:sz w:val="22"/>
      <w:szCs w:val="22"/>
      <w:lang w:val="en-US"/>
      <w14:ligatures w14:val="none"/>
    </w:rPr>
  </w:style>
  <w:style w:type="paragraph" w:styleId="Heading1">
    <w:name w:val="heading 1"/>
    <w:basedOn w:val="Normal"/>
    <w:next w:val="Normal"/>
    <w:link w:val="Heading1Char"/>
    <w:uiPriority w:val="9"/>
    <w:qFormat/>
    <w:rsid w:val="00317DC9"/>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317DC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317DC9"/>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317DC9"/>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317DC9"/>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317DC9"/>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317DC9"/>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317DC9"/>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317DC9"/>
    <w:pPr>
      <w:keepNext/>
      <w:keepLines/>
      <w:spacing w:after="0"/>
      <w:outlineLvl w:val="8"/>
    </w:pPr>
    <w:rPr>
      <w:rFonts w:eastAsiaTheme="majorEastAsia"/>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7DC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17DC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17DC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317DC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17DC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17DC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7DC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7DC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7DC9"/>
    <w:rPr>
      <w:rFonts w:eastAsiaTheme="majorEastAsia" w:cstheme="majorBidi"/>
      <w:color w:val="272727" w:themeColor="text1" w:themeTint="D8"/>
    </w:rPr>
  </w:style>
  <w:style w:type="paragraph" w:styleId="Title">
    <w:name w:val="Title"/>
    <w:basedOn w:val="Normal"/>
    <w:next w:val="Normal"/>
    <w:link w:val="TitleChar"/>
    <w:uiPriority w:val="10"/>
    <w:qFormat/>
    <w:rsid w:val="00317DC9"/>
    <w:pPr>
      <w:spacing w:after="80" w:line="240" w:lineRule="auto"/>
      <w:contextualSpacing/>
    </w:pPr>
    <w:rPr>
      <w:rFonts w:eastAsiaTheme="majorEastAsia"/>
      <w:spacing w:val="-10"/>
      <w:kern w:val="28"/>
      <w:sz w:val="56"/>
      <w:szCs w:val="56"/>
    </w:rPr>
  </w:style>
  <w:style w:type="character" w:styleId="TitleChar" w:customStyle="1">
    <w:name w:val="Title Char"/>
    <w:basedOn w:val="DefaultParagraphFont"/>
    <w:link w:val="Title"/>
    <w:uiPriority w:val="10"/>
    <w:rsid w:val="00317DC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7DC9"/>
    <w:pPr>
      <w:numPr>
        <w:ilvl w:val="1"/>
      </w:numPr>
    </w:pPr>
    <w:rPr>
      <w:rFonts w:eastAsiaTheme="majorEastAsia"/>
      <w:color w:val="595959" w:themeColor="text1" w:themeTint="A6"/>
      <w:spacing w:val="15"/>
      <w:sz w:val="28"/>
      <w:szCs w:val="28"/>
    </w:rPr>
  </w:style>
  <w:style w:type="character" w:styleId="SubtitleChar" w:customStyle="1">
    <w:name w:val="Subtitle Char"/>
    <w:basedOn w:val="DefaultParagraphFont"/>
    <w:link w:val="Subtitle"/>
    <w:uiPriority w:val="11"/>
    <w:rsid w:val="00317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DC9"/>
    <w:pPr>
      <w:spacing w:before="160"/>
      <w:jc w:val="center"/>
    </w:pPr>
    <w:rPr>
      <w:i/>
      <w:iCs/>
      <w:color w:val="404040" w:themeColor="text1" w:themeTint="BF"/>
    </w:rPr>
  </w:style>
  <w:style w:type="character" w:styleId="QuoteChar" w:customStyle="1">
    <w:name w:val="Quote Char"/>
    <w:basedOn w:val="DefaultParagraphFont"/>
    <w:link w:val="Quote"/>
    <w:uiPriority w:val="29"/>
    <w:rsid w:val="00317DC9"/>
    <w:rPr>
      <w:i/>
      <w:iCs/>
      <w:color w:val="404040" w:themeColor="text1" w:themeTint="BF"/>
    </w:rPr>
  </w:style>
  <w:style w:type="paragraph" w:styleId="ListParagraph">
    <w:name w:val="List Paragraph"/>
    <w:basedOn w:val="Normal"/>
    <w:uiPriority w:val="34"/>
    <w:qFormat/>
    <w:rsid w:val="00317DC9"/>
    <w:pPr>
      <w:ind w:left="720"/>
      <w:contextualSpacing/>
    </w:pPr>
  </w:style>
  <w:style w:type="character" w:styleId="IntenseEmphasis">
    <w:name w:val="Intense Emphasis"/>
    <w:basedOn w:val="DefaultParagraphFont"/>
    <w:uiPriority w:val="21"/>
    <w:qFormat/>
    <w:rsid w:val="00317DC9"/>
    <w:rPr>
      <w:i/>
      <w:iCs/>
      <w:color w:val="0F4761" w:themeColor="accent1" w:themeShade="BF"/>
    </w:rPr>
  </w:style>
  <w:style w:type="paragraph" w:styleId="IntenseQuote">
    <w:name w:val="Intense Quote"/>
    <w:basedOn w:val="Normal"/>
    <w:next w:val="Normal"/>
    <w:link w:val="IntenseQuoteChar"/>
    <w:uiPriority w:val="30"/>
    <w:qFormat/>
    <w:rsid w:val="00317D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17DC9"/>
    <w:rPr>
      <w:i/>
      <w:iCs/>
      <w:color w:val="0F4761" w:themeColor="accent1" w:themeShade="BF"/>
    </w:rPr>
  </w:style>
  <w:style w:type="character" w:styleId="IntenseReference">
    <w:name w:val="Intense Reference"/>
    <w:basedOn w:val="DefaultParagraphFont"/>
    <w:uiPriority w:val="32"/>
    <w:qFormat/>
    <w:rsid w:val="00317DC9"/>
    <w:rPr>
      <w:b/>
      <w:bCs/>
      <w:smallCaps/>
      <w:color w:val="0F4761" w:themeColor="accent1" w:themeShade="BF"/>
      <w:spacing w:val="5"/>
    </w:rPr>
  </w:style>
  <w:style w:type="paragraph" w:styleId="Caption">
    <w:name w:val="caption"/>
    <w:basedOn w:val="Normal"/>
    <w:next w:val="Normal"/>
    <w:uiPriority w:val="35"/>
    <w:unhideWhenUsed/>
    <w:qFormat/>
    <w:rsid w:val="00317DC9"/>
    <w:rPr>
      <w:caps/>
      <w:spacing w:val="10"/>
      <w:sz w:val="18"/>
      <w:szCs w:val="18"/>
    </w:rPr>
  </w:style>
  <w:style w:type="character" w:styleId="Strong">
    <w:name w:val="Strong"/>
    <w:uiPriority w:val="22"/>
    <w:qFormat/>
    <w:rsid w:val="00317DC9"/>
    <w:rPr>
      <w:b/>
      <w:bCs/>
      <w:color w:val="BF4E14" w:themeColor="accent2" w:themeShade="BF"/>
      <w:spacing w:val="5"/>
    </w:rPr>
  </w:style>
  <w:style w:type="character" w:styleId="Emphasis">
    <w:name w:val="Emphasis"/>
    <w:uiPriority w:val="20"/>
    <w:qFormat/>
    <w:rsid w:val="00317DC9"/>
    <w:rPr>
      <w:caps/>
      <w:spacing w:val="5"/>
      <w:sz w:val="20"/>
      <w:szCs w:val="20"/>
    </w:rPr>
  </w:style>
  <w:style w:type="paragraph" w:styleId="NoSpacing">
    <w:name w:val="No Spacing"/>
    <w:basedOn w:val="Normal"/>
    <w:link w:val="NoSpacingChar"/>
    <w:uiPriority w:val="1"/>
    <w:qFormat/>
    <w:rsid w:val="00317DC9"/>
    <w:pPr>
      <w:spacing w:after="0" w:line="240" w:lineRule="auto"/>
    </w:pPr>
  </w:style>
  <w:style w:type="character" w:styleId="NoSpacingChar" w:customStyle="1">
    <w:name w:val="No Spacing Char"/>
    <w:basedOn w:val="DefaultParagraphFont"/>
    <w:link w:val="NoSpacing"/>
    <w:uiPriority w:val="1"/>
    <w:rsid w:val="00317DC9"/>
    <w:rPr>
      <w:rFonts w:asciiTheme="majorHAnsi" w:hAnsiTheme="majorHAnsi" w:cstheme="majorBidi"/>
      <w:kern w:val="0"/>
      <w:sz w:val="22"/>
      <w:szCs w:val="22"/>
      <w:lang w:val="en-US"/>
      <w14:ligatures w14:val="none"/>
    </w:rPr>
  </w:style>
  <w:style w:type="character" w:styleId="SubtleEmphasis">
    <w:name w:val="Subtle Emphasis"/>
    <w:uiPriority w:val="19"/>
    <w:qFormat/>
    <w:rsid w:val="00317DC9"/>
    <w:rPr>
      <w:i/>
      <w:iCs/>
    </w:rPr>
  </w:style>
  <w:style w:type="character" w:styleId="SubtleReference">
    <w:name w:val="Subtle Reference"/>
    <w:basedOn w:val="DefaultParagraphFont"/>
    <w:uiPriority w:val="31"/>
    <w:qFormat/>
    <w:rsid w:val="00317DC9"/>
    <w:rPr>
      <w:rFonts w:asciiTheme="minorHAnsi" w:hAnsiTheme="minorHAnsi" w:eastAsiaTheme="minorEastAsia" w:cstheme="minorBidi"/>
      <w:i/>
      <w:iCs/>
      <w:color w:val="7F340D" w:themeColor="accent2" w:themeShade="7F"/>
    </w:rPr>
  </w:style>
  <w:style w:type="character" w:styleId="BookTitle">
    <w:name w:val="Book Title"/>
    <w:uiPriority w:val="33"/>
    <w:qFormat/>
    <w:rsid w:val="00317DC9"/>
    <w:rPr>
      <w:caps/>
      <w:color w:val="7F340D" w:themeColor="accent2" w:themeShade="7F"/>
      <w:spacing w:val="5"/>
      <w:u w:color="7F340D" w:themeColor="accent2" w:themeShade="7F"/>
    </w:rPr>
  </w:style>
  <w:style w:type="paragraph" w:styleId="TOCHeading">
    <w:name w:val="TOC Heading"/>
    <w:basedOn w:val="Heading1"/>
    <w:next w:val="Normal"/>
    <w:uiPriority w:val="39"/>
    <w:unhideWhenUsed/>
    <w:qFormat/>
    <w:rsid w:val="00317DC9"/>
    <w:pPr>
      <w:keepNext w:val="0"/>
      <w:keepLines w:val="0"/>
      <w:pBdr>
        <w:bottom w:val="thinThickSmallGap" w:color="BF4E14" w:themeColor="accent2" w:themeShade="BF" w:sz="12" w:space="1"/>
      </w:pBdr>
      <w:spacing w:before="400" w:after="200"/>
      <w:jc w:val="center"/>
      <w:outlineLvl w:val="9"/>
    </w:pPr>
    <w:rPr>
      <w:rFonts w:eastAsiaTheme="minorHAnsi"/>
      <w:caps/>
      <w:color w:val="80340D" w:themeColor="accent2" w:themeShade="80"/>
      <w:spacing w:val="20"/>
      <w:sz w:val="28"/>
      <w:szCs w:val="28"/>
    </w:rPr>
  </w:style>
  <w:style w:type="paragraph" w:styleId="TOC1">
    <w:name w:val="toc 1"/>
    <w:basedOn w:val="Normal"/>
    <w:next w:val="Normal"/>
    <w:autoRedefine/>
    <w:uiPriority w:val="39"/>
    <w:unhideWhenUsed/>
    <w:rsid w:val="00317DC9"/>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317DC9"/>
    <w:pPr>
      <w:spacing w:after="0"/>
    </w:pPr>
    <w:rPr>
      <w:rFonts w:asciiTheme="minorHAnsi" w:hAnsiTheme="minorHAnsi"/>
      <w:b/>
      <w:bCs/>
      <w:smallCaps/>
    </w:rPr>
  </w:style>
  <w:style w:type="paragraph" w:styleId="TOC3">
    <w:name w:val="toc 3"/>
    <w:basedOn w:val="Normal"/>
    <w:next w:val="Normal"/>
    <w:autoRedefine/>
    <w:uiPriority w:val="39"/>
    <w:unhideWhenUsed/>
    <w:rsid w:val="00317DC9"/>
    <w:pPr>
      <w:spacing w:after="0"/>
    </w:pPr>
    <w:rPr>
      <w:rFonts w:asciiTheme="minorHAnsi" w:hAnsiTheme="minorHAnsi"/>
      <w:smallCaps/>
    </w:rPr>
  </w:style>
  <w:style w:type="character" w:styleId="Hyperlink">
    <w:name w:val="Hyperlink"/>
    <w:basedOn w:val="DefaultParagraphFont"/>
    <w:uiPriority w:val="99"/>
    <w:unhideWhenUsed/>
    <w:rsid w:val="00317DC9"/>
    <w:rPr>
      <w:color w:val="467886" w:themeColor="hyperlink"/>
      <w:u w:val="single"/>
    </w:rPr>
  </w:style>
  <w:style w:type="paragraph" w:styleId="TOC4">
    <w:name w:val="toc 4"/>
    <w:basedOn w:val="Normal"/>
    <w:next w:val="Normal"/>
    <w:autoRedefine/>
    <w:uiPriority w:val="39"/>
    <w:semiHidden/>
    <w:unhideWhenUsed/>
    <w:rsid w:val="00317DC9"/>
    <w:pPr>
      <w:spacing w:after="0"/>
    </w:pPr>
    <w:rPr>
      <w:rFonts w:asciiTheme="minorHAnsi" w:hAnsiTheme="minorHAnsi"/>
    </w:rPr>
  </w:style>
  <w:style w:type="paragraph" w:styleId="TOC5">
    <w:name w:val="toc 5"/>
    <w:basedOn w:val="Normal"/>
    <w:next w:val="Normal"/>
    <w:autoRedefine/>
    <w:uiPriority w:val="39"/>
    <w:semiHidden/>
    <w:unhideWhenUsed/>
    <w:rsid w:val="00317DC9"/>
    <w:pPr>
      <w:spacing w:after="0"/>
    </w:pPr>
    <w:rPr>
      <w:rFonts w:asciiTheme="minorHAnsi" w:hAnsiTheme="minorHAnsi"/>
    </w:rPr>
  </w:style>
  <w:style w:type="paragraph" w:styleId="TOC6">
    <w:name w:val="toc 6"/>
    <w:basedOn w:val="Normal"/>
    <w:next w:val="Normal"/>
    <w:autoRedefine/>
    <w:uiPriority w:val="39"/>
    <w:semiHidden/>
    <w:unhideWhenUsed/>
    <w:rsid w:val="00317DC9"/>
    <w:pPr>
      <w:spacing w:after="0"/>
    </w:pPr>
    <w:rPr>
      <w:rFonts w:asciiTheme="minorHAnsi" w:hAnsiTheme="minorHAnsi"/>
    </w:rPr>
  </w:style>
  <w:style w:type="paragraph" w:styleId="TOC7">
    <w:name w:val="toc 7"/>
    <w:basedOn w:val="Normal"/>
    <w:next w:val="Normal"/>
    <w:autoRedefine/>
    <w:uiPriority w:val="39"/>
    <w:semiHidden/>
    <w:unhideWhenUsed/>
    <w:rsid w:val="00317DC9"/>
    <w:pPr>
      <w:spacing w:after="0"/>
    </w:pPr>
    <w:rPr>
      <w:rFonts w:asciiTheme="minorHAnsi" w:hAnsiTheme="minorHAnsi"/>
    </w:rPr>
  </w:style>
  <w:style w:type="paragraph" w:styleId="TOC8">
    <w:name w:val="toc 8"/>
    <w:basedOn w:val="Normal"/>
    <w:next w:val="Normal"/>
    <w:autoRedefine/>
    <w:uiPriority w:val="39"/>
    <w:semiHidden/>
    <w:unhideWhenUsed/>
    <w:rsid w:val="00317DC9"/>
    <w:pPr>
      <w:spacing w:after="0"/>
    </w:pPr>
    <w:rPr>
      <w:rFonts w:asciiTheme="minorHAnsi" w:hAnsiTheme="minorHAnsi"/>
    </w:rPr>
  </w:style>
  <w:style w:type="paragraph" w:styleId="TOC9">
    <w:name w:val="toc 9"/>
    <w:basedOn w:val="Normal"/>
    <w:next w:val="Normal"/>
    <w:autoRedefine/>
    <w:uiPriority w:val="39"/>
    <w:semiHidden/>
    <w:unhideWhenUsed/>
    <w:rsid w:val="00317DC9"/>
    <w:pPr>
      <w:spacing w:after="0"/>
    </w:pPr>
    <w:rPr>
      <w:rFonts w:asciiTheme="minorHAnsi" w:hAnsiTheme="minorHAnsi"/>
    </w:rPr>
  </w:style>
  <w:style w:type="character" w:styleId="UnresolvedMention">
    <w:name w:val="Unresolved Mention"/>
    <w:basedOn w:val="DefaultParagraphFont"/>
    <w:uiPriority w:val="99"/>
    <w:semiHidden/>
    <w:unhideWhenUsed/>
    <w:rsid w:val="00317DC9"/>
    <w:rPr>
      <w:color w:val="605E5C"/>
      <w:shd w:val="clear" w:color="auto" w:fill="E1DFDD"/>
    </w:rPr>
  </w:style>
  <w:style w:type="paragraph" w:styleId="Footer">
    <w:name w:val="footer"/>
    <w:basedOn w:val="Normal"/>
    <w:link w:val="FooterChar"/>
    <w:uiPriority w:val="99"/>
    <w:unhideWhenUsed/>
    <w:rsid w:val="00317DC9"/>
    <w:pPr>
      <w:tabs>
        <w:tab w:val="center" w:pos="4513"/>
        <w:tab w:val="right" w:pos="9026"/>
      </w:tabs>
      <w:spacing w:after="0" w:line="240" w:lineRule="auto"/>
    </w:pPr>
  </w:style>
  <w:style w:type="character" w:styleId="FooterChar" w:customStyle="1">
    <w:name w:val="Footer Char"/>
    <w:basedOn w:val="DefaultParagraphFont"/>
    <w:link w:val="Footer"/>
    <w:uiPriority w:val="99"/>
    <w:rsid w:val="00317DC9"/>
    <w:rPr>
      <w:rFonts w:asciiTheme="majorHAnsi" w:hAnsiTheme="majorHAnsi" w:cstheme="majorBidi"/>
      <w:kern w:val="0"/>
      <w:sz w:val="22"/>
      <w:szCs w:val="22"/>
      <w:lang w:val="en-US"/>
      <w14:ligatures w14:val="none"/>
    </w:rPr>
  </w:style>
  <w:style w:type="character" w:styleId="PageNumber">
    <w:name w:val="page number"/>
    <w:basedOn w:val="DefaultParagraphFont"/>
    <w:uiPriority w:val="99"/>
    <w:semiHidden/>
    <w:unhideWhenUsed/>
    <w:rsid w:val="00317DC9"/>
  </w:style>
  <w:style w:type="paragraph" w:styleId="FootnoteText">
    <w:name w:val="footnote text"/>
    <w:basedOn w:val="Normal"/>
    <w:link w:val="FootnoteTextChar"/>
    <w:uiPriority w:val="99"/>
    <w:unhideWhenUsed/>
    <w:rsid w:val="00317DC9"/>
    <w:pPr>
      <w:spacing w:after="0" w:line="240" w:lineRule="auto"/>
    </w:pPr>
    <w:rPr>
      <w:sz w:val="20"/>
      <w:szCs w:val="20"/>
    </w:rPr>
  </w:style>
  <w:style w:type="character" w:styleId="FootnoteTextChar" w:customStyle="1">
    <w:name w:val="Footnote Text Char"/>
    <w:basedOn w:val="DefaultParagraphFont"/>
    <w:link w:val="FootnoteText"/>
    <w:uiPriority w:val="99"/>
    <w:rsid w:val="00317DC9"/>
    <w:rPr>
      <w:rFonts w:asciiTheme="majorHAnsi" w:hAnsiTheme="majorHAnsi" w:cstheme="majorBidi"/>
      <w:kern w:val="0"/>
      <w:sz w:val="20"/>
      <w:szCs w:val="20"/>
      <w:lang w:val="en-US"/>
      <w14:ligatures w14:val="none"/>
    </w:rPr>
  </w:style>
  <w:style w:type="character" w:styleId="FootnoteReference">
    <w:name w:val="footnote reference"/>
    <w:basedOn w:val="DefaultParagraphFont"/>
    <w:uiPriority w:val="99"/>
    <w:semiHidden/>
    <w:unhideWhenUsed/>
    <w:rsid w:val="00317DC9"/>
    <w:rPr>
      <w:vertAlign w:val="superscript"/>
    </w:rPr>
  </w:style>
  <w:style w:type="character" w:styleId="FollowedHyperlink">
    <w:name w:val="FollowedHyperlink"/>
    <w:basedOn w:val="DefaultParagraphFont"/>
    <w:uiPriority w:val="99"/>
    <w:semiHidden/>
    <w:unhideWhenUsed/>
    <w:rsid w:val="00317DC9"/>
    <w:rPr>
      <w:color w:val="96607D" w:themeColor="followedHyperlink"/>
      <w:u w:val="single"/>
    </w:rPr>
  </w:style>
  <w:style w:type="paragraph" w:styleId="CommentText">
    <w:name w:val="annotation text"/>
    <w:basedOn w:val="Normal"/>
    <w:link w:val="CommentTextChar"/>
    <w:uiPriority w:val="99"/>
    <w:unhideWhenUsed/>
    <w:rsid w:val="00317DC9"/>
    <w:pPr>
      <w:spacing w:line="240" w:lineRule="auto"/>
    </w:pPr>
    <w:rPr>
      <w:sz w:val="20"/>
      <w:szCs w:val="20"/>
    </w:rPr>
  </w:style>
  <w:style w:type="character" w:styleId="CommentTextChar" w:customStyle="1">
    <w:name w:val="Comment Text Char"/>
    <w:basedOn w:val="DefaultParagraphFont"/>
    <w:link w:val="CommentText"/>
    <w:uiPriority w:val="99"/>
    <w:rsid w:val="00317DC9"/>
    <w:rPr>
      <w:rFonts w:asciiTheme="majorHAnsi" w:hAnsiTheme="majorHAnsi" w:cstheme="majorBidi"/>
      <w:kern w:val="0"/>
      <w:sz w:val="20"/>
      <w:szCs w:val="20"/>
      <w:lang w:val="en-US"/>
      <w14:ligatures w14:val="none"/>
    </w:rPr>
  </w:style>
  <w:style w:type="character" w:styleId="CommentReference">
    <w:name w:val="annotation reference"/>
    <w:basedOn w:val="DefaultParagraphFont"/>
    <w:uiPriority w:val="99"/>
    <w:semiHidden/>
    <w:unhideWhenUsed/>
    <w:rsid w:val="00317DC9"/>
    <w:rPr>
      <w:sz w:val="16"/>
      <w:szCs w:val="16"/>
    </w:rPr>
  </w:style>
  <w:style w:type="paragraph" w:styleId="Revision">
    <w:name w:val="Revision"/>
    <w:hidden/>
    <w:uiPriority w:val="99"/>
    <w:semiHidden/>
    <w:rsid w:val="00317DC9"/>
    <w:pPr>
      <w:spacing w:after="0" w:line="240" w:lineRule="auto"/>
    </w:pPr>
    <w:rPr>
      <w:rFonts w:asciiTheme="majorHAnsi" w:hAnsiTheme="majorHAnsi" w:cstheme="majorBidi"/>
      <w:kern w:val="0"/>
      <w:sz w:val="22"/>
      <w:szCs w:val="22"/>
      <w:lang w:val="en-US"/>
      <w14:ligatures w14:val="none"/>
    </w:rPr>
  </w:style>
  <w:style w:type="paragraph" w:styleId="CommentSubject">
    <w:name w:val="annotation subject"/>
    <w:basedOn w:val="CommentText"/>
    <w:next w:val="CommentText"/>
    <w:link w:val="CommentSubjectChar"/>
    <w:uiPriority w:val="99"/>
    <w:semiHidden/>
    <w:unhideWhenUsed/>
    <w:rsid w:val="00317DC9"/>
    <w:rPr>
      <w:b/>
      <w:bCs/>
    </w:rPr>
  </w:style>
  <w:style w:type="character" w:styleId="CommentSubjectChar" w:customStyle="1">
    <w:name w:val="Comment Subject Char"/>
    <w:basedOn w:val="CommentTextChar"/>
    <w:link w:val="CommentSubject"/>
    <w:uiPriority w:val="99"/>
    <w:semiHidden/>
    <w:rsid w:val="00317DC9"/>
    <w:rPr>
      <w:rFonts w:asciiTheme="majorHAnsi" w:hAnsiTheme="majorHAnsi" w:cstheme="majorBidi"/>
      <w:b/>
      <w:bCs/>
      <w:kern w:val="0"/>
      <w:sz w:val="20"/>
      <w:szCs w:val="20"/>
      <w:lang w:val="en-US"/>
      <w14:ligatures w14:val="none"/>
    </w:rPr>
  </w:style>
  <w:style w:type="paragraph" w:styleId="Header">
    <w:name w:val="header"/>
    <w:basedOn w:val="Normal"/>
    <w:link w:val="HeaderChar"/>
    <w:uiPriority w:val="99"/>
    <w:unhideWhenUsed/>
    <w:rsid w:val="00317D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17DC9"/>
    <w:rPr>
      <w:rFonts w:asciiTheme="majorHAnsi" w:hAnsiTheme="majorHAnsi" w:cstheme="majorBidi"/>
      <w:kern w:val="0"/>
      <w:sz w:val="22"/>
      <w:szCs w:val="22"/>
      <w:lang w:val="en-US"/>
      <w14:ligatures w14:val="none"/>
    </w:rPr>
  </w:style>
  <w:style w:type="paragraph" w:styleId="NormalWeb">
    <w:name w:val="Normal (Web)"/>
    <w:basedOn w:val="Normal"/>
    <w:uiPriority w:val="99"/>
    <w:semiHidden/>
    <w:unhideWhenUsed/>
    <w:rsid w:val="00D757E5"/>
    <w:pPr>
      <w:spacing w:before="100" w:beforeAutospacing="1" w:after="100" w:afterAutospacing="1" w:line="240" w:lineRule="auto"/>
    </w:pPr>
    <w:rPr>
      <w:rFonts w:ascii="Times New Roman" w:hAnsi="Times New Roman"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0486">
      <w:bodyDiv w:val="1"/>
      <w:marLeft w:val="0"/>
      <w:marRight w:val="0"/>
      <w:marTop w:val="0"/>
      <w:marBottom w:val="0"/>
      <w:divBdr>
        <w:top w:val="none" w:sz="0" w:space="0" w:color="auto"/>
        <w:left w:val="none" w:sz="0" w:space="0" w:color="auto"/>
        <w:bottom w:val="none" w:sz="0" w:space="0" w:color="auto"/>
        <w:right w:val="none" w:sz="0" w:space="0" w:color="auto"/>
      </w:divBdr>
    </w:div>
    <w:div w:id="197278756">
      <w:bodyDiv w:val="1"/>
      <w:marLeft w:val="0"/>
      <w:marRight w:val="0"/>
      <w:marTop w:val="0"/>
      <w:marBottom w:val="0"/>
      <w:divBdr>
        <w:top w:val="none" w:sz="0" w:space="0" w:color="auto"/>
        <w:left w:val="none" w:sz="0" w:space="0" w:color="auto"/>
        <w:bottom w:val="none" w:sz="0" w:space="0" w:color="auto"/>
        <w:right w:val="none" w:sz="0" w:space="0" w:color="auto"/>
      </w:divBdr>
      <w:divsChild>
        <w:div w:id="844243777">
          <w:marLeft w:val="0"/>
          <w:marRight w:val="0"/>
          <w:marTop w:val="0"/>
          <w:marBottom w:val="0"/>
          <w:divBdr>
            <w:top w:val="none" w:sz="0" w:space="0" w:color="auto"/>
            <w:left w:val="none" w:sz="0" w:space="0" w:color="auto"/>
            <w:bottom w:val="none" w:sz="0" w:space="0" w:color="auto"/>
            <w:right w:val="none" w:sz="0" w:space="0" w:color="auto"/>
          </w:divBdr>
          <w:divsChild>
            <w:div w:id="2117796035">
              <w:marLeft w:val="0"/>
              <w:marRight w:val="0"/>
              <w:marTop w:val="0"/>
              <w:marBottom w:val="0"/>
              <w:divBdr>
                <w:top w:val="none" w:sz="0" w:space="0" w:color="auto"/>
                <w:left w:val="none" w:sz="0" w:space="0" w:color="auto"/>
                <w:bottom w:val="none" w:sz="0" w:space="0" w:color="auto"/>
                <w:right w:val="none" w:sz="0" w:space="0" w:color="auto"/>
              </w:divBdr>
              <w:divsChild>
                <w:div w:id="7639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39191">
      <w:bodyDiv w:val="1"/>
      <w:marLeft w:val="0"/>
      <w:marRight w:val="0"/>
      <w:marTop w:val="0"/>
      <w:marBottom w:val="0"/>
      <w:divBdr>
        <w:top w:val="none" w:sz="0" w:space="0" w:color="auto"/>
        <w:left w:val="none" w:sz="0" w:space="0" w:color="auto"/>
        <w:bottom w:val="none" w:sz="0" w:space="0" w:color="auto"/>
        <w:right w:val="none" w:sz="0" w:space="0" w:color="auto"/>
      </w:divBdr>
      <w:divsChild>
        <w:div w:id="555701144">
          <w:marLeft w:val="0"/>
          <w:marRight w:val="0"/>
          <w:marTop w:val="0"/>
          <w:marBottom w:val="0"/>
          <w:divBdr>
            <w:top w:val="none" w:sz="0" w:space="0" w:color="auto"/>
            <w:left w:val="none" w:sz="0" w:space="0" w:color="auto"/>
            <w:bottom w:val="none" w:sz="0" w:space="0" w:color="auto"/>
            <w:right w:val="none" w:sz="0" w:space="0" w:color="auto"/>
          </w:divBdr>
          <w:divsChild>
            <w:div w:id="1814833125">
              <w:marLeft w:val="0"/>
              <w:marRight w:val="0"/>
              <w:marTop w:val="0"/>
              <w:marBottom w:val="0"/>
              <w:divBdr>
                <w:top w:val="none" w:sz="0" w:space="0" w:color="auto"/>
                <w:left w:val="none" w:sz="0" w:space="0" w:color="auto"/>
                <w:bottom w:val="none" w:sz="0" w:space="0" w:color="auto"/>
                <w:right w:val="none" w:sz="0" w:space="0" w:color="auto"/>
              </w:divBdr>
              <w:divsChild>
                <w:div w:id="704141564">
                  <w:marLeft w:val="0"/>
                  <w:marRight w:val="0"/>
                  <w:marTop w:val="0"/>
                  <w:marBottom w:val="0"/>
                  <w:divBdr>
                    <w:top w:val="none" w:sz="0" w:space="0" w:color="auto"/>
                    <w:left w:val="none" w:sz="0" w:space="0" w:color="auto"/>
                    <w:bottom w:val="none" w:sz="0" w:space="0" w:color="auto"/>
                    <w:right w:val="none" w:sz="0" w:space="0" w:color="auto"/>
                  </w:divBdr>
                  <w:divsChild>
                    <w:div w:id="1063523791">
                      <w:marLeft w:val="0"/>
                      <w:marRight w:val="0"/>
                      <w:marTop w:val="0"/>
                      <w:marBottom w:val="0"/>
                      <w:divBdr>
                        <w:top w:val="none" w:sz="0" w:space="0" w:color="auto"/>
                        <w:left w:val="none" w:sz="0" w:space="0" w:color="auto"/>
                        <w:bottom w:val="none" w:sz="0" w:space="0" w:color="auto"/>
                        <w:right w:val="none" w:sz="0" w:space="0" w:color="auto"/>
                      </w:divBdr>
                      <w:divsChild>
                        <w:div w:id="1515724106">
                          <w:marLeft w:val="0"/>
                          <w:marRight w:val="0"/>
                          <w:marTop w:val="0"/>
                          <w:marBottom w:val="0"/>
                          <w:divBdr>
                            <w:top w:val="none" w:sz="0" w:space="0" w:color="auto"/>
                            <w:left w:val="none" w:sz="0" w:space="0" w:color="auto"/>
                            <w:bottom w:val="none" w:sz="0" w:space="0" w:color="auto"/>
                            <w:right w:val="none" w:sz="0" w:space="0" w:color="auto"/>
                          </w:divBdr>
                          <w:divsChild>
                            <w:div w:id="10584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941060">
      <w:bodyDiv w:val="1"/>
      <w:marLeft w:val="0"/>
      <w:marRight w:val="0"/>
      <w:marTop w:val="0"/>
      <w:marBottom w:val="0"/>
      <w:divBdr>
        <w:top w:val="none" w:sz="0" w:space="0" w:color="auto"/>
        <w:left w:val="none" w:sz="0" w:space="0" w:color="auto"/>
        <w:bottom w:val="none" w:sz="0" w:space="0" w:color="auto"/>
        <w:right w:val="none" w:sz="0" w:space="0" w:color="auto"/>
      </w:divBdr>
      <w:divsChild>
        <w:div w:id="1346053467">
          <w:marLeft w:val="0"/>
          <w:marRight w:val="0"/>
          <w:marTop w:val="0"/>
          <w:marBottom w:val="0"/>
          <w:divBdr>
            <w:top w:val="none" w:sz="0" w:space="0" w:color="auto"/>
            <w:left w:val="none" w:sz="0" w:space="0" w:color="auto"/>
            <w:bottom w:val="none" w:sz="0" w:space="0" w:color="auto"/>
            <w:right w:val="none" w:sz="0" w:space="0" w:color="auto"/>
          </w:divBdr>
          <w:divsChild>
            <w:div w:id="679628597">
              <w:marLeft w:val="0"/>
              <w:marRight w:val="0"/>
              <w:marTop w:val="0"/>
              <w:marBottom w:val="0"/>
              <w:divBdr>
                <w:top w:val="none" w:sz="0" w:space="0" w:color="auto"/>
                <w:left w:val="none" w:sz="0" w:space="0" w:color="auto"/>
                <w:bottom w:val="none" w:sz="0" w:space="0" w:color="auto"/>
                <w:right w:val="none" w:sz="0" w:space="0" w:color="auto"/>
              </w:divBdr>
              <w:divsChild>
                <w:div w:id="13929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33163">
      <w:bodyDiv w:val="1"/>
      <w:marLeft w:val="0"/>
      <w:marRight w:val="0"/>
      <w:marTop w:val="0"/>
      <w:marBottom w:val="0"/>
      <w:divBdr>
        <w:top w:val="none" w:sz="0" w:space="0" w:color="auto"/>
        <w:left w:val="none" w:sz="0" w:space="0" w:color="auto"/>
        <w:bottom w:val="none" w:sz="0" w:space="0" w:color="auto"/>
        <w:right w:val="none" w:sz="0" w:space="0" w:color="auto"/>
      </w:divBdr>
      <w:divsChild>
        <w:div w:id="1692873952">
          <w:marLeft w:val="0"/>
          <w:marRight w:val="0"/>
          <w:marTop w:val="0"/>
          <w:marBottom w:val="0"/>
          <w:divBdr>
            <w:top w:val="none" w:sz="0" w:space="0" w:color="auto"/>
            <w:left w:val="none" w:sz="0" w:space="0" w:color="auto"/>
            <w:bottom w:val="none" w:sz="0" w:space="0" w:color="auto"/>
            <w:right w:val="none" w:sz="0" w:space="0" w:color="auto"/>
          </w:divBdr>
          <w:divsChild>
            <w:div w:id="1684242233">
              <w:marLeft w:val="0"/>
              <w:marRight w:val="0"/>
              <w:marTop w:val="0"/>
              <w:marBottom w:val="0"/>
              <w:divBdr>
                <w:top w:val="none" w:sz="0" w:space="0" w:color="auto"/>
                <w:left w:val="none" w:sz="0" w:space="0" w:color="auto"/>
                <w:bottom w:val="none" w:sz="0" w:space="0" w:color="auto"/>
                <w:right w:val="none" w:sz="0" w:space="0" w:color="auto"/>
              </w:divBdr>
              <w:divsChild>
                <w:div w:id="16915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26306">
      <w:bodyDiv w:val="1"/>
      <w:marLeft w:val="0"/>
      <w:marRight w:val="0"/>
      <w:marTop w:val="0"/>
      <w:marBottom w:val="0"/>
      <w:divBdr>
        <w:top w:val="none" w:sz="0" w:space="0" w:color="auto"/>
        <w:left w:val="none" w:sz="0" w:space="0" w:color="auto"/>
        <w:bottom w:val="none" w:sz="0" w:space="0" w:color="auto"/>
        <w:right w:val="none" w:sz="0" w:space="0" w:color="auto"/>
      </w:divBdr>
    </w:div>
    <w:div w:id="682635873">
      <w:bodyDiv w:val="1"/>
      <w:marLeft w:val="0"/>
      <w:marRight w:val="0"/>
      <w:marTop w:val="0"/>
      <w:marBottom w:val="0"/>
      <w:divBdr>
        <w:top w:val="none" w:sz="0" w:space="0" w:color="auto"/>
        <w:left w:val="none" w:sz="0" w:space="0" w:color="auto"/>
        <w:bottom w:val="none" w:sz="0" w:space="0" w:color="auto"/>
        <w:right w:val="none" w:sz="0" w:space="0" w:color="auto"/>
      </w:divBdr>
      <w:divsChild>
        <w:div w:id="1667634015">
          <w:marLeft w:val="0"/>
          <w:marRight w:val="0"/>
          <w:marTop w:val="0"/>
          <w:marBottom w:val="0"/>
          <w:divBdr>
            <w:top w:val="none" w:sz="0" w:space="0" w:color="auto"/>
            <w:left w:val="none" w:sz="0" w:space="0" w:color="auto"/>
            <w:bottom w:val="none" w:sz="0" w:space="0" w:color="auto"/>
            <w:right w:val="none" w:sz="0" w:space="0" w:color="auto"/>
          </w:divBdr>
          <w:divsChild>
            <w:div w:id="666371875">
              <w:marLeft w:val="0"/>
              <w:marRight w:val="0"/>
              <w:marTop w:val="0"/>
              <w:marBottom w:val="0"/>
              <w:divBdr>
                <w:top w:val="none" w:sz="0" w:space="0" w:color="auto"/>
                <w:left w:val="none" w:sz="0" w:space="0" w:color="auto"/>
                <w:bottom w:val="none" w:sz="0" w:space="0" w:color="auto"/>
                <w:right w:val="none" w:sz="0" w:space="0" w:color="auto"/>
              </w:divBdr>
              <w:divsChild>
                <w:div w:id="4522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4926">
      <w:bodyDiv w:val="1"/>
      <w:marLeft w:val="0"/>
      <w:marRight w:val="0"/>
      <w:marTop w:val="0"/>
      <w:marBottom w:val="0"/>
      <w:divBdr>
        <w:top w:val="none" w:sz="0" w:space="0" w:color="auto"/>
        <w:left w:val="none" w:sz="0" w:space="0" w:color="auto"/>
        <w:bottom w:val="none" w:sz="0" w:space="0" w:color="auto"/>
        <w:right w:val="none" w:sz="0" w:space="0" w:color="auto"/>
      </w:divBdr>
      <w:divsChild>
        <w:div w:id="701782421">
          <w:marLeft w:val="0"/>
          <w:marRight w:val="0"/>
          <w:marTop w:val="0"/>
          <w:marBottom w:val="0"/>
          <w:divBdr>
            <w:top w:val="none" w:sz="0" w:space="0" w:color="auto"/>
            <w:left w:val="none" w:sz="0" w:space="0" w:color="auto"/>
            <w:bottom w:val="none" w:sz="0" w:space="0" w:color="auto"/>
            <w:right w:val="none" w:sz="0" w:space="0" w:color="auto"/>
          </w:divBdr>
          <w:divsChild>
            <w:div w:id="1023946416">
              <w:marLeft w:val="0"/>
              <w:marRight w:val="0"/>
              <w:marTop w:val="0"/>
              <w:marBottom w:val="0"/>
              <w:divBdr>
                <w:top w:val="none" w:sz="0" w:space="0" w:color="auto"/>
                <w:left w:val="none" w:sz="0" w:space="0" w:color="auto"/>
                <w:bottom w:val="none" w:sz="0" w:space="0" w:color="auto"/>
                <w:right w:val="none" w:sz="0" w:space="0" w:color="auto"/>
              </w:divBdr>
              <w:divsChild>
                <w:div w:id="8618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43259">
      <w:bodyDiv w:val="1"/>
      <w:marLeft w:val="0"/>
      <w:marRight w:val="0"/>
      <w:marTop w:val="0"/>
      <w:marBottom w:val="0"/>
      <w:divBdr>
        <w:top w:val="none" w:sz="0" w:space="0" w:color="auto"/>
        <w:left w:val="none" w:sz="0" w:space="0" w:color="auto"/>
        <w:bottom w:val="none" w:sz="0" w:space="0" w:color="auto"/>
        <w:right w:val="none" w:sz="0" w:space="0" w:color="auto"/>
      </w:divBdr>
    </w:div>
    <w:div w:id="1133865351">
      <w:bodyDiv w:val="1"/>
      <w:marLeft w:val="0"/>
      <w:marRight w:val="0"/>
      <w:marTop w:val="0"/>
      <w:marBottom w:val="0"/>
      <w:divBdr>
        <w:top w:val="none" w:sz="0" w:space="0" w:color="auto"/>
        <w:left w:val="none" w:sz="0" w:space="0" w:color="auto"/>
        <w:bottom w:val="none" w:sz="0" w:space="0" w:color="auto"/>
        <w:right w:val="none" w:sz="0" w:space="0" w:color="auto"/>
      </w:divBdr>
      <w:divsChild>
        <w:div w:id="1540894868">
          <w:marLeft w:val="0"/>
          <w:marRight w:val="0"/>
          <w:marTop w:val="0"/>
          <w:marBottom w:val="0"/>
          <w:divBdr>
            <w:top w:val="none" w:sz="0" w:space="0" w:color="auto"/>
            <w:left w:val="none" w:sz="0" w:space="0" w:color="auto"/>
            <w:bottom w:val="none" w:sz="0" w:space="0" w:color="auto"/>
            <w:right w:val="none" w:sz="0" w:space="0" w:color="auto"/>
          </w:divBdr>
          <w:divsChild>
            <w:div w:id="265381254">
              <w:marLeft w:val="0"/>
              <w:marRight w:val="0"/>
              <w:marTop w:val="0"/>
              <w:marBottom w:val="0"/>
              <w:divBdr>
                <w:top w:val="none" w:sz="0" w:space="0" w:color="auto"/>
                <w:left w:val="none" w:sz="0" w:space="0" w:color="auto"/>
                <w:bottom w:val="none" w:sz="0" w:space="0" w:color="auto"/>
                <w:right w:val="none" w:sz="0" w:space="0" w:color="auto"/>
              </w:divBdr>
              <w:divsChild>
                <w:div w:id="11961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142937">
      <w:bodyDiv w:val="1"/>
      <w:marLeft w:val="0"/>
      <w:marRight w:val="0"/>
      <w:marTop w:val="0"/>
      <w:marBottom w:val="0"/>
      <w:divBdr>
        <w:top w:val="none" w:sz="0" w:space="0" w:color="auto"/>
        <w:left w:val="none" w:sz="0" w:space="0" w:color="auto"/>
        <w:bottom w:val="none" w:sz="0" w:space="0" w:color="auto"/>
        <w:right w:val="none" w:sz="0" w:space="0" w:color="auto"/>
      </w:divBdr>
      <w:divsChild>
        <w:div w:id="65077250">
          <w:marLeft w:val="0"/>
          <w:marRight w:val="0"/>
          <w:marTop w:val="0"/>
          <w:marBottom w:val="0"/>
          <w:divBdr>
            <w:top w:val="none" w:sz="0" w:space="0" w:color="auto"/>
            <w:left w:val="none" w:sz="0" w:space="0" w:color="auto"/>
            <w:bottom w:val="none" w:sz="0" w:space="0" w:color="auto"/>
            <w:right w:val="none" w:sz="0" w:space="0" w:color="auto"/>
          </w:divBdr>
          <w:divsChild>
            <w:div w:id="1357731606">
              <w:marLeft w:val="0"/>
              <w:marRight w:val="0"/>
              <w:marTop w:val="0"/>
              <w:marBottom w:val="0"/>
              <w:divBdr>
                <w:top w:val="none" w:sz="0" w:space="0" w:color="auto"/>
                <w:left w:val="none" w:sz="0" w:space="0" w:color="auto"/>
                <w:bottom w:val="none" w:sz="0" w:space="0" w:color="auto"/>
                <w:right w:val="none" w:sz="0" w:space="0" w:color="auto"/>
              </w:divBdr>
              <w:divsChild>
                <w:div w:id="19877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44193">
      <w:bodyDiv w:val="1"/>
      <w:marLeft w:val="0"/>
      <w:marRight w:val="0"/>
      <w:marTop w:val="0"/>
      <w:marBottom w:val="0"/>
      <w:divBdr>
        <w:top w:val="none" w:sz="0" w:space="0" w:color="auto"/>
        <w:left w:val="none" w:sz="0" w:space="0" w:color="auto"/>
        <w:bottom w:val="none" w:sz="0" w:space="0" w:color="auto"/>
        <w:right w:val="none" w:sz="0" w:space="0" w:color="auto"/>
      </w:divBdr>
      <w:divsChild>
        <w:div w:id="585500478">
          <w:marLeft w:val="0"/>
          <w:marRight w:val="0"/>
          <w:marTop w:val="0"/>
          <w:marBottom w:val="0"/>
          <w:divBdr>
            <w:top w:val="none" w:sz="0" w:space="0" w:color="auto"/>
            <w:left w:val="none" w:sz="0" w:space="0" w:color="auto"/>
            <w:bottom w:val="none" w:sz="0" w:space="0" w:color="auto"/>
            <w:right w:val="none" w:sz="0" w:space="0" w:color="auto"/>
          </w:divBdr>
          <w:divsChild>
            <w:div w:id="157842151">
              <w:marLeft w:val="0"/>
              <w:marRight w:val="0"/>
              <w:marTop w:val="0"/>
              <w:marBottom w:val="0"/>
              <w:divBdr>
                <w:top w:val="none" w:sz="0" w:space="0" w:color="auto"/>
                <w:left w:val="none" w:sz="0" w:space="0" w:color="auto"/>
                <w:bottom w:val="none" w:sz="0" w:space="0" w:color="auto"/>
                <w:right w:val="none" w:sz="0" w:space="0" w:color="auto"/>
              </w:divBdr>
              <w:divsChild>
                <w:div w:id="16735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8404">
      <w:bodyDiv w:val="1"/>
      <w:marLeft w:val="0"/>
      <w:marRight w:val="0"/>
      <w:marTop w:val="0"/>
      <w:marBottom w:val="0"/>
      <w:divBdr>
        <w:top w:val="none" w:sz="0" w:space="0" w:color="auto"/>
        <w:left w:val="none" w:sz="0" w:space="0" w:color="auto"/>
        <w:bottom w:val="none" w:sz="0" w:space="0" w:color="auto"/>
        <w:right w:val="none" w:sz="0" w:space="0" w:color="auto"/>
      </w:divBdr>
    </w:div>
    <w:div w:id="1808668992">
      <w:bodyDiv w:val="1"/>
      <w:marLeft w:val="0"/>
      <w:marRight w:val="0"/>
      <w:marTop w:val="0"/>
      <w:marBottom w:val="0"/>
      <w:divBdr>
        <w:top w:val="none" w:sz="0" w:space="0" w:color="auto"/>
        <w:left w:val="none" w:sz="0" w:space="0" w:color="auto"/>
        <w:bottom w:val="none" w:sz="0" w:space="0" w:color="auto"/>
        <w:right w:val="none" w:sz="0" w:space="0" w:color="auto"/>
      </w:divBdr>
      <w:divsChild>
        <w:div w:id="521748177">
          <w:marLeft w:val="0"/>
          <w:marRight w:val="0"/>
          <w:marTop w:val="0"/>
          <w:marBottom w:val="0"/>
          <w:divBdr>
            <w:top w:val="none" w:sz="0" w:space="0" w:color="auto"/>
            <w:left w:val="none" w:sz="0" w:space="0" w:color="auto"/>
            <w:bottom w:val="none" w:sz="0" w:space="0" w:color="auto"/>
            <w:right w:val="none" w:sz="0" w:space="0" w:color="auto"/>
          </w:divBdr>
          <w:divsChild>
            <w:div w:id="784277040">
              <w:marLeft w:val="0"/>
              <w:marRight w:val="0"/>
              <w:marTop w:val="0"/>
              <w:marBottom w:val="0"/>
              <w:divBdr>
                <w:top w:val="none" w:sz="0" w:space="0" w:color="auto"/>
                <w:left w:val="none" w:sz="0" w:space="0" w:color="auto"/>
                <w:bottom w:val="none" w:sz="0" w:space="0" w:color="auto"/>
                <w:right w:val="none" w:sz="0" w:space="0" w:color="auto"/>
              </w:divBdr>
              <w:divsChild>
                <w:div w:id="1344897011">
                  <w:marLeft w:val="0"/>
                  <w:marRight w:val="0"/>
                  <w:marTop w:val="0"/>
                  <w:marBottom w:val="0"/>
                  <w:divBdr>
                    <w:top w:val="none" w:sz="0" w:space="0" w:color="auto"/>
                    <w:left w:val="none" w:sz="0" w:space="0" w:color="auto"/>
                    <w:bottom w:val="none" w:sz="0" w:space="0" w:color="auto"/>
                    <w:right w:val="none" w:sz="0" w:space="0" w:color="auto"/>
                  </w:divBdr>
                  <w:divsChild>
                    <w:div w:id="1104109363">
                      <w:marLeft w:val="0"/>
                      <w:marRight w:val="0"/>
                      <w:marTop w:val="0"/>
                      <w:marBottom w:val="0"/>
                      <w:divBdr>
                        <w:top w:val="none" w:sz="0" w:space="0" w:color="auto"/>
                        <w:left w:val="none" w:sz="0" w:space="0" w:color="auto"/>
                        <w:bottom w:val="none" w:sz="0" w:space="0" w:color="auto"/>
                        <w:right w:val="none" w:sz="0" w:space="0" w:color="auto"/>
                      </w:divBdr>
                      <w:divsChild>
                        <w:div w:id="820196657">
                          <w:marLeft w:val="0"/>
                          <w:marRight w:val="0"/>
                          <w:marTop w:val="0"/>
                          <w:marBottom w:val="0"/>
                          <w:divBdr>
                            <w:top w:val="none" w:sz="0" w:space="0" w:color="auto"/>
                            <w:left w:val="none" w:sz="0" w:space="0" w:color="auto"/>
                            <w:bottom w:val="none" w:sz="0" w:space="0" w:color="auto"/>
                            <w:right w:val="none" w:sz="0" w:space="0" w:color="auto"/>
                          </w:divBdr>
                          <w:divsChild>
                            <w:div w:id="20277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845334">
      <w:bodyDiv w:val="1"/>
      <w:marLeft w:val="0"/>
      <w:marRight w:val="0"/>
      <w:marTop w:val="0"/>
      <w:marBottom w:val="0"/>
      <w:divBdr>
        <w:top w:val="none" w:sz="0" w:space="0" w:color="auto"/>
        <w:left w:val="none" w:sz="0" w:space="0" w:color="auto"/>
        <w:bottom w:val="none" w:sz="0" w:space="0" w:color="auto"/>
        <w:right w:val="none" w:sz="0" w:space="0" w:color="auto"/>
      </w:divBdr>
      <w:divsChild>
        <w:div w:id="1563443080">
          <w:marLeft w:val="0"/>
          <w:marRight w:val="0"/>
          <w:marTop w:val="0"/>
          <w:marBottom w:val="0"/>
          <w:divBdr>
            <w:top w:val="none" w:sz="0" w:space="0" w:color="auto"/>
            <w:left w:val="none" w:sz="0" w:space="0" w:color="auto"/>
            <w:bottom w:val="none" w:sz="0" w:space="0" w:color="auto"/>
            <w:right w:val="none" w:sz="0" w:space="0" w:color="auto"/>
          </w:divBdr>
          <w:divsChild>
            <w:div w:id="171338892">
              <w:marLeft w:val="0"/>
              <w:marRight w:val="0"/>
              <w:marTop w:val="0"/>
              <w:marBottom w:val="0"/>
              <w:divBdr>
                <w:top w:val="none" w:sz="0" w:space="0" w:color="auto"/>
                <w:left w:val="none" w:sz="0" w:space="0" w:color="auto"/>
                <w:bottom w:val="none" w:sz="0" w:space="0" w:color="auto"/>
                <w:right w:val="none" w:sz="0" w:space="0" w:color="auto"/>
              </w:divBdr>
              <w:divsChild>
                <w:div w:id="1749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50939">
      <w:bodyDiv w:val="1"/>
      <w:marLeft w:val="0"/>
      <w:marRight w:val="0"/>
      <w:marTop w:val="0"/>
      <w:marBottom w:val="0"/>
      <w:divBdr>
        <w:top w:val="none" w:sz="0" w:space="0" w:color="auto"/>
        <w:left w:val="none" w:sz="0" w:space="0" w:color="auto"/>
        <w:bottom w:val="none" w:sz="0" w:space="0" w:color="auto"/>
        <w:right w:val="none" w:sz="0" w:space="0" w:color="auto"/>
      </w:divBdr>
    </w:div>
    <w:div w:id="1948730319">
      <w:bodyDiv w:val="1"/>
      <w:marLeft w:val="0"/>
      <w:marRight w:val="0"/>
      <w:marTop w:val="0"/>
      <w:marBottom w:val="0"/>
      <w:divBdr>
        <w:top w:val="none" w:sz="0" w:space="0" w:color="auto"/>
        <w:left w:val="none" w:sz="0" w:space="0" w:color="auto"/>
        <w:bottom w:val="none" w:sz="0" w:space="0" w:color="auto"/>
        <w:right w:val="none" w:sz="0" w:space="0" w:color="auto"/>
      </w:divBdr>
    </w:div>
    <w:div w:id="2010330330">
      <w:bodyDiv w:val="1"/>
      <w:marLeft w:val="0"/>
      <w:marRight w:val="0"/>
      <w:marTop w:val="0"/>
      <w:marBottom w:val="0"/>
      <w:divBdr>
        <w:top w:val="none" w:sz="0" w:space="0" w:color="auto"/>
        <w:left w:val="none" w:sz="0" w:space="0" w:color="auto"/>
        <w:bottom w:val="none" w:sz="0" w:space="0" w:color="auto"/>
        <w:right w:val="none" w:sz="0" w:space="0" w:color="auto"/>
      </w:divBdr>
      <w:divsChild>
        <w:div w:id="1174412977">
          <w:marLeft w:val="0"/>
          <w:marRight w:val="0"/>
          <w:marTop w:val="0"/>
          <w:marBottom w:val="0"/>
          <w:divBdr>
            <w:top w:val="none" w:sz="0" w:space="0" w:color="auto"/>
            <w:left w:val="none" w:sz="0" w:space="0" w:color="auto"/>
            <w:bottom w:val="none" w:sz="0" w:space="0" w:color="auto"/>
            <w:right w:val="none" w:sz="0" w:space="0" w:color="auto"/>
          </w:divBdr>
          <w:divsChild>
            <w:div w:id="482548343">
              <w:marLeft w:val="0"/>
              <w:marRight w:val="0"/>
              <w:marTop w:val="0"/>
              <w:marBottom w:val="0"/>
              <w:divBdr>
                <w:top w:val="none" w:sz="0" w:space="0" w:color="auto"/>
                <w:left w:val="none" w:sz="0" w:space="0" w:color="auto"/>
                <w:bottom w:val="none" w:sz="0" w:space="0" w:color="auto"/>
                <w:right w:val="none" w:sz="0" w:space="0" w:color="auto"/>
              </w:divBdr>
              <w:divsChild>
                <w:div w:id="186575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43211">
      <w:bodyDiv w:val="1"/>
      <w:marLeft w:val="0"/>
      <w:marRight w:val="0"/>
      <w:marTop w:val="0"/>
      <w:marBottom w:val="0"/>
      <w:divBdr>
        <w:top w:val="none" w:sz="0" w:space="0" w:color="auto"/>
        <w:left w:val="none" w:sz="0" w:space="0" w:color="auto"/>
        <w:bottom w:val="none" w:sz="0" w:space="0" w:color="auto"/>
        <w:right w:val="none" w:sz="0" w:space="0" w:color="auto"/>
      </w:divBdr>
      <w:divsChild>
        <w:div w:id="942344186">
          <w:marLeft w:val="0"/>
          <w:marRight w:val="0"/>
          <w:marTop w:val="0"/>
          <w:marBottom w:val="0"/>
          <w:divBdr>
            <w:top w:val="none" w:sz="0" w:space="0" w:color="auto"/>
            <w:left w:val="none" w:sz="0" w:space="0" w:color="auto"/>
            <w:bottom w:val="none" w:sz="0" w:space="0" w:color="auto"/>
            <w:right w:val="none" w:sz="0" w:space="0" w:color="auto"/>
          </w:divBdr>
          <w:divsChild>
            <w:div w:id="1937785151">
              <w:marLeft w:val="0"/>
              <w:marRight w:val="0"/>
              <w:marTop w:val="0"/>
              <w:marBottom w:val="0"/>
              <w:divBdr>
                <w:top w:val="none" w:sz="0" w:space="0" w:color="auto"/>
                <w:left w:val="none" w:sz="0" w:space="0" w:color="auto"/>
                <w:bottom w:val="none" w:sz="0" w:space="0" w:color="auto"/>
                <w:right w:val="none" w:sz="0" w:space="0" w:color="auto"/>
              </w:divBdr>
              <w:divsChild>
                <w:div w:id="11420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37899">
      <w:bodyDiv w:val="1"/>
      <w:marLeft w:val="0"/>
      <w:marRight w:val="0"/>
      <w:marTop w:val="0"/>
      <w:marBottom w:val="0"/>
      <w:divBdr>
        <w:top w:val="none" w:sz="0" w:space="0" w:color="auto"/>
        <w:left w:val="none" w:sz="0" w:space="0" w:color="auto"/>
        <w:bottom w:val="none" w:sz="0" w:space="0" w:color="auto"/>
        <w:right w:val="none" w:sz="0" w:space="0" w:color="auto"/>
      </w:divBdr>
      <w:divsChild>
        <w:div w:id="817959874">
          <w:marLeft w:val="0"/>
          <w:marRight w:val="0"/>
          <w:marTop w:val="0"/>
          <w:marBottom w:val="0"/>
          <w:divBdr>
            <w:top w:val="none" w:sz="0" w:space="0" w:color="auto"/>
            <w:left w:val="none" w:sz="0" w:space="0" w:color="auto"/>
            <w:bottom w:val="none" w:sz="0" w:space="0" w:color="auto"/>
            <w:right w:val="none" w:sz="0" w:space="0" w:color="auto"/>
          </w:divBdr>
          <w:divsChild>
            <w:div w:id="1874220670">
              <w:marLeft w:val="0"/>
              <w:marRight w:val="0"/>
              <w:marTop w:val="0"/>
              <w:marBottom w:val="0"/>
              <w:divBdr>
                <w:top w:val="none" w:sz="0" w:space="0" w:color="auto"/>
                <w:left w:val="none" w:sz="0" w:space="0" w:color="auto"/>
                <w:bottom w:val="none" w:sz="0" w:space="0" w:color="auto"/>
                <w:right w:val="none" w:sz="0" w:space="0" w:color="auto"/>
              </w:divBdr>
              <w:divsChild>
                <w:div w:id="12267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997632">
      <w:bodyDiv w:val="1"/>
      <w:marLeft w:val="0"/>
      <w:marRight w:val="0"/>
      <w:marTop w:val="0"/>
      <w:marBottom w:val="0"/>
      <w:divBdr>
        <w:top w:val="none" w:sz="0" w:space="0" w:color="auto"/>
        <w:left w:val="none" w:sz="0" w:space="0" w:color="auto"/>
        <w:bottom w:val="none" w:sz="0" w:space="0" w:color="auto"/>
        <w:right w:val="none" w:sz="0" w:space="0" w:color="auto"/>
      </w:divBdr>
      <w:divsChild>
        <w:div w:id="1878272400">
          <w:marLeft w:val="0"/>
          <w:marRight w:val="0"/>
          <w:marTop w:val="0"/>
          <w:marBottom w:val="0"/>
          <w:divBdr>
            <w:top w:val="none" w:sz="0" w:space="0" w:color="auto"/>
            <w:left w:val="none" w:sz="0" w:space="0" w:color="auto"/>
            <w:bottom w:val="none" w:sz="0" w:space="0" w:color="auto"/>
            <w:right w:val="none" w:sz="0" w:space="0" w:color="auto"/>
          </w:divBdr>
          <w:divsChild>
            <w:div w:id="1399673141">
              <w:marLeft w:val="0"/>
              <w:marRight w:val="0"/>
              <w:marTop w:val="0"/>
              <w:marBottom w:val="0"/>
              <w:divBdr>
                <w:top w:val="none" w:sz="0" w:space="0" w:color="auto"/>
                <w:left w:val="none" w:sz="0" w:space="0" w:color="auto"/>
                <w:bottom w:val="none" w:sz="0" w:space="0" w:color="auto"/>
                <w:right w:val="none" w:sz="0" w:space="0" w:color="auto"/>
              </w:divBdr>
              <w:divsChild>
                <w:div w:id="10937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climatebonds.net/cbi/pub/data/bonds" TargetMode="External" Id="rId13" /><Relationship Type="http://schemas.openxmlformats.org/officeDocument/2006/relationships/image" Target="media/image5.png" Id="rId18" /><Relationship Type="http://schemas.openxmlformats.org/officeDocument/2006/relationships/hyperlink" Target="https://chair-energy-prosperity.org/wp-content/uploads/2023/06/publication2023_design-flaw-Sustainability-Linked-Bonds_Lefournier_WP.pdf" TargetMode="External" Id="rId26" /><Relationship Type="http://schemas.openxmlformats.org/officeDocument/2006/relationships/theme" Target="theme/theme1.xml" Id="rId39" /><Relationship Type="http://schemas.openxmlformats.org/officeDocument/2006/relationships/hyperlink" Target="https://medialibrary.uantwerpen.be/oldcontent/container2143/files/Publications/WP/2013/01-Cassimon-Essers.pdf" TargetMode="External" Id="rId21" /><Relationship Type="http://schemas.openxmlformats.org/officeDocument/2006/relationships/hyperlink" Target="https://www.worldbank.org/en/topic/climatechange/publication/detox-development?_gl=1*3y1un0*_gcl_au*MTQ1MTM5MDQ2Ni4xNzI0NjE5MjU1" TargetMode="External" Id="rId34" /><Relationship Type="http://schemas.openxmlformats.org/officeDocument/2006/relationships/endnotes" Target="endnotes.xml" Id="rId7" /><Relationship Type="http://schemas.openxmlformats.org/officeDocument/2006/relationships/hyperlink" Target="https://finance.ec.europa.eu/sustainable-finance/tools-and-standards/eu-taxonomy-sustainable-activities_en" TargetMode="External" Id="rId12" /><Relationship Type="http://schemas.openxmlformats.org/officeDocument/2006/relationships/image" Target="media/image4.png" Id="rId17" /><Relationship Type="http://schemas.openxmlformats.org/officeDocument/2006/relationships/hyperlink" Target="https://www.imf.org/en/Blogs/Articles/2023/10/02/emerging-economies-need-much-more-private-financing-for-climate-transition" TargetMode="External" Id="rId25" /><Relationship Type="http://schemas.openxmlformats.org/officeDocument/2006/relationships/hyperlink" Target="https://sslburuguay.mef.gub.uy/innovaportal/file/30690/20/uruguay_sslb_framework__2.pdf" TargetMode="External"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hyperlink" Target="https://www.climatebonds.net/files/reports/cbi_slb_report_2024_04d.pdf" TargetMode="External" Id="rId16" /><Relationship Type="http://schemas.openxmlformats.org/officeDocument/2006/relationships/hyperlink" Target="https://www.environmental-finance.com/content/news/slbs-2024-issuance-slumps-as-issuer-wariness-grows.html" TargetMode="External" Id="rId20" /><Relationship Type="http://schemas.openxmlformats.org/officeDocument/2006/relationships/hyperlink" Target="https://www.mckinsey.com/capabilities/sustainability/our-insights/the-net-zero-transition-what-it-would-cost-what-it-could-bring"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thedocs.worldbank.org/en/doc/737327d214f08db1ac7a1d655a343029-0020012024/original/World-Bank-Climate-Finance-FY24.pdf" TargetMode="External" Id="rId11" /><Relationship Type="http://schemas.openxmlformats.org/officeDocument/2006/relationships/hyperlink" Target="https://www.iea.org/reports/scaling-up-private-finance-for-clean-energy-in-emerging-and-developing-economies" TargetMode="External" Id="rId24" /><Relationship Type="http://schemas.openxmlformats.org/officeDocument/2006/relationships/hyperlink" Target="https://one.oecd.org/document/DCD(2024)4/en/pdf" TargetMode="External" Id="rId32" /><Relationship Type="http://schemas.openxmlformats.org/officeDocument/2006/relationships/footer" Target="footer2.xml" Id="rId37" /><Relationship Type="http://schemas.openxmlformats.org/officeDocument/2006/relationships/webSettings" Target="webSettings.xml" Id="rId5" /><Relationship Type="http://schemas.openxmlformats.org/officeDocument/2006/relationships/image" Target="media/image3.jpeg" Id="rId15" /><Relationship Type="http://schemas.openxmlformats.org/officeDocument/2006/relationships/hyperlink" Target="https://www.climatebonds.net/resources/reports/sustainability-linked-bonds-building-high-quality-market" TargetMode="External" Id="rId23" /><Relationship Type="http://schemas.openxmlformats.org/officeDocument/2006/relationships/hyperlink" Target="https://www.csis.org/analysis/private-capital-mobilization-climate-finance-international-context" TargetMode="External" Id="rId28" /><Relationship Type="http://schemas.openxmlformats.org/officeDocument/2006/relationships/footer" Target="footer1.xml" Id="rId36" /><Relationship Type="http://schemas.openxmlformats.org/officeDocument/2006/relationships/image" Target="media/image1.jpeg" Id="rId10" /><Relationship Type="http://schemas.openxmlformats.org/officeDocument/2006/relationships/image" Target="media/image6.png" Id="rId19" /><Relationship Type="http://schemas.openxmlformats.org/officeDocument/2006/relationships/hyperlink" Target="https://www.oecd.org/en/topics/sub-issues/climate-finance-and-the-usd-100-billion-goal.html" TargetMode="External" Id="rId31" /><Relationship Type="http://schemas.openxmlformats.org/officeDocument/2006/relationships/settings" Target="settings.xml" Id="rId4" /><Relationship Type="http://schemas.openxmlformats.org/officeDocument/2006/relationships/hyperlink" Target="https://findevlab.org/wp-content/uploads/2024/01/FDL_A_Bridge_to_Climate_Action_final.pdf" TargetMode="External" Id="rId9" /><Relationship Type="http://schemas.openxmlformats.org/officeDocument/2006/relationships/hyperlink" Target="https://doi.org/10.1080/02255189.2022.2113767" TargetMode="External" Id="rId22" /><Relationship Type="http://schemas.openxmlformats.org/officeDocument/2006/relationships/hyperlink" Target="https://www.maplecroft.com/products-and-solutions/sustainable-finance/insights/the-rise-of-the-sovereign-sustainability-linked-bond/" TargetMode="External" Id="rId27" /><Relationship Type="http://schemas.openxmlformats.org/officeDocument/2006/relationships/hyperlink" Target="https://www.mckinsey.com/capabilities/sustainability/our-insights/solving-the-climate-finance-equation-for-developing-countries" TargetMode="External" Id="rId30" /><Relationship Type="http://schemas.openxmlformats.org/officeDocument/2006/relationships/hyperlink" Target="https://thedocs.worldbank.org/en/doc/737327d214f08db1ac7a1d655a343029-0020012024/original/World-Bank-Climate-Finance-FY24.pdf" TargetMode="External" Id="rId35" /><Relationship Type="http://schemas.openxmlformats.org/officeDocument/2006/relationships/hyperlink" Target="https://www.maplecroft.com/products-and-solutions/sustainable-finance/insights/the-rise-of-the-sovereign-sustainability-linked-bond/" TargetMode="External" Id="rId8" /><Relationship Type="http://schemas.openxmlformats.org/officeDocument/2006/relationships/styles" Target="styles.xml" Id="rId3" /><Relationship Type="http://schemas.openxmlformats.org/officeDocument/2006/relationships/image" Target="/media/image4.jpg" Id="R6978a13c68f042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6EE1B-5A8A-6845-A511-08682B13ED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Evie Davey</dc:creator>
  <keywords/>
  <dc:description/>
  <lastModifiedBy>Eve Lauren Davey</lastModifiedBy>
  <revision>24</revision>
  <dcterms:created xsi:type="dcterms:W3CDTF">2024-10-28T03:17:00.0000000Z</dcterms:created>
  <dcterms:modified xsi:type="dcterms:W3CDTF">2024-11-08T01:21:41.8661773Z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43ccc17eb28812c44e92ab6b58372d5e333f71e248552d611310b13b5850ff50</vt:lpwstr>
  </property>
</Properties>
</file>