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F78B" w14:textId="77777777" w:rsidR="00CC645C" w:rsidRDefault="00CC645C" w:rsidP="00CC645C">
      <w:pPr>
        <w:pStyle w:val="Heading1"/>
      </w:pPr>
      <w:r w:rsidRPr="00CC645C">
        <w:t>Research Paper Abstracts — Stephen Stretton</w:t>
      </w:r>
    </w:p>
    <w:p w14:paraId="4BA85227" w14:textId="709E9D46" w:rsidR="00CC645C" w:rsidRDefault="00CC645C" w:rsidP="00CC645C">
      <w:pPr>
        <w:pStyle w:val="Heading2"/>
      </w:pPr>
      <w:r>
        <w:t>Introduction</w:t>
      </w:r>
    </w:p>
    <w:p w14:paraId="5AC22DBD" w14:textId="3FC4A623" w:rsidR="00CC645C" w:rsidRPr="00CC645C" w:rsidRDefault="00CC645C" w:rsidP="00CC645C">
      <w:r w:rsidRPr="00CC645C">
        <w:t>Below is a structured overview of research paper abstracts and concepts in climate policy, climate finance, and climate-economy modelling. Taken together, they show a research profile focused on practical climate policy design, finance-ministry-facing analytics, applied modelling, and institutional innovation in climate finance. The common thread is an effort to make climate strategy operational: by improving policy architecture, linking mitigation to fiscal realities, building usable modelling tools, and designing financial products that reduce the cost of capital and scale investment.</w:t>
      </w:r>
      <w:r>
        <w:t xml:space="preserve"> In most cases full drafts are available in some form, but I tried to distinguish what is more cooked from what is less so.</w:t>
      </w:r>
    </w:p>
    <w:p w14:paraId="45BE7782" w14:textId="197B3434" w:rsidR="00CC645C" w:rsidRPr="00CC645C" w:rsidRDefault="00CC645C" w:rsidP="00CC645C"/>
    <w:p w14:paraId="4199A837" w14:textId="77777777" w:rsidR="00CC645C" w:rsidRDefault="00CC645C">
      <w:pPr>
        <w:rPr>
          <w:b/>
          <w:bCs/>
        </w:rPr>
      </w:pPr>
      <w:r>
        <w:rPr>
          <w:b/>
          <w:bCs/>
        </w:rPr>
        <w:br w:type="page"/>
      </w:r>
    </w:p>
    <w:p w14:paraId="6D457D2A" w14:textId="77777777" w:rsidR="00CC645C" w:rsidRDefault="00CC645C" w:rsidP="00CC645C">
      <w:pPr>
        <w:pStyle w:val="Heading2"/>
      </w:pPr>
      <w:r w:rsidRPr="00CC645C">
        <w:lastRenderedPageBreak/>
        <w:t>Titles</w:t>
      </w:r>
    </w:p>
    <w:p w14:paraId="235DD400" w14:textId="77777777" w:rsidR="00CC645C" w:rsidRPr="00CC645C" w:rsidRDefault="00CC645C" w:rsidP="00CC645C">
      <w:pPr>
        <w:rPr>
          <w:i/>
          <w:iCs/>
        </w:rPr>
      </w:pPr>
      <w:r w:rsidRPr="00CC645C">
        <w:rPr>
          <w:i/>
          <w:iCs/>
        </w:rPr>
        <w:t>Key: early stage / short concept paper (</w:t>
      </w:r>
      <w:proofErr w:type="gramStart"/>
      <w:r w:rsidRPr="00CC645C">
        <w:rPr>
          <w:i/>
          <w:iCs/>
        </w:rPr>
        <w:t>+) ·</w:t>
      </w:r>
      <w:proofErr w:type="gramEnd"/>
      <w:r w:rsidRPr="00CC645C">
        <w:rPr>
          <w:i/>
          <w:iCs/>
        </w:rPr>
        <w:t xml:space="preserve"> in development or full draft (AI assisted) with known flaws (+</w:t>
      </w:r>
      <w:proofErr w:type="gramStart"/>
      <w:r w:rsidRPr="00CC645C">
        <w:rPr>
          <w:i/>
          <w:iCs/>
        </w:rPr>
        <w:t>+) ·</w:t>
      </w:r>
      <w:proofErr w:type="gramEnd"/>
      <w:r w:rsidRPr="00CC645C">
        <w:rPr>
          <w:i/>
          <w:iCs/>
        </w:rPr>
        <w:t xml:space="preserve"> good draft available (++</w:t>
      </w:r>
      <w:proofErr w:type="gramStart"/>
      <w:r w:rsidRPr="00CC645C">
        <w:rPr>
          <w:i/>
          <w:iCs/>
        </w:rPr>
        <w:t>+) ·</w:t>
      </w:r>
      <w:proofErr w:type="gramEnd"/>
      <w:r w:rsidRPr="00CC645C">
        <w:rPr>
          <w:i/>
          <w:iCs/>
        </w:rPr>
        <w:t xml:space="preserve"> largely complete (++++)</w:t>
      </w:r>
    </w:p>
    <w:p w14:paraId="1DDF931F" w14:textId="77777777" w:rsidR="00CC645C" w:rsidRPr="00CC645C" w:rsidRDefault="00CC645C" w:rsidP="00CC645C">
      <w:r w:rsidRPr="00CC645C">
        <w:rPr>
          <w:b/>
          <w:bCs/>
        </w:rPr>
        <w:t>Part A. Applied Mitigation Modelling</w:t>
      </w:r>
    </w:p>
    <w:p w14:paraId="251BBE3E" w14:textId="77777777" w:rsidR="00CC645C" w:rsidRPr="00CC645C" w:rsidRDefault="00CC645C" w:rsidP="00CC645C">
      <w:pPr>
        <w:numPr>
          <w:ilvl w:val="0"/>
          <w:numId w:val="1"/>
        </w:numPr>
      </w:pPr>
      <w:r w:rsidRPr="00CC645C">
        <w:t>The Climate Policy Assessment Tool: Applied Mitigation Modelling for Power and Policy Mixes (+)</w:t>
      </w:r>
    </w:p>
    <w:p w14:paraId="345E09EB" w14:textId="77777777" w:rsidR="00CC645C" w:rsidRPr="00CC645C" w:rsidRDefault="00CC645C" w:rsidP="00CC645C">
      <w:r w:rsidRPr="00CC645C">
        <w:rPr>
          <w:b/>
          <w:bCs/>
        </w:rPr>
        <w:t>Part B. Climate Policy and Implementation</w:t>
      </w:r>
    </w:p>
    <w:p w14:paraId="16AF5B75" w14:textId="77777777" w:rsidR="00CC645C" w:rsidRPr="00CC645C" w:rsidRDefault="00CC645C" w:rsidP="00CC645C">
      <w:pPr>
        <w:numPr>
          <w:ilvl w:val="0"/>
          <w:numId w:val="2"/>
        </w:numPr>
      </w:pPr>
      <w:r w:rsidRPr="00CC645C">
        <w:t>Open Economy Carbon Pricing: Production Incentives, Consumption Pricing, and VAT-Based Implementation (++)</w:t>
      </w:r>
    </w:p>
    <w:p w14:paraId="60545E3C" w14:textId="77777777" w:rsidR="00CC645C" w:rsidRPr="00CC645C" w:rsidRDefault="00CC645C" w:rsidP="00CC645C">
      <w:pPr>
        <w:numPr>
          <w:ilvl w:val="0"/>
          <w:numId w:val="2"/>
        </w:numPr>
      </w:pPr>
      <w:r w:rsidRPr="00CC645C">
        <w:t>Iron and Steel, CBAM, and the Limits of Point-Source Carbon Pricing (++)</w:t>
      </w:r>
    </w:p>
    <w:p w14:paraId="1FB00F9F" w14:textId="77777777" w:rsidR="00CC645C" w:rsidRPr="00CC645C" w:rsidRDefault="00CC645C" w:rsidP="00CC645C">
      <w:r w:rsidRPr="00CC645C">
        <w:rPr>
          <w:b/>
          <w:bCs/>
        </w:rPr>
        <w:t>Part C. Analytics and Strategy</w:t>
      </w:r>
    </w:p>
    <w:p w14:paraId="405408D9" w14:textId="77777777" w:rsidR="00CC645C" w:rsidRPr="00CC645C" w:rsidRDefault="00CC645C" w:rsidP="00CC645C">
      <w:pPr>
        <w:numPr>
          <w:ilvl w:val="0"/>
          <w:numId w:val="3"/>
        </w:numPr>
      </w:pPr>
      <w:r w:rsidRPr="00CC645C">
        <w:t xml:space="preserve">A </w:t>
      </w:r>
      <w:proofErr w:type="gramStart"/>
      <w:r w:rsidRPr="00CC645C">
        <w:t>Fiscal Long-Term</w:t>
      </w:r>
      <w:proofErr w:type="gramEnd"/>
      <w:r w:rsidRPr="00CC645C">
        <w:t xml:space="preserve"> Strategy for Climate Mitigation (+)</w:t>
      </w:r>
    </w:p>
    <w:p w14:paraId="72E44E9C" w14:textId="77777777" w:rsidR="00CC645C" w:rsidRPr="00CC645C" w:rsidRDefault="00CC645C" w:rsidP="00CC645C">
      <w:pPr>
        <w:numPr>
          <w:ilvl w:val="0"/>
          <w:numId w:val="3"/>
        </w:numPr>
      </w:pPr>
      <w:r w:rsidRPr="00CC645C">
        <w:t>Policy-Equivalent Carbon Price (++++)</w:t>
      </w:r>
    </w:p>
    <w:p w14:paraId="3BA8B873" w14:textId="385C7C86" w:rsidR="00CC645C" w:rsidRPr="00CC645C" w:rsidRDefault="00CC645C" w:rsidP="00CC645C">
      <w:pPr>
        <w:numPr>
          <w:ilvl w:val="0"/>
          <w:numId w:val="3"/>
        </w:numPr>
      </w:pPr>
      <w:r w:rsidRPr="00CC645C">
        <w:t>Green Sectoral Total Factor Productivity Potential for Industrial Policy (++</w:t>
      </w:r>
      <w:r>
        <w:t>: but totally AI</w:t>
      </w:r>
      <w:r w:rsidRPr="00CC645C">
        <w:t>)</w:t>
      </w:r>
    </w:p>
    <w:p w14:paraId="52B8DE55" w14:textId="77777777" w:rsidR="00CC645C" w:rsidRPr="00CC645C" w:rsidRDefault="00CC645C" w:rsidP="00CC645C">
      <w:r w:rsidRPr="00CC645C">
        <w:rPr>
          <w:b/>
          <w:bCs/>
        </w:rPr>
        <w:t>Part D. Sovereign Incentives and Climate Finance</w:t>
      </w:r>
    </w:p>
    <w:p w14:paraId="19363275" w14:textId="77777777" w:rsidR="00CC645C" w:rsidRPr="00CC645C" w:rsidRDefault="00CC645C" w:rsidP="00CC645C">
      <w:pPr>
        <w:numPr>
          <w:ilvl w:val="0"/>
          <w:numId w:val="4"/>
        </w:numPr>
      </w:pPr>
      <w:r w:rsidRPr="00CC645C">
        <w:t>Guarantee-Based International Incentives for the Delivery of Strong NDCs (+)</w:t>
      </w:r>
    </w:p>
    <w:p w14:paraId="4F3A623C" w14:textId="77777777" w:rsidR="00CC645C" w:rsidRPr="00CC645C" w:rsidRDefault="00CC645C" w:rsidP="00CC645C">
      <w:pPr>
        <w:numPr>
          <w:ilvl w:val="0"/>
          <w:numId w:val="4"/>
        </w:numPr>
      </w:pPr>
      <w:r w:rsidRPr="00CC645C">
        <w:t>Sustainability-Linked Lending and Related Structures at the World Bank (++++)</w:t>
      </w:r>
    </w:p>
    <w:p w14:paraId="0DD76653" w14:textId="77777777" w:rsidR="00CC645C" w:rsidRPr="00CC645C" w:rsidRDefault="00CC645C" w:rsidP="00CC645C">
      <w:r w:rsidRPr="00CC645C">
        <w:rPr>
          <w:b/>
          <w:bCs/>
        </w:rPr>
        <w:t>Part E. Standardizing Renewable Finance and Leveraging Public Capital</w:t>
      </w:r>
    </w:p>
    <w:p w14:paraId="1B7D3F6B" w14:textId="77777777" w:rsidR="00CC645C" w:rsidRPr="00CC645C" w:rsidRDefault="00CC645C" w:rsidP="00CC645C">
      <w:pPr>
        <w:numPr>
          <w:ilvl w:val="0"/>
          <w:numId w:val="5"/>
        </w:numPr>
      </w:pPr>
      <w:r w:rsidRPr="00CC645C">
        <w:t>Climate Finance Intermediation for Clean Power (+++)</w:t>
      </w:r>
    </w:p>
    <w:p w14:paraId="2EF6A75E" w14:textId="77777777" w:rsidR="00CC645C" w:rsidRPr="00CC645C" w:rsidRDefault="00CC645C" w:rsidP="00CC645C">
      <w:pPr>
        <w:numPr>
          <w:ilvl w:val="0"/>
          <w:numId w:val="5"/>
        </w:numPr>
      </w:pPr>
      <w:r w:rsidRPr="00CC645C">
        <w:t>Standardized Two-Stage Climate Project Finance for High-Risk Contexts (+++)</w:t>
      </w:r>
    </w:p>
    <w:p w14:paraId="477F7D2A" w14:textId="77777777" w:rsidR="00CC645C" w:rsidRPr="00CC645C" w:rsidRDefault="00CC645C" w:rsidP="00CC645C">
      <w:pPr>
        <w:numPr>
          <w:ilvl w:val="0"/>
          <w:numId w:val="5"/>
        </w:numPr>
      </w:pPr>
      <w:r w:rsidRPr="00CC645C">
        <w:t>The Climate Incentives Trust: Equity Funds for Climate- and Sovereign-Lending Collateral (+++)</w:t>
      </w:r>
    </w:p>
    <w:p w14:paraId="00F1A10F" w14:textId="77777777" w:rsidR="00CC645C" w:rsidRPr="00CC645C" w:rsidRDefault="00CC645C" w:rsidP="00CC645C">
      <w:r w:rsidRPr="00CC645C">
        <w:rPr>
          <w:b/>
          <w:bCs/>
        </w:rPr>
        <w:t>Part F. Additional Modelling Components in Development</w:t>
      </w:r>
    </w:p>
    <w:p w14:paraId="50BC6609" w14:textId="77777777" w:rsidR="00CC645C" w:rsidRPr="00CC645C" w:rsidRDefault="00CC645C" w:rsidP="00CC645C">
      <w:pPr>
        <w:numPr>
          <w:ilvl w:val="0"/>
          <w:numId w:val="6"/>
        </w:numPr>
      </w:pPr>
      <w:r w:rsidRPr="00CC645C">
        <w:t>Constant Elasticity of Substitution Energy Consumption and Partial Adjustment (+++)</w:t>
      </w:r>
    </w:p>
    <w:p w14:paraId="66A339D7" w14:textId="77777777" w:rsidR="00CC645C" w:rsidRPr="00CC645C" w:rsidRDefault="00CC645C" w:rsidP="00CC645C">
      <w:pPr>
        <w:numPr>
          <w:ilvl w:val="0"/>
          <w:numId w:val="6"/>
        </w:numPr>
      </w:pPr>
      <w:r w:rsidRPr="00CC645C">
        <w:t>Velocity-Based Power Investment with System Shadow Costs (++)</w:t>
      </w:r>
    </w:p>
    <w:p w14:paraId="33A1FFA3"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Yes — that structure is cleaner. I would play it as:</w:t>
      </w:r>
    </w:p>
    <w:p w14:paraId="68D8E901" w14:textId="77777777" w:rsidR="008B6A66" w:rsidRPr="00174EA0" w:rsidRDefault="008B6A66" w:rsidP="008B6A66">
      <w:pPr>
        <w:numPr>
          <w:ilvl w:val="0"/>
          <w:numId w:val="7"/>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Modelling</w:t>
      </w:r>
      <w:r w:rsidRPr="00174EA0">
        <w:rPr>
          <w:rFonts w:ascii="Times New Roman" w:eastAsia="Times New Roman" w:hAnsi="Times New Roman" w:cs="Times New Roman"/>
        </w:rPr>
        <w:t xml:space="preserve"> — applied modelling systems and long-term strategy tools</w:t>
      </w:r>
    </w:p>
    <w:p w14:paraId="646FAE91" w14:textId="77777777" w:rsidR="008B6A66" w:rsidRPr="00174EA0" w:rsidRDefault="008B6A66" w:rsidP="008B6A66">
      <w:pPr>
        <w:numPr>
          <w:ilvl w:val="0"/>
          <w:numId w:val="7"/>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Analytics</w:t>
      </w:r>
      <w:r w:rsidRPr="00174EA0">
        <w:rPr>
          <w:rFonts w:ascii="Times New Roman" w:eastAsia="Times New Roman" w:hAnsi="Times New Roman" w:cs="Times New Roman"/>
        </w:rPr>
        <w:t xml:space="preserve"> — metrics, diagnostics, and scoring frameworks</w:t>
      </w:r>
    </w:p>
    <w:p w14:paraId="2B88DD66" w14:textId="77777777" w:rsidR="008B6A66" w:rsidRPr="00174EA0" w:rsidRDefault="008B6A66" w:rsidP="008B6A66">
      <w:pPr>
        <w:numPr>
          <w:ilvl w:val="0"/>
          <w:numId w:val="7"/>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Climate Policy</w:t>
      </w:r>
      <w:r w:rsidRPr="00174EA0">
        <w:rPr>
          <w:rFonts w:ascii="Times New Roman" w:eastAsia="Times New Roman" w:hAnsi="Times New Roman" w:cs="Times New Roman"/>
        </w:rPr>
        <w:t xml:space="preserve"> — tax, CBAM, carbon pricing, and implementation design</w:t>
      </w:r>
    </w:p>
    <w:p w14:paraId="3CA25B09" w14:textId="77777777" w:rsidR="008B6A66" w:rsidRPr="00174EA0" w:rsidRDefault="008B6A66" w:rsidP="008B6A66">
      <w:pPr>
        <w:numPr>
          <w:ilvl w:val="0"/>
          <w:numId w:val="7"/>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Guarantees &amp; Finance</w:t>
      </w:r>
      <w:r w:rsidRPr="00174EA0">
        <w:rPr>
          <w:rFonts w:ascii="Times New Roman" w:eastAsia="Times New Roman" w:hAnsi="Times New Roman" w:cs="Times New Roman"/>
        </w:rPr>
        <w:t xml:space="preserve"> — project-finance and clean-power investment structures</w:t>
      </w:r>
    </w:p>
    <w:p w14:paraId="3B8B3EF6" w14:textId="77777777" w:rsidR="008B6A66" w:rsidRPr="00174EA0" w:rsidRDefault="008B6A66" w:rsidP="008B6A66">
      <w:pPr>
        <w:numPr>
          <w:ilvl w:val="0"/>
          <w:numId w:val="7"/>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Sovereign Incentives</w:t>
      </w:r>
      <w:r w:rsidRPr="00174EA0">
        <w:rPr>
          <w:rFonts w:ascii="Times New Roman" w:eastAsia="Times New Roman" w:hAnsi="Times New Roman" w:cs="Times New Roman"/>
        </w:rPr>
        <w:t xml:space="preserve"> — sovereign-level incentive mechanisms, collateral, and SLLs</w:t>
      </w:r>
    </w:p>
    <w:p w14:paraId="67FB4346"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Here is the full reordered version.</w:t>
      </w:r>
    </w:p>
    <w:p w14:paraId="2D50C174"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Key:</w:t>
      </w:r>
      <w:r w:rsidRPr="00174EA0">
        <w:rPr>
          <w:rFonts w:ascii="Times New Roman" w:eastAsia="Times New Roman" w:hAnsi="Times New Roman" w:cs="Times New Roman"/>
        </w:rPr>
        <w:t xml:space="preserve"> early stage / short concept paper (</w:t>
      </w:r>
      <w:proofErr w:type="gramStart"/>
      <w:r w:rsidRPr="00174EA0">
        <w:rPr>
          <w:rFonts w:ascii="Times New Roman" w:eastAsia="Times New Roman" w:hAnsi="Times New Roman" w:cs="Times New Roman"/>
        </w:rPr>
        <w:t>+) ·</w:t>
      </w:r>
      <w:proofErr w:type="gramEnd"/>
      <w:r w:rsidRPr="00174EA0">
        <w:rPr>
          <w:rFonts w:ascii="Times New Roman" w:eastAsia="Times New Roman" w:hAnsi="Times New Roman" w:cs="Times New Roman"/>
        </w:rPr>
        <w:t xml:space="preserve"> in development or full draft, AI-assisted, with known flaws (+</w:t>
      </w:r>
      <w:proofErr w:type="gramStart"/>
      <w:r w:rsidRPr="00174EA0">
        <w:rPr>
          <w:rFonts w:ascii="Times New Roman" w:eastAsia="Times New Roman" w:hAnsi="Times New Roman" w:cs="Times New Roman"/>
        </w:rPr>
        <w:t>+) ·</w:t>
      </w:r>
      <w:proofErr w:type="gramEnd"/>
      <w:r w:rsidRPr="00174EA0">
        <w:rPr>
          <w:rFonts w:ascii="Times New Roman" w:eastAsia="Times New Roman" w:hAnsi="Times New Roman" w:cs="Times New Roman"/>
        </w:rPr>
        <w:t xml:space="preserve"> good draft available (++</w:t>
      </w:r>
      <w:proofErr w:type="gramStart"/>
      <w:r w:rsidRPr="00174EA0">
        <w:rPr>
          <w:rFonts w:ascii="Times New Roman" w:eastAsia="Times New Roman" w:hAnsi="Times New Roman" w:cs="Times New Roman"/>
        </w:rPr>
        <w:t>+) ·</w:t>
      </w:r>
      <w:proofErr w:type="gramEnd"/>
      <w:r w:rsidRPr="00174EA0">
        <w:rPr>
          <w:rFonts w:ascii="Times New Roman" w:eastAsia="Times New Roman" w:hAnsi="Times New Roman" w:cs="Times New Roman"/>
        </w:rPr>
        <w:t xml:space="preserve"> largely complete (++++)</w:t>
      </w:r>
    </w:p>
    <w:p w14:paraId="0E1A3DA2" w14:textId="77777777" w:rsidR="008B6A66" w:rsidRPr="00174EA0" w:rsidRDefault="008B6A66" w:rsidP="008B6A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4EA0">
        <w:rPr>
          <w:rFonts w:ascii="Times New Roman" w:eastAsia="Times New Roman" w:hAnsi="Times New Roman" w:cs="Times New Roman"/>
          <w:b/>
          <w:bCs/>
          <w:kern w:val="36"/>
          <w:sz w:val="48"/>
          <w:szCs w:val="48"/>
        </w:rPr>
        <w:lastRenderedPageBreak/>
        <w:t>Research Paper Abstracts — Stephen Stretton</w:t>
      </w:r>
    </w:p>
    <w:p w14:paraId="1FBB3610" w14:textId="55F0F018"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t>Modelling</w:t>
      </w:r>
      <w:r>
        <w:rPr>
          <w:rFonts w:ascii="Times New Roman" w:eastAsia="Times New Roman" w:hAnsi="Times New Roman" w:cs="Times New Roman"/>
          <w:b/>
          <w:bCs/>
          <w:sz w:val="36"/>
          <w:szCs w:val="36"/>
        </w:rPr>
        <w:t xml:space="preserve"> and CPAT</w:t>
      </w:r>
    </w:p>
    <w:p w14:paraId="6C15BEDB"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1. The Climate Policy Assessment Tool: Applied Mitigation Modelling for Power and System Investment (++)</w:t>
      </w:r>
    </w:p>
    <w:p w14:paraId="1947B67F"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Policymakers often need a mitigation model that is detailed enough to capture sectoral policy interactions, but simple enough to use in real country work. This paper sets out the core mitigation architecture of the Climate Policy Assessment Tool, with particular attention to the power sector, policy interaction, and practical country applications in Egypt and Uganda.</w:t>
      </w:r>
    </w:p>
    <w:p w14:paraId="6F30DF01"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It also develops a softer and more economically grounded replacement for CPAT’s hard renewable-energy investment-flow constraint. The proposed framework uses system-adjusted marginal costs and shadow prices to capture how power systems </w:t>
      </w:r>
      <w:proofErr w:type="gramStart"/>
      <w:r w:rsidRPr="00174EA0">
        <w:rPr>
          <w:rFonts w:ascii="Times New Roman" w:eastAsia="Times New Roman" w:hAnsi="Times New Roman" w:cs="Times New Roman"/>
        </w:rPr>
        <w:t>actually adjust</w:t>
      </w:r>
      <w:proofErr w:type="gramEnd"/>
      <w:r w:rsidRPr="00174EA0">
        <w:rPr>
          <w:rFonts w:ascii="Times New Roman" w:eastAsia="Times New Roman" w:hAnsi="Times New Roman" w:cs="Times New Roman"/>
        </w:rPr>
        <w:t xml:space="preserve"> over time. The benefit is a policy-ready modelling framework that is transparent enough for operational use while still rich enough to </w:t>
      </w:r>
      <w:proofErr w:type="spellStart"/>
      <w:r w:rsidRPr="00174EA0">
        <w:rPr>
          <w:rFonts w:ascii="Times New Roman" w:eastAsia="Times New Roman" w:hAnsi="Times New Roman" w:cs="Times New Roman"/>
        </w:rPr>
        <w:t>analyse</w:t>
      </w:r>
      <w:proofErr w:type="spellEnd"/>
      <w:r w:rsidRPr="00174EA0">
        <w:rPr>
          <w:rFonts w:ascii="Times New Roman" w:eastAsia="Times New Roman" w:hAnsi="Times New Roman" w:cs="Times New Roman"/>
        </w:rPr>
        <w:t xml:space="preserve"> sectoral trade-offs, fiscal effects, mitigation options, and realistic power-sector investment dynamics.</w:t>
      </w:r>
    </w:p>
    <w:p w14:paraId="40E82465"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 xml:space="preserve">2. A </w:t>
      </w:r>
      <w:proofErr w:type="gramStart"/>
      <w:r w:rsidRPr="00174EA0">
        <w:rPr>
          <w:rFonts w:ascii="Times New Roman" w:eastAsia="Times New Roman" w:hAnsi="Times New Roman" w:cs="Times New Roman"/>
          <w:b/>
          <w:bCs/>
          <w:sz w:val="27"/>
          <w:szCs w:val="27"/>
        </w:rPr>
        <w:t>Fiscal Long-Term</w:t>
      </w:r>
      <w:proofErr w:type="gramEnd"/>
      <w:r w:rsidRPr="00174EA0">
        <w:rPr>
          <w:rFonts w:ascii="Times New Roman" w:eastAsia="Times New Roman" w:hAnsi="Times New Roman" w:cs="Times New Roman"/>
          <w:b/>
          <w:bCs/>
          <w:sz w:val="27"/>
          <w:szCs w:val="27"/>
        </w:rPr>
        <w:t xml:space="preserve"> Strategy for Climate Mitigation (+)</w:t>
      </w:r>
    </w:p>
    <w:p w14:paraId="24C91A6C"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Climate strategies often say where emissions should go but not how a finance ministry can fund the transition. This paper develops a SiSePuede–CCDR–CPAT framework linking long-term mitigation pathways to public and private investment, fiscal policy, and debt sustainability. The aim is to connect the long-term strategic vision of pathways work, the country framing of Country Climate and Development Reports, and the policy-and-fiscal detail of the Climate Policy Assessment Tool into a single finance-ministry-facing structure. The benefit is a practical state strategy for financing decarbonization while protecting the public balance sheet.</w:t>
      </w:r>
    </w:p>
    <w:p w14:paraId="52077202" w14:textId="4D1F4128" w:rsidR="008B6A66" w:rsidRPr="00174EA0" w:rsidRDefault="008B6A66" w:rsidP="008B6A66">
      <w:pPr>
        <w:spacing w:after="0" w:line="240" w:lineRule="auto"/>
        <w:rPr>
          <w:rFonts w:ascii="Times New Roman" w:eastAsia="Times New Roman" w:hAnsi="Times New Roman" w:cs="Times New Roman"/>
        </w:rPr>
      </w:pPr>
    </w:p>
    <w:p w14:paraId="5E81988D" w14:textId="77777777" w:rsidR="00CE1C54" w:rsidRDefault="00CE1C54">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02AD893A" w14:textId="4313827C"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lastRenderedPageBreak/>
        <w:t>Analytics</w:t>
      </w:r>
    </w:p>
    <w:p w14:paraId="56762905"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3. Policy-Equivalent Carbon Price and Constant Elasticity of Substitution Energy Consumption (++++)</w:t>
      </w:r>
    </w:p>
    <w:p w14:paraId="0E109271"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Nominal carbon prices often misstate what climate policies </w:t>
      </w:r>
      <w:proofErr w:type="gramStart"/>
      <w:r w:rsidRPr="00174EA0">
        <w:rPr>
          <w:rFonts w:ascii="Times New Roman" w:eastAsia="Times New Roman" w:hAnsi="Times New Roman" w:cs="Times New Roman"/>
        </w:rPr>
        <w:t>actually do</w:t>
      </w:r>
      <w:proofErr w:type="gramEnd"/>
      <w:r w:rsidRPr="00174EA0">
        <w:rPr>
          <w:rFonts w:ascii="Times New Roman" w:eastAsia="Times New Roman" w:hAnsi="Times New Roman" w:cs="Times New Roman"/>
        </w:rPr>
        <w:t xml:space="preserve"> to emissions. This paper proposes a single framework for comparing carbon taxes, feebates, subsidies, and other emissions-reducing policies by translating them into a common carbon-price-equivalent metric based on emissions reduction.</w:t>
      </w:r>
    </w:p>
    <w:p w14:paraId="2CCEB991"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The supporting demand framework uses a nested constant elasticity of substitution structure with three arenas: heterogeneity within a fuel type or option, represented through a </w:t>
      </w:r>
      <w:proofErr w:type="gramStart"/>
      <w:r w:rsidRPr="00174EA0">
        <w:rPr>
          <w:rFonts w:ascii="Times New Roman" w:eastAsia="Times New Roman" w:hAnsi="Times New Roman" w:cs="Times New Roman"/>
        </w:rPr>
        <w:t>mini Cobb</w:t>
      </w:r>
      <w:proofErr w:type="gramEnd"/>
      <w:r w:rsidRPr="00174EA0">
        <w:rPr>
          <w:rFonts w:ascii="Times New Roman" w:eastAsia="Times New Roman" w:hAnsi="Times New Roman" w:cs="Times New Roman"/>
        </w:rPr>
        <w:t>-Douglas layer; switching across fuels and technologies; and overall demand for energy services. It also sets out a separate partial-adjustment mechanism for dynamics, which is not needed for the Policy-Equivalent Carbon Price itself. The benefit is a low-parameter framework that handles all three margins consistently, can match observed elasticities with relatively few parameters, and supports both static policy comparison and dynamic simulation.</w:t>
      </w:r>
    </w:p>
    <w:p w14:paraId="11B1B237"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4. Automated Excise-Fiscal Reports: Instruments, Externalities, and Policy Pathways (++)</w:t>
      </w:r>
    </w:p>
    <w:p w14:paraId="690EA6D8"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Finance ministries often read excise systems instrument by instrument, without a clear view of whether the tax system </w:t>
      </w:r>
      <w:proofErr w:type="gramStart"/>
      <w:r w:rsidRPr="00174EA0">
        <w:rPr>
          <w:rFonts w:ascii="Times New Roman" w:eastAsia="Times New Roman" w:hAnsi="Times New Roman" w:cs="Times New Roman"/>
        </w:rPr>
        <w:t>as a whole addresses</w:t>
      </w:r>
      <w:proofErr w:type="gramEnd"/>
      <w:r w:rsidRPr="00174EA0">
        <w:rPr>
          <w:rFonts w:ascii="Times New Roman" w:eastAsia="Times New Roman" w:hAnsi="Times New Roman" w:cs="Times New Roman"/>
        </w:rPr>
        <w:t xml:space="preserve"> externalities. This paper proposes a </w:t>
      </w:r>
      <w:proofErr w:type="spellStart"/>
      <w:r w:rsidRPr="00174EA0">
        <w:rPr>
          <w:rFonts w:ascii="Times New Roman" w:eastAsia="Times New Roman" w:hAnsi="Times New Roman" w:cs="Times New Roman"/>
        </w:rPr>
        <w:t>standardised</w:t>
      </w:r>
      <w:proofErr w:type="spellEnd"/>
      <w:r w:rsidRPr="00174EA0">
        <w:rPr>
          <w:rFonts w:ascii="Times New Roman" w:eastAsia="Times New Roman" w:hAnsi="Times New Roman" w:cs="Times New Roman"/>
        </w:rPr>
        <w:t xml:space="preserve"> three-part diagnostic for country fiscal teams: an excise diagnostic that </w:t>
      </w:r>
      <w:proofErr w:type="spellStart"/>
      <w:r w:rsidRPr="00174EA0">
        <w:rPr>
          <w:rFonts w:ascii="Times New Roman" w:eastAsia="Times New Roman" w:hAnsi="Times New Roman" w:cs="Times New Roman"/>
        </w:rPr>
        <w:t>categorises</w:t>
      </w:r>
      <w:proofErr w:type="spellEnd"/>
      <w:r w:rsidRPr="00174EA0">
        <w:rPr>
          <w:rFonts w:ascii="Times New Roman" w:eastAsia="Times New Roman" w:hAnsi="Times New Roman" w:cs="Times New Roman"/>
        </w:rPr>
        <w:t xml:space="preserve"> each line of the schedule and scales rates in comparable units; an externality diagnostic that brings together carbon, air pollution, accidents, congestion, and road damage on a common spine; and a policy pathways section that turns the findings into sequenced reform options. The benefit is a practical synthesis layer for PFRs and fiscal teams, using existing inputs from excise schedules, CPAT, the Climate &amp; Health Program, IMF GEPR, and comparator experience rather than creating a new model.</w:t>
      </w:r>
    </w:p>
    <w:p w14:paraId="72239584"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5. An Instrument Diagnostic for Climate Policy: A Six-Driver Framework for Matching Tools to Country Contexts (++)</w:t>
      </w:r>
    </w:p>
    <w:p w14:paraId="5A2BDC1E"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Climate policy instruments succeed or fail not only because of economic design, but because of political economy fit. This paper develops a six-driver diagnostic — fiscal pressure, political salience, vested interests, distributive design, institutional quality, and energy structure — to match instruments to country contexts. Applied to carbon taxes, emissions trading, feebates, long-term contracts, regulatory standards, and green public investment, it produces a sequencing logic rather than a single preferred instrument. The benefit is a structured basis for country-level advice: showing when pricing can work, when public investment or contracts should come first, and why the same instrument succeeds in one country but fails in another.</w:t>
      </w:r>
    </w:p>
    <w:p w14:paraId="5FA84BC7"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6. Green Sectoral Total Factor Productivity Potential for Industrial Policy (++)</w:t>
      </w:r>
    </w:p>
    <w:p w14:paraId="56700C2D"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Countries are often motivated by green growth and green industrial policy, but the World Bank has little structured advice on which green sectors are promising targets for industrial policy </w:t>
      </w:r>
      <w:proofErr w:type="gramStart"/>
      <w:r w:rsidRPr="00174EA0">
        <w:rPr>
          <w:rFonts w:ascii="Times New Roman" w:eastAsia="Times New Roman" w:hAnsi="Times New Roman" w:cs="Times New Roman"/>
        </w:rPr>
        <w:t>in a given</w:t>
      </w:r>
      <w:proofErr w:type="gramEnd"/>
      <w:r w:rsidRPr="00174EA0">
        <w:rPr>
          <w:rFonts w:ascii="Times New Roman" w:eastAsia="Times New Roman" w:hAnsi="Times New Roman" w:cs="Times New Roman"/>
        </w:rPr>
        <w:t xml:space="preserve"> country. This paper aims to generate a score </w:t>
      </w:r>
      <w:proofErr w:type="gramStart"/>
      <w:r w:rsidRPr="00174EA0">
        <w:rPr>
          <w:rFonts w:ascii="Times New Roman" w:eastAsia="Times New Roman" w:hAnsi="Times New Roman" w:cs="Times New Roman"/>
        </w:rPr>
        <w:t>showing for</w:t>
      </w:r>
      <w:proofErr w:type="gramEnd"/>
      <w:r w:rsidRPr="00174EA0">
        <w:rPr>
          <w:rFonts w:ascii="Times New Roman" w:eastAsia="Times New Roman" w:hAnsi="Times New Roman" w:cs="Times New Roman"/>
        </w:rPr>
        <w:t xml:space="preserve"> which green sectors, and for which countries, green industrial policy is both feasible and useful. It then applies that to total factor productivity accounting, for possible input into World Bank models. The benefit is a practical way to speak to green industrial policy and to integrate green growth into frameworks such as MFMod and the Long-Term Growth Model.</w:t>
      </w:r>
    </w:p>
    <w:p w14:paraId="238FEFFE" w14:textId="77777777" w:rsidR="008B6A66" w:rsidRPr="00174EA0" w:rsidRDefault="008B6A66" w:rsidP="008B6A66">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72F6B57">
          <v:rect id="_x0000_i1026" style="width:0;height:1.5pt" o:hralign="center" o:hrstd="t" o:hr="t" fillcolor="#a0a0a0" stroked="f"/>
        </w:pict>
      </w:r>
    </w:p>
    <w:p w14:paraId="63F6AE5A" w14:textId="77777777"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lastRenderedPageBreak/>
        <w:t>Climate Policy</w:t>
      </w:r>
    </w:p>
    <w:p w14:paraId="098B8CB0"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7. Open Economy Carbon Pricing: Production Incentives, Consumption Pricing, and VAT-Based Implementation (++)</w:t>
      </w:r>
    </w:p>
    <w:p w14:paraId="49A0F52F"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Carbon pricing in open economies faces two linked problems. Taxing production can weaken competitiveness and drive leakage. </w:t>
      </w:r>
      <w:proofErr w:type="gramStart"/>
      <w:r w:rsidRPr="00174EA0">
        <w:rPr>
          <w:rFonts w:ascii="Times New Roman" w:eastAsia="Times New Roman" w:hAnsi="Times New Roman" w:cs="Times New Roman"/>
        </w:rPr>
        <w:t>Taxing</w:t>
      </w:r>
      <w:proofErr w:type="gramEnd"/>
      <w:r w:rsidRPr="00174EA0">
        <w:rPr>
          <w:rFonts w:ascii="Times New Roman" w:eastAsia="Times New Roman" w:hAnsi="Times New Roman" w:cs="Times New Roman"/>
        </w:rPr>
        <w:t xml:space="preserve"> consumption gives better </w:t>
      </w:r>
      <w:proofErr w:type="gramStart"/>
      <w:r w:rsidRPr="00174EA0">
        <w:rPr>
          <w:rFonts w:ascii="Times New Roman" w:eastAsia="Times New Roman" w:hAnsi="Times New Roman" w:cs="Times New Roman"/>
        </w:rPr>
        <w:t>incentives, but</w:t>
      </w:r>
      <w:proofErr w:type="gramEnd"/>
      <w:r w:rsidRPr="00174EA0">
        <w:rPr>
          <w:rFonts w:ascii="Times New Roman" w:eastAsia="Times New Roman" w:hAnsi="Times New Roman" w:cs="Times New Roman"/>
        </w:rPr>
        <w:t xml:space="preserve"> is harder to implement. This paper suggests a somewhat new concept in carbon pricing, separating — conceptually and practically — production-side green incentives from consumption-side carbon pricing. On the production side, the instrument could be feebates, meaning a carbon fee with output-based rebating, or emissions trading systems with benchmark-based rebating. On the consumption side, the aim is destination-based carbon pricing. It then suggests pragmatic implementation options based on modifying the value-added tax, potentially at somewhat higher rates, with European Union-wide rebates applied internationally at the border, in the spirit of CBAM, and domestically within the tax system. The benefit is a more realistic route to comprehensive consumption-based carbon pricing that preserves stronger climate incentives while remaining closer to existing tax and trade institutions.</w:t>
      </w:r>
    </w:p>
    <w:p w14:paraId="3EEADD39"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8. Iron and Steel, CBAM, and the Limits of Point-Source Carbon Pricing (++)</w:t>
      </w:r>
    </w:p>
    <w:p w14:paraId="5335A2AE"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In the Carbon Border Adjustment Mechanism, CBAM, the European Union’s border carbon charge on certain imports, scrap-based iron and steel production can be </w:t>
      </w:r>
      <w:proofErr w:type="spellStart"/>
      <w:r w:rsidRPr="00174EA0">
        <w:rPr>
          <w:rFonts w:ascii="Times New Roman" w:eastAsia="Times New Roman" w:hAnsi="Times New Roman" w:cs="Times New Roman"/>
        </w:rPr>
        <w:t>favoured</w:t>
      </w:r>
      <w:proofErr w:type="spellEnd"/>
      <w:r w:rsidRPr="00174EA0">
        <w:rPr>
          <w:rFonts w:ascii="Times New Roman" w:eastAsia="Times New Roman" w:hAnsi="Times New Roman" w:cs="Times New Roman"/>
        </w:rPr>
        <w:t xml:space="preserve"> in ways that lower reported emissions without lowering global emissions. This paper focuses on iron and steel, with possible relevance to </w:t>
      </w:r>
      <w:proofErr w:type="spellStart"/>
      <w:r w:rsidRPr="00174EA0">
        <w:rPr>
          <w:rFonts w:ascii="Times New Roman" w:eastAsia="Times New Roman" w:hAnsi="Times New Roman" w:cs="Times New Roman"/>
        </w:rPr>
        <w:t>aluminium</w:t>
      </w:r>
      <w:proofErr w:type="spellEnd"/>
      <w:r w:rsidRPr="00174EA0">
        <w:rPr>
          <w:rFonts w:ascii="Times New Roman" w:eastAsia="Times New Roman" w:hAnsi="Times New Roman" w:cs="Times New Roman"/>
        </w:rPr>
        <w:t xml:space="preserve">, and proposes an opportunity-cost adjustment for scrap-based production, while noting that stronger global scrap recovery is helpful but not meaningfully </w:t>
      </w:r>
      <w:proofErr w:type="spellStart"/>
      <w:r w:rsidRPr="00174EA0">
        <w:rPr>
          <w:rFonts w:ascii="Times New Roman" w:eastAsia="Times New Roman" w:hAnsi="Times New Roman" w:cs="Times New Roman"/>
        </w:rPr>
        <w:t>incentivised</w:t>
      </w:r>
      <w:proofErr w:type="spellEnd"/>
      <w:r w:rsidRPr="00174EA0">
        <w:rPr>
          <w:rFonts w:ascii="Times New Roman" w:eastAsia="Times New Roman" w:hAnsi="Times New Roman" w:cs="Times New Roman"/>
        </w:rPr>
        <w:t xml:space="preserve"> by current policy. The benefit is to identify a potentially highly material problem in the current design of CBAM — one with implications for climate effectiveness, industrial structure, and the treatment of primary versus secondary steel.</w:t>
      </w:r>
    </w:p>
    <w:p w14:paraId="4BAED848" w14:textId="1AFC6727" w:rsidR="008B6A66" w:rsidRPr="00174EA0" w:rsidRDefault="008B6A66" w:rsidP="008B6A66">
      <w:pPr>
        <w:spacing w:after="0" w:line="240" w:lineRule="auto"/>
        <w:rPr>
          <w:rFonts w:ascii="Times New Roman" w:eastAsia="Times New Roman" w:hAnsi="Times New Roman" w:cs="Times New Roman"/>
        </w:rPr>
      </w:pPr>
    </w:p>
    <w:p w14:paraId="0DAC31A7" w14:textId="62776F79"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t>Finance</w:t>
      </w:r>
    </w:p>
    <w:p w14:paraId="21F991EF"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9. Climate Finance Intermediation for Clean Power (+++)</w:t>
      </w:r>
    </w:p>
    <w:p w14:paraId="7E60557D"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Clean power investment is often blocked by weak payment chains between distribution companies and independent power producers, together with limited sovereign balance sheets. This paper proposes two routes to payment security: immediate use of World Bank power purchase agreement guarantees, and a more institutional Solar Energy Corporation of India-style intermediary that sits between buyer and producer. The benefit is lower cost of capital, especially once construction risk has passed, and the creation of standardized high-grade bonds backed by secure cash flows; see 10 for the related financing product.</w:t>
      </w:r>
    </w:p>
    <w:p w14:paraId="50BC8A2E"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10. Standardized Two-Stage Climate Project Finance for High-Risk Contexts (+++)</w:t>
      </w:r>
    </w:p>
    <w:p w14:paraId="6C0DE498"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Clean-energy projects often begin with a high-risk construction phase, where much of the risk and return is concentrated, but public money often captures too little of the upside. Working with the payment-security architecture in 9, this paper proposes a standardized two-stage structure in which blended early finance is followed by refinancing or securitization of guaranteed future cash flows, delivered as a repeatable multilateral development bank financial service. The benefit is a sophisticated investable product that can work in high-risk environments, lets the public sector share more in early upside, increases leverage, and creates long-term assets for sovereign wealth funds and pension funds; in extreme cases, it could provide clean energy as a pay-as-you-go service that competes with the high cost and risk of fossil-fuel imports.</w:t>
      </w:r>
    </w:p>
    <w:p w14:paraId="6C078BE9" w14:textId="77777777" w:rsidR="008B6A66" w:rsidRPr="00174EA0" w:rsidRDefault="008B6A66" w:rsidP="008B6A66">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pict w14:anchorId="047777DA">
          <v:rect id="_x0000_i1028" style="width:0;height:1.5pt" o:hralign="center" o:hrstd="t" o:hr="t" fillcolor="#a0a0a0" stroked="f"/>
        </w:pict>
      </w:r>
    </w:p>
    <w:p w14:paraId="788F4AAC" w14:textId="77777777"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t>Sovereign Incentives</w:t>
      </w:r>
    </w:p>
    <w:p w14:paraId="2C30B161"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11. Guarantee-Based International Incentives for the Delivery of Strong NDCs (+)</w:t>
      </w:r>
    </w:p>
    <w:p w14:paraId="6311AAAE"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Current climate finance mainly rewards emissions reductions at the margin, but says too little about absolute emissions, long-term stock-flow performance, and the value of preservation of carbon stocks. This paper proposes an early-stage but important framework in which countries receive a large notional climate balance, linked to carbon stocks and long-run emissions performance, and translated into guarantee-based support that is gradually used up by business-as-usual emissions. The benefit is a sovereign incentive system that supports stronger NDCs and their delivery, can be funded feasibly because the benefit to countries can exceed the World Bank’s expected loss, and avoids a key weakness of carbon-market logic, which is better suited to “additional” transactions than to a long-term “absolute” problem and can create incentives for weaker baselines and less ambitious NDCs.</w:t>
      </w:r>
    </w:p>
    <w:p w14:paraId="37CDCA40"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12. The Climate Incentives Trust: Equity Funds for Climate- and Sovereign Lending Collateral (+++)</w:t>
      </w:r>
    </w:p>
    <w:p w14:paraId="6CD4C872"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Public interventions often support projects one by one without creating reusable collateral or wider financial leverage. This paper proposes leveraged equity funds that both invest in projects and serve as collateral for risk reduction and credit enhancement, including for climate and sovereign lending structures such as sustainability-linked lending. The benefit is a recyclable public balance-sheet instrument that lowers the cost of capital, can help indemnify expected losses in guarantee-based structures, and multiplies the effect of scarce concessional resources.</w:t>
      </w:r>
    </w:p>
    <w:p w14:paraId="3A1ABD64" w14:textId="77777777" w:rsidR="008B6A66" w:rsidRPr="00174EA0" w:rsidRDefault="008B6A66" w:rsidP="008B6A66">
      <w:pPr>
        <w:spacing w:before="100" w:beforeAutospacing="1" w:after="100" w:afterAutospacing="1" w:line="240" w:lineRule="auto"/>
        <w:outlineLvl w:val="2"/>
        <w:rPr>
          <w:rFonts w:ascii="Times New Roman" w:eastAsia="Times New Roman" w:hAnsi="Times New Roman" w:cs="Times New Roman"/>
          <w:b/>
          <w:bCs/>
          <w:sz w:val="27"/>
          <w:szCs w:val="27"/>
        </w:rPr>
      </w:pPr>
      <w:r w:rsidRPr="00174EA0">
        <w:rPr>
          <w:rFonts w:ascii="Times New Roman" w:eastAsia="Times New Roman" w:hAnsi="Times New Roman" w:cs="Times New Roman"/>
          <w:b/>
          <w:bCs/>
          <w:sz w:val="27"/>
          <w:szCs w:val="27"/>
        </w:rPr>
        <w:t>13. Sustainability-Linked Lending and Related Structures at the World Bank (++++)</w:t>
      </w:r>
    </w:p>
    <w:p w14:paraId="2EE08876"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Work in Progress / Confidential</w:t>
      </w:r>
    </w:p>
    <w:p w14:paraId="76DFD641" w14:textId="77777777" w:rsidR="008B6A66" w:rsidRPr="00174EA0" w:rsidRDefault="008B6A66" w:rsidP="008B6A66">
      <w:p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rPr>
        <w:t xml:space="preserve">The World Bank has developed several sustainability-linked loans and related structures, but they remain bespoke and hard to replicate because of internal constraints around derivative treatment, Environmental and Social Framework issues, key performance indicators, pricing, institutional ownership, and donor-capital use. This paper proposes a codified approach with </w:t>
      </w:r>
      <w:proofErr w:type="gramStart"/>
      <w:r w:rsidRPr="00174EA0">
        <w:rPr>
          <w:rFonts w:ascii="Times New Roman" w:eastAsia="Times New Roman" w:hAnsi="Times New Roman" w:cs="Times New Roman"/>
        </w:rPr>
        <w:t>standard key</w:t>
      </w:r>
      <w:proofErr w:type="gramEnd"/>
      <w:r w:rsidRPr="00174EA0">
        <w:rPr>
          <w:rFonts w:ascii="Times New Roman" w:eastAsia="Times New Roman" w:hAnsi="Times New Roman" w:cs="Times New Roman"/>
        </w:rPr>
        <w:t xml:space="preserve"> performance indicator menus, simpler verification, and workable pricing. The benefit is a path from one-off transactions to a scalable sovereign incentive instrument.</w:t>
      </w:r>
    </w:p>
    <w:p w14:paraId="042B6F15" w14:textId="77777777" w:rsidR="008B6A66" w:rsidRPr="00174EA0" w:rsidRDefault="008B6A66" w:rsidP="008B6A66">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63D95A0">
          <v:rect id="_x0000_i1029" style="width:0;height:1.5pt" o:hralign="center" o:hrstd="t" o:hr="t" fillcolor="#a0a0a0" stroked="f"/>
        </w:pict>
      </w:r>
    </w:p>
    <w:p w14:paraId="115128A9" w14:textId="77777777" w:rsidR="008B6A66" w:rsidRPr="00174EA0" w:rsidRDefault="008B6A66" w:rsidP="008B6A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74EA0">
        <w:rPr>
          <w:rFonts w:ascii="Times New Roman" w:eastAsia="Times New Roman" w:hAnsi="Times New Roman" w:cs="Times New Roman"/>
          <w:b/>
          <w:bCs/>
          <w:kern w:val="36"/>
          <w:sz w:val="48"/>
          <w:szCs w:val="48"/>
        </w:rPr>
        <w:t>Maturity List</w:t>
      </w:r>
    </w:p>
    <w:p w14:paraId="71919F6D" w14:textId="77777777"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t>Largely complete (++++)</w:t>
      </w:r>
    </w:p>
    <w:p w14:paraId="7A9E1619" w14:textId="77777777" w:rsidR="008B6A66" w:rsidRPr="00174EA0" w:rsidRDefault="008B6A66" w:rsidP="008B6A66">
      <w:pPr>
        <w:numPr>
          <w:ilvl w:val="0"/>
          <w:numId w:val="8"/>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Policy-Equivalent Carbon Price and Constant Elasticity of Substitution Energy Consumption (3)</w:t>
      </w:r>
    </w:p>
    <w:p w14:paraId="1DC2C6E1" w14:textId="77777777" w:rsidR="008B6A66" w:rsidRPr="00174EA0" w:rsidRDefault="008B6A66" w:rsidP="008B6A66">
      <w:pPr>
        <w:numPr>
          <w:ilvl w:val="0"/>
          <w:numId w:val="8"/>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Sustainability-Linked Lending and Related Structures at the World Bank (13)</w:t>
      </w:r>
    </w:p>
    <w:p w14:paraId="54545AB6" w14:textId="77777777"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t>Good draft available (+++)</w:t>
      </w:r>
    </w:p>
    <w:p w14:paraId="4328E211" w14:textId="77777777" w:rsidR="008B6A66" w:rsidRPr="00174EA0" w:rsidRDefault="008B6A66" w:rsidP="008B6A66">
      <w:pPr>
        <w:numPr>
          <w:ilvl w:val="0"/>
          <w:numId w:val="9"/>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lastRenderedPageBreak/>
        <w:t>Climate Finance Intermediation for Clean Power (9)</w:t>
      </w:r>
    </w:p>
    <w:p w14:paraId="127579E0" w14:textId="77777777" w:rsidR="008B6A66" w:rsidRPr="00174EA0" w:rsidRDefault="008B6A66" w:rsidP="008B6A66">
      <w:pPr>
        <w:numPr>
          <w:ilvl w:val="0"/>
          <w:numId w:val="9"/>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Standardized Two-Stage Climate Project Finance for High-Risk Contexts (10)</w:t>
      </w:r>
    </w:p>
    <w:p w14:paraId="3FD135BB" w14:textId="77777777" w:rsidR="008B6A66" w:rsidRPr="00174EA0" w:rsidRDefault="008B6A66" w:rsidP="008B6A66">
      <w:pPr>
        <w:numPr>
          <w:ilvl w:val="0"/>
          <w:numId w:val="9"/>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The Climate Incentives Trust: Equity Funds for Climate- and Sovereign Lending Collateral (12)</w:t>
      </w:r>
    </w:p>
    <w:p w14:paraId="580718FB" w14:textId="77777777"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t>In development or full draft, AI-assisted, with known flaws (++)</w:t>
      </w:r>
    </w:p>
    <w:p w14:paraId="23562B0E" w14:textId="77777777" w:rsidR="008B6A66" w:rsidRPr="00174EA0" w:rsidRDefault="008B6A66" w:rsidP="008B6A66">
      <w:pPr>
        <w:numPr>
          <w:ilvl w:val="0"/>
          <w:numId w:val="10"/>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The Climate Policy Assessment Tool: Applied Mitigation Modelling for Power and System Investment (1)</w:t>
      </w:r>
    </w:p>
    <w:p w14:paraId="3BBE71B5" w14:textId="77777777" w:rsidR="008B6A66" w:rsidRPr="00174EA0" w:rsidRDefault="008B6A66" w:rsidP="008B6A66">
      <w:pPr>
        <w:numPr>
          <w:ilvl w:val="0"/>
          <w:numId w:val="10"/>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Automated Excise-Fiscal Reports: Instruments, Externalities, and Policy Pathways (4)</w:t>
      </w:r>
    </w:p>
    <w:p w14:paraId="141CFA62" w14:textId="77777777" w:rsidR="008B6A66" w:rsidRPr="00174EA0" w:rsidRDefault="008B6A66" w:rsidP="008B6A66">
      <w:pPr>
        <w:numPr>
          <w:ilvl w:val="0"/>
          <w:numId w:val="10"/>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An Instrument Diagnostic for Climate Policy: A Six-Driver Framework for Matching Tools to Country Contexts (5)</w:t>
      </w:r>
    </w:p>
    <w:p w14:paraId="36BE3BF9" w14:textId="77777777" w:rsidR="008B6A66" w:rsidRPr="00174EA0" w:rsidRDefault="008B6A66" w:rsidP="008B6A66">
      <w:pPr>
        <w:numPr>
          <w:ilvl w:val="0"/>
          <w:numId w:val="10"/>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Green Sectoral Total Factor Productivity Potential for Industrial Policy (6)</w:t>
      </w:r>
    </w:p>
    <w:p w14:paraId="3B0F860A" w14:textId="77777777" w:rsidR="008B6A66" w:rsidRPr="00174EA0" w:rsidRDefault="008B6A66" w:rsidP="008B6A66">
      <w:pPr>
        <w:numPr>
          <w:ilvl w:val="0"/>
          <w:numId w:val="10"/>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Open Economy Carbon Pricing: Production Incentives, Consumption Pricing, and VAT-Based Implementation (7)</w:t>
      </w:r>
    </w:p>
    <w:p w14:paraId="5D960B84" w14:textId="77777777" w:rsidR="008B6A66" w:rsidRPr="00174EA0" w:rsidRDefault="008B6A66" w:rsidP="008B6A66">
      <w:pPr>
        <w:numPr>
          <w:ilvl w:val="0"/>
          <w:numId w:val="10"/>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 xml:space="preserve">Iron and </w:t>
      </w:r>
      <w:proofErr w:type="gramStart"/>
      <w:r w:rsidRPr="00174EA0">
        <w:rPr>
          <w:rFonts w:ascii="Times New Roman" w:eastAsia="Times New Roman" w:hAnsi="Times New Roman" w:cs="Times New Roman"/>
          <w:b/>
          <w:bCs/>
        </w:rPr>
        <w:t>Steel</w:t>
      </w:r>
      <w:proofErr w:type="gramEnd"/>
      <w:r w:rsidRPr="00174EA0">
        <w:rPr>
          <w:rFonts w:ascii="Times New Roman" w:eastAsia="Times New Roman" w:hAnsi="Times New Roman" w:cs="Times New Roman"/>
          <w:b/>
          <w:bCs/>
        </w:rPr>
        <w:t>, CBAM, and the Limits of Point-Source Carbon Pricing (8)</w:t>
      </w:r>
    </w:p>
    <w:p w14:paraId="6044B7A5" w14:textId="77777777" w:rsidR="008B6A66" w:rsidRPr="00174EA0" w:rsidRDefault="008B6A66" w:rsidP="008B6A66">
      <w:pPr>
        <w:spacing w:before="100" w:beforeAutospacing="1" w:after="100" w:afterAutospacing="1" w:line="240" w:lineRule="auto"/>
        <w:outlineLvl w:val="1"/>
        <w:rPr>
          <w:rFonts w:ascii="Times New Roman" w:eastAsia="Times New Roman" w:hAnsi="Times New Roman" w:cs="Times New Roman"/>
          <w:b/>
          <w:bCs/>
          <w:sz w:val="36"/>
          <w:szCs w:val="36"/>
        </w:rPr>
      </w:pPr>
      <w:r w:rsidRPr="00174EA0">
        <w:rPr>
          <w:rFonts w:ascii="Times New Roman" w:eastAsia="Times New Roman" w:hAnsi="Times New Roman" w:cs="Times New Roman"/>
          <w:b/>
          <w:bCs/>
          <w:sz w:val="36"/>
          <w:szCs w:val="36"/>
        </w:rPr>
        <w:t>Early stage / short concept paper (+)</w:t>
      </w:r>
    </w:p>
    <w:p w14:paraId="474615F9" w14:textId="77777777" w:rsidR="008B6A66" w:rsidRPr="00174EA0" w:rsidRDefault="008B6A66" w:rsidP="008B6A66">
      <w:pPr>
        <w:numPr>
          <w:ilvl w:val="0"/>
          <w:numId w:val="11"/>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A Fiscal Long-Term Strategy for Climate Mitigation (2)</w:t>
      </w:r>
    </w:p>
    <w:p w14:paraId="66C5D3E9" w14:textId="77777777" w:rsidR="008B6A66" w:rsidRPr="00174EA0" w:rsidRDefault="008B6A66" w:rsidP="008B6A66">
      <w:pPr>
        <w:numPr>
          <w:ilvl w:val="0"/>
          <w:numId w:val="11"/>
        </w:numPr>
        <w:spacing w:before="100" w:beforeAutospacing="1" w:after="100" w:afterAutospacing="1" w:line="240" w:lineRule="auto"/>
        <w:rPr>
          <w:rFonts w:ascii="Times New Roman" w:eastAsia="Times New Roman" w:hAnsi="Times New Roman" w:cs="Times New Roman"/>
        </w:rPr>
      </w:pPr>
      <w:r w:rsidRPr="00174EA0">
        <w:rPr>
          <w:rFonts w:ascii="Times New Roman" w:eastAsia="Times New Roman" w:hAnsi="Times New Roman" w:cs="Times New Roman"/>
          <w:b/>
          <w:bCs/>
        </w:rPr>
        <w:t>Guarantee-Based International Incentives for the Delivery of Strong NDCs (11)</w:t>
      </w:r>
    </w:p>
    <w:p w14:paraId="4E5F8568" w14:textId="77777777" w:rsidR="008B6A66" w:rsidRDefault="008B6A66" w:rsidP="008B6A66"/>
    <w:p w14:paraId="39E7EAEF" w14:textId="77777777" w:rsidR="00E445EB" w:rsidRDefault="00E445EB"/>
    <w:sectPr w:rsidR="00E445EB">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CF492" w14:textId="77777777" w:rsidR="00063791" w:rsidRDefault="00063791" w:rsidP="00CC645C">
      <w:pPr>
        <w:spacing w:after="0" w:line="240" w:lineRule="auto"/>
      </w:pPr>
      <w:r>
        <w:separator/>
      </w:r>
    </w:p>
  </w:endnote>
  <w:endnote w:type="continuationSeparator" w:id="0">
    <w:p w14:paraId="66A43C87" w14:textId="77777777" w:rsidR="00063791" w:rsidRDefault="00063791" w:rsidP="00CC6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7B49B" w14:textId="17C9D911" w:rsidR="00CC645C" w:rsidRDefault="00CC645C">
    <w:pPr>
      <w:pStyle w:val="Footer"/>
    </w:pPr>
    <w:r>
      <w:rPr>
        <w:noProof/>
      </w:rPr>
      <mc:AlternateContent>
        <mc:Choice Requires="wps">
          <w:drawing>
            <wp:anchor distT="0" distB="0" distL="0" distR="0" simplePos="0" relativeHeight="251659264" behindDoc="0" locked="0" layoutInCell="1" allowOverlap="1" wp14:anchorId="35992FB4" wp14:editId="19306BF5">
              <wp:simplePos x="635" y="635"/>
              <wp:positionH relativeFrom="page">
                <wp:align>right</wp:align>
              </wp:positionH>
              <wp:positionV relativeFrom="page">
                <wp:align>bottom</wp:align>
              </wp:positionV>
              <wp:extent cx="1170305" cy="370205"/>
              <wp:effectExtent l="0" t="0" r="0" b="0"/>
              <wp:wrapNone/>
              <wp:docPr id="5682885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A8F340F" w14:textId="62CD103E" w:rsidR="00CC645C" w:rsidRPr="00CC645C" w:rsidRDefault="00CC645C" w:rsidP="00CC645C">
                          <w:pPr>
                            <w:spacing w:after="0"/>
                            <w:rPr>
                              <w:rFonts w:ascii="Aptos" w:eastAsia="Aptos" w:hAnsi="Aptos" w:cs="Aptos"/>
                              <w:noProof/>
                              <w:color w:val="000000"/>
                            </w:rPr>
                          </w:pPr>
                          <w:r w:rsidRPr="00CC645C">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992FB4"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7A8F340F" w14:textId="62CD103E" w:rsidR="00CC645C" w:rsidRPr="00CC645C" w:rsidRDefault="00CC645C" w:rsidP="00CC645C">
                    <w:pPr>
                      <w:spacing w:after="0"/>
                      <w:rPr>
                        <w:rFonts w:ascii="Aptos" w:eastAsia="Aptos" w:hAnsi="Aptos" w:cs="Aptos"/>
                        <w:noProof/>
                        <w:color w:val="000000"/>
                      </w:rPr>
                    </w:pPr>
                    <w:r w:rsidRPr="00CC645C">
                      <w:rPr>
                        <w:rFonts w:ascii="Aptos" w:eastAsia="Aptos" w:hAnsi="Aptos" w:cs="Aptos"/>
                        <w:noProof/>
                        <w:color w:val="00000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F939" w14:textId="300220A1" w:rsidR="00CC645C" w:rsidRDefault="00CC645C">
    <w:pPr>
      <w:pStyle w:val="Footer"/>
    </w:pPr>
    <w:r>
      <w:rPr>
        <w:noProof/>
      </w:rPr>
      <mc:AlternateContent>
        <mc:Choice Requires="wps">
          <w:drawing>
            <wp:anchor distT="0" distB="0" distL="0" distR="0" simplePos="0" relativeHeight="251660288" behindDoc="0" locked="0" layoutInCell="1" allowOverlap="1" wp14:anchorId="5CAA868B" wp14:editId="302A02C4">
              <wp:simplePos x="914400" y="9420225"/>
              <wp:positionH relativeFrom="page">
                <wp:align>right</wp:align>
              </wp:positionH>
              <wp:positionV relativeFrom="page">
                <wp:align>bottom</wp:align>
              </wp:positionV>
              <wp:extent cx="1170305" cy="370205"/>
              <wp:effectExtent l="0" t="0" r="0" b="0"/>
              <wp:wrapNone/>
              <wp:docPr id="766801579"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A9D29B6" w14:textId="6A55FFDC" w:rsidR="00CC645C" w:rsidRPr="00CC645C" w:rsidRDefault="00CC645C" w:rsidP="00CC645C">
                          <w:pPr>
                            <w:spacing w:after="0"/>
                            <w:rPr>
                              <w:rFonts w:ascii="Aptos" w:eastAsia="Aptos" w:hAnsi="Aptos" w:cs="Aptos"/>
                              <w:noProof/>
                              <w:color w:val="000000"/>
                            </w:rPr>
                          </w:pPr>
                          <w:r w:rsidRPr="00CC645C">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AA868B"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2A9D29B6" w14:textId="6A55FFDC" w:rsidR="00CC645C" w:rsidRPr="00CC645C" w:rsidRDefault="00CC645C" w:rsidP="00CC645C">
                    <w:pPr>
                      <w:spacing w:after="0"/>
                      <w:rPr>
                        <w:rFonts w:ascii="Aptos" w:eastAsia="Aptos" w:hAnsi="Aptos" w:cs="Aptos"/>
                        <w:noProof/>
                        <w:color w:val="000000"/>
                      </w:rPr>
                    </w:pPr>
                    <w:r w:rsidRPr="00CC645C">
                      <w:rPr>
                        <w:rFonts w:ascii="Aptos" w:eastAsia="Aptos" w:hAnsi="Aptos" w:cs="Aptos"/>
                        <w:noProof/>
                        <w:color w:val="00000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B9C0" w14:textId="368430DA" w:rsidR="00CC645C" w:rsidRDefault="00CC645C">
    <w:pPr>
      <w:pStyle w:val="Footer"/>
    </w:pPr>
    <w:r>
      <w:rPr>
        <w:noProof/>
      </w:rPr>
      <mc:AlternateContent>
        <mc:Choice Requires="wps">
          <w:drawing>
            <wp:anchor distT="0" distB="0" distL="0" distR="0" simplePos="0" relativeHeight="251658240" behindDoc="0" locked="0" layoutInCell="1" allowOverlap="1" wp14:anchorId="0852FBC8" wp14:editId="04B66503">
              <wp:simplePos x="635" y="635"/>
              <wp:positionH relativeFrom="page">
                <wp:align>right</wp:align>
              </wp:positionH>
              <wp:positionV relativeFrom="page">
                <wp:align>bottom</wp:align>
              </wp:positionV>
              <wp:extent cx="1170305" cy="370205"/>
              <wp:effectExtent l="0" t="0" r="0" b="0"/>
              <wp:wrapNone/>
              <wp:docPr id="15648710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A7A3F19" w14:textId="1ED39121" w:rsidR="00CC645C" w:rsidRPr="00CC645C" w:rsidRDefault="00CC645C" w:rsidP="00CC645C">
                          <w:pPr>
                            <w:spacing w:after="0"/>
                            <w:rPr>
                              <w:rFonts w:ascii="Aptos" w:eastAsia="Aptos" w:hAnsi="Aptos" w:cs="Aptos"/>
                              <w:noProof/>
                              <w:color w:val="000000"/>
                            </w:rPr>
                          </w:pPr>
                          <w:r w:rsidRPr="00CC645C">
                            <w:rPr>
                              <w:rFonts w:ascii="Aptos" w:eastAsia="Aptos" w:hAnsi="Aptos" w:cs="Aptos"/>
                              <w:noProof/>
                              <w:color w:val="00000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52FBC8"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5A7A3F19" w14:textId="1ED39121" w:rsidR="00CC645C" w:rsidRPr="00CC645C" w:rsidRDefault="00CC645C" w:rsidP="00CC645C">
                    <w:pPr>
                      <w:spacing w:after="0"/>
                      <w:rPr>
                        <w:rFonts w:ascii="Aptos" w:eastAsia="Aptos" w:hAnsi="Aptos" w:cs="Aptos"/>
                        <w:noProof/>
                        <w:color w:val="000000"/>
                      </w:rPr>
                    </w:pPr>
                    <w:r w:rsidRPr="00CC645C">
                      <w:rPr>
                        <w:rFonts w:ascii="Aptos" w:eastAsia="Aptos" w:hAnsi="Aptos" w:cs="Aptos"/>
                        <w:noProof/>
                        <w:color w:val="00000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12B78" w14:textId="77777777" w:rsidR="00063791" w:rsidRDefault="00063791" w:rsidP="00CC645C">
      <w:pPr>
        <w:spacing w:after="0" w:line="240" w:lineRule="auto"/>
      </w:pPr>
      <w:r>
        <w:separator/>
      </w:r>
    </w:p>
  </w:footnote>
  <w:footnote w:type="continuationSeparator" w:id="0">
    <w:p w14:paraId="34EFEC3C" w14:textId="77777777" w:rsidR="00063791" w:rsidRDefault="00063791" w:rsidP="00CC64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30C"/>
    <w:multiLevelType w:val="multilevel"/>
    <w:tmpl w:val="CC5EBB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51904"/>
    <w:multiLevelType w:val="multilevel"/>
    <w:tmpl w:val="D31E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A6124"/>
    <w:multiLevelType w:val="multilevel"/>
    <w:tmpl w:val="E3B8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07554"/>
    <w:multiLevelType w:val="multilevel"/>
    <w:tmpl w:val="CB92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B1156"/>
    <w:multiLevelType w:val="multilevel"/>
    <w:tmpl w:val="7B20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E48A4"/>
    <w:multiLevelType w:val="multilevel"/>
    <w:tmpl w:val="13564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021264"/>
    <w:multiLevelType w:val="multilevel"/>
    <w:tmpl w:val="5540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D61D4"/>
    <w:multiLevelType w:val="multilevel"/>
    <w:tmpl w:val="ABD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E11B8"/>
    <w:multiLevelType w:val="multilevel"/>
    <w:tmpl w:val="E35CFB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337BE3"/>
    <w:multiLevelType w:val="multilevel"/>
    <w:tmpl w:val="02780D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BA4E14"/>
    <w:multiLevelType w:val="multilevel"/>
    <w:tmpl w:val="58320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933256">
    <w:abstractNumId w:val="1"/>
  </w:num>
  <w:num w:numId="2" w16cid:durableId="1722634948">
    <w:abstractNumId w:val="5"/>
  </w:num>
  <w:num w:numId="3" w16cid:durableId="52389621">
    <w:abstractNumId w:val="10"/>
  </w:num>
  <w:num w:numId="4" w16cid:durableId="659696354">
    <w:abstractNumId w:val="0"/>
  </w:num>
  <w:num w:numId="5" w16cid:durableId="1171486643">
    <w:abstractNumId w:val="9"/>
  </w:num>
  <w:num w:numId="6" w16cid:durableId="929049416">
    <w:abstractNumId w:val="8"/>
  </w:num>
  <w:num w:numId="7" w16cid:durableId="1841198109">
    <w:abstractNumId w:val="2"/>
  </w:num>
  <w:num w:numId="8" w16cid:durableId="2126845402">
    <w:abstractNumId w:val="7"/>
  </w:num>
  <w:num w:numId="9" w16cid:durableId="933438610">
    <w:abstractNumId w:val="3"/>
  </w:num>
  <w:num w:numId="10" w16cid:durableId="1094011730">
    <w:abstractNumId w:val="4"/>
  </w:num>
  <w:num w:numId="11" w16cid:durableId="2128347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5C"/>
    <w:rsid w:val="00063791"/>
    <w:rsid w:val="006A1619"/>
    <w:rsid w:val="006A4BB2"/>
    <w:rsid w:val="008B6A66"/>
    <w:rsid w:val="009539F5"/>
    <w:rsid w:val="00AD2EE4"/>
    <w:rsid w:val="00CC645C"/>
    <w:rsid w:val="00CE1C5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A951"/>
  <w15:chartTrackingRefBased/>
  <w15:docId w15:val="{64F928D6-58B1-4DBD-A1DC-52C836EEA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C54"/>
  </w:style>
  <w:style w:type="paragraph" w:styleId="Heading1">
    <w:name w:val="heading 1"/>
    <w:basedOn w:val="Normal"/>
    <w:next w:val="Normal"/>
    <w:link w:val="Heading1Char"/>
    <w:uiPriority w:val="9"/>
    <w:qFormat/>
    <w:rsid w:val="00CE1C54"/>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E1C5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E1C54"/>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CE1C5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E1C54"/>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CE1C54"/>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CE1C54"/>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CE1C54"/>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CE1C54"/>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5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E1C5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E1C54"/>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CE1C5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E1C54"/>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CE1C54"/>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CE1C54"/>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CE1C54"/>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CE1C54"/>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CE1C54"/>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CE1C54"/>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CE1C5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E1C5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CE1C5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E1C54"/>
    <w:rPr>
      <w:i/>
      <w:iCs/>
      <w:color w:val="404040" w:themeColor="text1" w:themeTint="BF"/>
    </w:rPr>
  </w:style>
  <w:style w:type="paragraph" w:styleId="ListParagraph">
    <w:name w:val="List Paragraph"/>
    <w:basedOn w:val="Normal"/>
    <w:uiPriority w:val="34"/>
    <w:qFormat/>
    <w:rsid w:val="00CC645C"/>
    <w:pPr>
      <w:ind w:left="720"/>
      <w:contextualSpacing/>
    </w:pPr>
  </w:style>
  <w:style w:type="character" w:styleId="IntenseEmphasis">
    <w:name w:val="Intense Emphasis"/>
    <w:basedOn w:val="DefaultParagraphFont"/>
    <w:uiPriority w:val="21"/>
    <w:qFormat/>
    <w:rsid w:val="00CE1C54"/>
    <w:rPr>
      <w:b/>
      <w:bCs/>
      <w:i/>
      <w:iCs/>
    </w:rPr>
  </w:style>
  <w:style w:type="paragraph" w:styleId="IntenseQuote">
    <w:name w:val="Intense Quote"/>
    <w:basedOn w:val="Normal"/>
    <w:next w:val="Normal"/>
    <w:link w:val="IntenseQuoteChar"/>
    <w:uiPriority w:val="30"/>
    <w:qFormat/>
    <w:rsid w:val="00CE1C54"/>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CE1C54"/>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CE1C54"/>
    <w:rPr>
      <w:b/>
      <w:bCs/>
      <w:smallCaps/>
      <w:spacing w:val="5"/>
      <w:u w:val="single"/>
    </w:rPr>
  </w:style>
  <w:style w:type="paragraph" w:styleId="Footer">
    <w:name w:val="footer"/>
    <w:basedOn w:val="Normal"/>
    <w:link w:val="FooterChar"/>
    <w:uiPriority w:val="99"/>
    <w:unhideWhenUsed/>
    <w:rsid w:val="00CC64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45C"/>
  </w:style>
  <w:style w:type="paragraph" w:styleId="Caption">
    <w:name w:val="caption"/>
    <w:basedOn w:val="Normal"/>
    <w:next w:val="Normal"/>
    <w:uiPriority w:val="35"/>
    <w:semiHidden/>
    <w:unhideWhenUsed/>
    <w:qFormat/>
    <w:rsid w:val="00CE1C54"/>
    <w:pPr>
      <w:spacing w:line="240" w:lineRule="auto"/>
    </w:pPr>
    <w:rPr>
      <w:b/>
      <w:bCs/>
      <w:smallCaps/>
      <w:color w:val="595959" w:themeColor="text1" w:themeTint="A6"/>
      <w:spacing w:val="6"/>
    </w:rPr>
  </w:style>
  <w:style w:type="character" w:styleId="Strong">
    <w:name w:val="Strong"/>
    <w:basedOn w:val="DefaultParagraphFont"/>
    <w:uiPriority w:val="22"/>
    <w:qFormat/>
    <w:rsid w:val="00CE1C54"/>
    <w:rPr>
      <w:b/>
      <w:bCs/>
    </w:rPr>
  </w:style>
  <w:style w:type="character" w:styleId="Emphasis">
    <w:name w:val="Emphasis"/>
    <w:basedOn w:val="DefaultParagraphFont"/>
    <w:uiPriority w:val="20"/>
    <w:qFormat/>
    <w:rsid w:val="00CE1C54"/>
    <w:rPr>
      <w:i/>
      <w:iCs/>
    </w:rPr>
  </w:style>
  <w:style w:type="paragraph" w:styleId="NoSpacing">
    <w:name w:val="No Spacing"/>
    <w:uiPriority w:val="1"/>
    <w:qFormat/>
    <w:rsid w:val="00CE1C54"/>
    <w:pPr>
      <w:spacing w:after="0" w:line="240" w:lineRule="auto"/>
    </w:pPr>
  </w:style>
  <w:style w:type="character" w:styleId="SubtleEmphasis">
    <w:name w:val="Subtle Emphasis"/>
    <w:basedOn w:val="DefaultParagraphFont"/>
    <w:uiPriority w:val="19"/>
    <w:qFormat/>
    <w:rsid w:val="00CE1C54"/>
    <w:rPr>
      <w:i/>
      <w:iCs/>
      <w:color w:val="404040" w:themeColor="text1" w:themeTint="BF"/>
    </w:rPr>
  </w:style>
  <w:style w:type="character" w:styleId="SubtleReference">
    <w:name w:val="Subtle Reference"/>
    <w:basedOn w:val="DefaultParagraphFont"/>
    <w:uiPriority w:val="31"/>
    <w:qFormat/>
    <w:rsid w:val="00CE1C54"/>
    <w:rPr>
      <w:smallCaps/>
      <w:color w:val="404040" w:themeColor="text1" w:themeTint="BF"/>
      <w:u w:val="single" w:color="7F7F7F" w:themeColor="text1" w:themeTint="80"/>
    </w:rPr>
  </w:style>
  <w:style w:type="character" w:styleId="BookTitle">
    <w:name w:val="Book Title"/>
    <w:basedOn w:val="DefaultParagraphFont"/>
    <w:uiPriority w:val="33"/>
    <w:qFormat/>
    <w:rsid w:val="00CE1C54"/>
    <w:rPr>
      <w:b/>
      <w:bCs/>
      <w:smallCaps/>
    </w:rPr>
  </w:style>
  <w:style w:type="paragraph" w:styleId="TOCHeading">
    <w:name w:val="TOC Heading"/>
    <w:basedOn w:val="Heading1"/>
    <w:next w:val="Normal"/>
    <w:uiPriority w:val="39"/>
    <w:semiHidden/>
    <w:unhideWhenUsed/>
    <w:qFormat/>
    <w:rsid w:val="00CE1C5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2272</Words>
  <Characters>12954</Characters>
  <Application>Microsoft Office Word</Application>
  <DocSecurity>0</DocSecurity>
  <Lines>107</Lines>
  <Paragraphs>30</Paragraphs>
  <ScaleCrop>false</ScaleCrop>
  <Company>WBG</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4</cp:revision>
  <dcterms:created xsi:type="dcterms:W3CDTF">2026-04-15T20:21:00Z</dcterms:created>
  <dcterms:modified xsi:type="dcterms:W3CDTF">2026-09-04T19:47:00Z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953cdc5,36323b9,2db476ab</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2026-04-15T20:24:38Z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35c64d11-db93-4923-9c9d-787488afd6a9</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