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Sovereign Incentives for Decarbonisation: How Multilateral Development Banks Can Use Financial De-risking to Lower the Cost of Capital and Reward Climate Policy</w:t>
      </w:r>
    </w:p>
    <w:p>
      <w:pPr>
        <w:jc w:val="center"/>
      </w:pPr>
      <w:r>
        <w:rPr>
          <w:b/>
          <w:sz w:val="24"/>
        </w:rPr>
        <w:t>Stephen Stretton</w:t>
      </w:r>
    </w:p>
    <w:p>
      <w:pPr>
        <w:jc w:val="center"/>
      </w:pPr>
      <w:r>
        <w:t>DPhil in Geography and the Environment - Research Proposal</w:t>
      </w:r>
    </w:p>
    <w:p>
      <w:pPr>
        <w:jc w:val="center"/>
      </w:pPr>
      <w:r>
        <w:t>Proposed primary supervisor: Dr Gireesh Shrimali</w:t>
      </w:r>
    </w:p>
    <w:p>
      <w:pPr>
        <w:jc w:val="center"/>
      </w:pPr>
      <w:r>
        <w:rPr>
          <w:b/>
        </w:rPr>
        <w:t>Word count (main proposal only; excluding bibliography and appendices): 2,445</w:t>
      </w:r>
    </w:p>
    <w:p>
      <w:pPr>
        <w:jc w:val="center"/>
      </w:pPr>
      <w:r>
        <w:t>Planning assumption: full-time entry October 2027 | Target thesis submission: 30 September 2030 | Intended completion: 31 March 2031</w:t>
      </w:r>
    </w:p>
    <w:p>
      <w:pPr>
        <w:jc w:val="center"/>
      </w:pPr>
      <w:r>
        <w:rPr>
          <w:i/>
          <w:sz w:val="18"/>
        </w:rPr>
        <w:t>Prepared from the supplied research, analytical and planning documents; broader and contradictory strands are preserved in the appendices.</w:t>
      </w:r>
    </w:p>
    <w:p>
      <w:pPr>
        <w:pStyle w:val="Heading1"/>
        <w:keepNext/>
      </w:pPr>
      <w:r>
        <w:t>Title</w:t>
      </w:r>
    </w:p>
    <w:p>
      <w:r>
        <w:rPr>
          <w:b/>
        </w:rPr>
        <w:t>Sovereign Incentives for Decarbonisation: How Multilateral Development Banks Can Use Financial De-risking to Lower the Cost of Capital and Reward Climate Policy</w:t>
      </w:r>
    </w:p>
    <w:p>
      <w:pPr>
        <w:pStyle w:val="Heading1"/>
        <w:keepNext/>
      </w:pPr>
      <w:r>
        <w:t>Background and Rationale</w:t>
      </w:r>
    </w:p>
    <w:p>
      <w:pPr>
        <w:keepLines w:val="0"/>
      </w:pPr>
      <w:r>
        <w:t>Rapid decarbonisation requires very large investment in capital-intensive assets, yet the countries in which much of the future investment must occur often face the highest financing costs. This is not only a question of the global quantity of finance, but of the institutional architecture through which risk is allocated and sovereign incentives are created. Recent work shows that region-specific financing costs can materially suppress low-carbon investment in developing economies, while lower financing costs can accelerate renewable deployment and reduce transition costs (Ameli et al., 2021; Calcaterra et al., 2024). The policy question is therefore how public and multilateral balance sheets can change the risk-return conditions under which sovereigns, utilities and private investors make decisions.</w:t>
      </w:r>
    </w:p>
    <w:p>
      <w:pPr>
        <w:keepLines w:val="0"/>
      </w:pPr>
      <w:r>
        <w:t>This problem is inseparable from national sovereignty. Governments retain authority over the policies that make low-carbon investment viable: power-market regulation, public procurement, renewable-energy auctions, PPAs, carbon pricing, feebates, state-owned-enterprise governance and public investment. MDBs cannot normally determine these policies. They can, however, alter the incentive environment by changing the price and allocation of risk, providing commitment mechanisms, and linking access to cheaper finance to credible policy performance. The institutional challenge is to connect sovereign policy choice to international climate objectives without treating national policy as externally controllable.</w:t>
      </w:r>
    </w:p>
    <w:p>
      <w:pPr>
        <w:keepLines w:val="0"/>
      </w:pPr>
      <w:r>
        <w:t>The existing literature illuminates parts of this problem but rarely integrates them. Climate-economics has traditionally emphasised carbon pricing as a first-best instrument (Pigou, 1920; Stiglitz et al., 2017), while broader frameworks emphasise complementarity between pricing, strategic investment and innovation (Grubb, 2014). Climate-finance research shows how guarantees and public risk-bearing can mobilise private investment; the UNDP Derisking Renewable Energy Investment framework, for example, distinguishes interventions that reduce, transfer or compensate risk. Political-economy research explains why efficient policies can be blocked by concentrated losses and collective-action problems (Olson, 1965). Yet derisking analyses often take domestic policy as given, while political-economy analyses are rarely operationalised in financial models that compare packages of national policy and international support.</w:t>
      </w:r>
    </w:p>
    <w:p>
      <w:pPr>
        <w:keepLines w:val="0"/>
      </w:pPr>
      <w:r>
        <w:t>The resulting gap is both analytical and operational. Current approaches do not provide a common metric for comparing the sovereign value of a policy-linked guarantee with its expected cost to an MDB, nor do they show when financing support materially changes the timing of national policy. Filling this gap would contribute to climate-finance theory while producing a decision framework directly relevant to MDB instrument design and finance ministries.</w:t>
      </w:r>
    </w:p>
    <w:p>
      <w:pPr>
        <w:keepLines w:val="0"/>
      </w:pPr>
      <w:r>
        <w:t>This thesis connects these literatures through a two-sided question: what does a sovereign need to do to create credible, bankable low-carbon investment, and what can an MDB do to make that action financially and politically attractive? The analytical object is a sovereign-facing incentive architecture in which lower financing costs are conditional on actions that improve investment credibility and decarbonisation outcomes. Candidate instruments include guarantees and credit enhancement, concessional or sustainability-linked lending, results-based components, payment-support facilities, and rules-based allocations of guarantee capacity. Each may both lower WACC for eligible investment and change the sovereign's intertemporal payoff from adopting and maintaining climate policy.</w:t>
      </w:r>
    </w:p>
    <w:p>
      <w:pPr>
        <w:keepLines w:val="0"/>
      </w:pPr>
      <w:r>
        <w:t>Electricity will be the primary empirical domain because renewable generation is capital intensive and exposes the interaction between sovereign policy, utility payment risk and private project finance. Revenue-certainty instruments such as PPAs or CfDs can make projects bankable; carbon pricing or feebates change relative economics; and MDB guarantees can reduce policy, payment or refinancing risk. The framework will be designed for later application to other capital-intensive mitigation sectors.</w:t>
      </w:r>
    </w:p>
    <w:p>
      <w:pPr>
        <w:keepLines w:val="0"/>
      </w:pPr>
      <w:r>
        <w:t>The main contribution will be an integrated framework that distinguishes three quantities often conflated. First is mitigation effectiveness: how much additional investment or emissions reduction follows from a national policy package? Second is the sovereign incentive required: what financial benefit makes a more ambitious package preferable once fiscal costs, contingent liabilities, political resistance and policy flexibility are recognised? Third is the resource cost to the MDB or donors: what is the expected economic and balance-sheet cost of creating that incentive through a guarantee, credit enhancement or concessional instrument? A grant makes the third quantity obvious; a guarantee does not, because expected loss, capital usage and financing benefit can differ substantially from face value.</w:t>
      </w:r>
    </w:p>
    <w:p>
      <w:pPr>
        <w:keepLines w:val="0"/>
      </w:pPr>
      <w:r>
        <w:t>The project also adds a dynamic dimension. A country deciding whether to reform a power sector, auction renewables or adopt carbon pricing retains the option to delay. International support may therefore matter most when it changes the payoff to acting now rather than later. The thesis will test mechanisms in which concessionality or guarantee capacity increases with credible early action and can decline when agreed policy or emissions trajectories are persistently missed. The aim is not to remove sovereignty, but to make sustained decarbonisation a financially attractive sovereign choice.</w:t>
      </w:r>
    </w:p>
    <w:p>
      <w:pPr>
        <w:keepLines w:val="0"/>
      </w:pPr>
      <w:r>
        <w:t>My professional and academic trajectory provides a strong foundation for this research. I am an interdisciplinary climate-fiscal economist whose work spans finance and risk, fiscal and taxation policy, energy-system modelling and political economy. Since 2005 I have worked on climate-policy design and analytical tools, and more recently on World Bank climate-fiscal analysis, power-sector modelling and CPAT. Current research concepts include climate-finance intermediation for clean power, sustainability-linked lending, guarantee-based climate incentives and finance-ministry climate strategy. This combination permits close analysis of MDB instruments while retaining the economic and political logic of the wider problem.</w:t>
      </w:r>
    </w:p>
    <w:p>
      <w:pPr>
        <w:pStyle w:val="Heading1"/>
        <w:keepNext/>
      </w:pPr>
      <w:r>
        <w:t>Research Questions</w:t>
      </w:r>
    </w:p>
    <w:p>
      <w:pPr>
        <w:keepLines w:val="0"/>
      </w:pPr>
      <w:r>
        <w:t>The core research question is:</w:t>
      </w:r>
    </w:p>
    <w:p>
      <w:pPr>
        <w:keepLines w:val="0"/>
      </w:pPr>
      <w:r>
        <w:t>How can multilateral development banks design sovereign-facing financial incentives and de-risking instruments that lower the cost of capital for low-carbon investment while increasing the political and fiscal attractiveness of credible, accelerated decarbonisation?</w:t>
      </w:r>
    </w:p>
    <w:p>
      <w:pPr>
        <w:keepLines w:val="0"/>
      </w:pPr>
      <w:r>
        <w:t>Four subsidiary questions make the project answerable.</w:t>
      </w:r>
    </w:p>
    <w:p>
      <w:pPr>
        <w:keepLines w:val="0"/>
      </w:pPr>
      <w:r>
        <w:t>1. Which country, policy and project risks are reflected in the financing cost of low-carbon investment, and which can MDBs most efficiently reduce, transfer or absorb?</w:t>
        <w:br/>
        <w:t>2. How do national policy structures - especially renewable auctions, PPAs/CfDs, carbon pricing or feebates, public investment and state-owned-enterprise arrangements - interact with MDB guarantees, credit enhancement and concessional finance to change WACC, investment and emissions?</w:t>
        <w:br/>
        <w:t>3. What sovereign incentive is required to induce earlier or more credible climate action once fiscal costs, contingent liabilities, political costs and the option value of delay are included; and what is the expected cost of providing it to the MDB?</w:t>
        <w:br/>
        <w:t>4. Under what conditions can conditional, dynamic support create a reinforcing loop between policy credibility, cheaper finance, bankable investment and decarbonisation, and when does it instead create fiscal, distributional or moral-hazard risks?</w:t>
      </w:r>
    </w:p>
    <w:p>
      <w:pPr>
        <w:keepLines w:val="0"/>
      </w:pPr>
      <w:r>
        <w:t>The central hypothesis is that MDB support is most effective when it complements rather than substitutes for national policy: policy creates bankable low-carbon cash flows, while international risk-bearing lowers their financing cost and rewards continued credibility. MDB leverage should therefore be judged against expected economic cost and incremental mitigation, not simply nominal finance mobilised.</w:t>
      </w:r>
    </w:p>
    <w:p>
      <w:pPr>
        <w:pStyle w:val="Heading1"/>
        <w:keepNext/>
      </w:pPr>
      <w:r>
        <w:t>Theoretical Framework / Methodology</w:t>
      </w:r>
    </w:p>
    <w:p>
      <w:pPr>
        <w:keepLines w:val="0"/>
      </w:pPr>
      <w:r>
        <w:t>The thesis will use a two-layer theoretical framework linking sovereign policy choice to international financial incentives.</w:t>
      </w:r>
    </w:p>
    <w:p>
      <w:pPr>
        <w:keepLines w:val="0"/>
      </w:pPr>
      <w:r>
        <w:t>At the national layer, the sovereign or quasi-sovereign decision-maker selects a policy package subject to economic, fiscal and political constraints. The economic component follows investment theory: capital-intensive low-carbon technologies respond to cost of capital, expected revenues and uncertainty. Project cash flows will be represented under merchant exposure, regulated or auctioned tariffs, PPAs/CfDs and alternative carbon-policy environments. Real-options theory (Dixit and Pindyck, 1994) captures irreversibility and delay: where investment or reform is costly to reverse, uncertainty raises the threshold for action. Policy credibility therefore has financial value because it changes expected cash flow and the value of waiting.</w:t>
      </w:r>
    </w:p>
    <w:p>
      <w:pPr>
        <w:keepLines w:val="0"/>
      </w:pPr>
      <w:r>
        <w:t>The fiscal component treats climate policy through the state balance sheet rather than gross expenditure alone. Direct spending, a sovereign guarantee, lending to a state-owned enterprise and a regulatory commitment are not equivalent. The framework will distinguish cash expenditure from expected guarantee loss, contingent liability, refinancing risk and changes in public asset values. Claims that derisking is 'cheap' or 'profitable' will be tested by comparing financing-cost savings with expected public/MDB cost under different sovereign risks and project structures.</w:t>
      </w:r>
    </w:p>
    <w:p>
      <w:pPr>
        <w:keepLines w:val="0"/>
      </w:pPr>
      <w:r>
        <w:t>The political-economy component draws on Olson's logic of collective action and a parsimonious model of policy resistance. Policy packages will be compared using the concentration and salience of losses, timing of costs and benefits, reversibility of commitments and sovereign balance-sheet exposure. The aim is not to predict elections, but to formalise why policies with similar aggregate welfare effects can face different adoption costs, and how much international support would need to alter the sovereign payoff at the margin.</w:t>
      </w:r>
    </w:p>
    <w:p>
      <w:pPr>
        <w:keepLines w:val="0"/>
      </w:pPr>
      <w:r>
        <w:t>At the international layer, the MDB is modelled as a high-credit-quality intermediary able to transform or absorb selected risks. Instruments include partial and payment guarantees, credit enhancement, concessional lending, sustainability- or results-linked terms and, as an experimental case, a rules-based 'climate allowance' of guarantee capacity adjusted with performance. MDB capital and donor resources are scarce, guarantees can create moral hazard, and strong conditionality can reduce national ownership. The criterion is therefore not maximum de-risking, but the least expected public/MDB cost of achieving a specified increase in credible mitigation while respecting fiscal-risk and sovereignty constraints.</w:t>
      </w:r>
    </w:p>
    <w:p>
      <w:pPr>
        <w:keepLines w:val="0"/>
      </w:pPr>
      <w:r>
        <w:t>The causal chain is: national policy changes expected project cash flows and bankability; MDB instruments change risk allocation and WACC; these changes alter investment and emissions; and the financing benefit feeds back into the sovereign payoff from maintaining policy. This can create a reinforcing loop, but it also makes failure modes explicit. If credibility is weak, a guarantee may socialise risk; if the project pipeline is not bankable, cheap finance may have little effect; and if political losses are highly concentrated, a modest fall in WACC may not change policy. The model will therefore compare bundles of policy and finance. It will also distinguish static incentives from dynamic ones: a one-off reduction in financing cost may alter a project decision, whereas a contingent multi-period rule can alter the value of maintaining policy credibility over time.</w:t>
      </w:r>
    </w:p>
    <w:p>
      <w:pPr>
        <w:keepLines w:val="0"/>
      </w:pPr>
      <w:r>
        <w:t>Methodologically, the framework combines project finance, dynamic investment theory, a reduced-form political-economy module and institutional analysis. It will be implemented transparently in code and linked to a simplified power-sector module, including CPAT where appropriate. Outputs will include finance-adjusted abatement comparisons, estimates of the sovereign incentive required for policy packages, and estimates of the expected MDB cost and leverage of alternative instruments.</w:t>
      </w:r>
    </w:p>
    <w:p>
      <w:pPr>
        <w:pStyle w:val="Heading1"/>
        <w:keepNext/>
      </w:pPr>
      <w:r>
        <w:t>Methods</w:t>
      </w:r>
    </w:p>
    <w:p>
      <w:pPr>
        <w:keepLines w:val="0"/>
      </w:pPr>
      <w:r>
        <w:t>The research will proceed through four linked work packages, with quantitative modelling at the core and comparative institutional evidence used to discipline assumptions.</w:t>
      </w:r>
    </w:p>
    <w:p>
      <w:pPr>
        <w:keepLines w:val="0"/>
      </w:pPr>
      <w:r>
        <w:t>Work package 1 will establish the empirical and institutional taxonomy. I will review evidence on renewable-energy cost of capital, MDB guarantees and concessional finance, sovereign risk, revenue certainty, policy credibility and political feasibility. Public MDB documents, auction/PPA material, sovereign and utility risk indicators and country/technology financing-cost estimates will be coded into a common accounting framework separating mitigation effectiveness, sovereign incentive value and expected MDB cost.</w:t>
      </w:r>
    </w:p>
    <w:p>
      <w:pPr>
        <w:keepLines w:val="0"/>
      </w:pPr>
      <w:r>
        <w:t>Work package 2 will build project-finance and real-options models for utility-scale renewable investment. Models will calculate debt/equity cash flows, WACC, levelised cost, investment thresholds and the value of waiting under merchant exposure, PPAs/CfDs and combinations with MDB payment guarantees, credit enhancement or concessional finance. Sensitivity and probabilistic analysis will vary country risk, payment risk, recovery rates, policy credibility and guarantee coverage. The key comparison is incremental investment and financing-cost reduction against expected guarantee loss, capital usage or concessional resource cost.</w:t>
      </w:r>
    </w:p>
    <w:p>
      <w:pPr>
        <w:keepLines w:val="0"/>
      </w:pPr>
      <w:r>
        <w:t>Work package 3 will connect finance to sovereign policy and mitigation. A reduced-form political-fiscal module will assign policy packages an adoption/maintenance cost based on fiscal effects, contingent liabilities, concentration and visibility of losses, timing and reversibility. Linked to a simplified power-investment and emissions model, using CPAT concepts and code where suitable, it will answer three questions: what does the national policy achieve; what incentive changes the sovereign choice; and what does that incentive cost the MDB? Dynamic rules will test whether guarantee capacity or concessionality linked to timely implementation improves outcomes. Outputs will include finance-adjusted abatement comparisons and policy-finance frontiers.</w:t>
      </w:r>
    </w:p>
    <w:p>
      <w:pPr>
        <w:keepLines w:val="0"/>
      </w:pPr>
      <w:r>
        <w:t>Work package 4 will test external validity through two or three comparative cases varying sovereign risk, power-market structure and the presence of an intermediary or guarantee mechanism. India, including the experience of SECI-style renewable-power intermediation, is a strong candidate. Further cases will examine MDB-backed guarantees or credit enhancement in emerging/developing economies. Evidence will come first from public documents and transaction data. Subject to access and ethics approval, approximately 20-30 semi-structured interviews with officials, MDB specialists, utilities/offtakers, lenders and investors will test assumptions about risk allocation and implementation. The project remains viable without confidential data: interviews validate and interpret rather than supply indispensable proprietary inputs.</w:t>
      </w:r>
    </w:p>
    <w:p>
      <w:pPr>
        <w:keepLines w:val="0"/>
      </w:pPr>
      <w:r>
        <w:t>Model calibration will use triangulation rather than a single source: observed financing spreads and auction outcomes will anchor project parameters; public guarantee documentation will inform coverage and recovery assumptions; and case evidence will test whether coded political and institutional constraints correspond to practitioner experience. Robustness will be reported through parameter ranges and scenario analysis, with transparent separation between observed data, calibrated assumptions and normative design choices.</w:t>
      </w:r>
    </w:p>
    <w:p>
      <w:pPr>
        <w:keepLines w:val="0"/>
      </w:pPr>
      <w:r>
        <w:t>Before interviews or fieldwork I will obtain the relevant CUREC approval. Participants will receive clear information and give informed consent, with attribution/anonymity choices and explicit recognition of the limits of anonymity in small expert communities. Data will be minimised and stored securely. My World Bank role creates a potential dual-role conflict, so participation will be voluntary, recruitment will avoid dependent relationships, and privileged institutional information will not be solicited or used without permission. Remote interviews will be preferred; any overseas work will undergo departmental risk assessment and address CUREC concerns on power imbalance, official sensitivity, researcher safety and local permissions.</w:t>
      </w:r>
    </w:p>
    <w:p>
      <w:pPr>
        <w:keepLines w:val="0"/>
      </w:pPr>
      <w:r>
        <w:t>The project is feasible because I already combine financial-risk analysis, fiscal/tax policy, energy modelling and political economy. I have developed and used climate-policy models, worked on CPAT power-sector and fiscal-policy analysis, and developed research concepts on clean-power intermediation, sustainability-linked lending, guarantee-based climate incentives and finance-ministry climate strategy. The main additional training need is deeper formal real-options and empirical cost-of-capital methods, to be addressed through Oxford methods training and targeted finance/econometric study in year one.</w:t>
      </w:r>
    </w:p>
    <w:p>
      <w:pPr>
        <w:keepLines w:val="0"/>
      </w:pPr>
      <w:r>
        <w:t>Dr Gireesh Shrimali has agreed to act as the proposed primary supervisor. As Head of Transition Finance Research at the Oxford Sustainable Finance Group, his work on renewable-energy finance, catalytic finance for net-zero transitions and low-cost long-term capital directly matches the project's central bridge between transition finance, policy and cost of capital. Complementary political-economy and macro-fiscal advice can be added through the wider School as the project develops.</w:t>
      </w:r>
    </w:p>
    <w:p>
      <w:pPr>
        <w:keepLines w:val="0"/>
      </w:pPr>
      <w:r>
        <w:t>Assuming full-time entry in October 2027, the intended thesis submission is 30 September 2030 and intended completion, including viva/corrections, is 31 March 2031. Year 1 will complete the literature/taxonomy, methods training, project-finance model and pilot case for Transfer. Year 2 will integrate the sovereign political-fiscal module, obtain CUREC approval, and undertake comparative case work and calibrated simulations. October 2029-March 2030 will test dynamic incentives and complete the main analytical chapters; April-July 2030 will integrate the thesis; August-September will be reserved for revision and submission. Appendix A provides detailed milestones. Dissemination will centre on publishable chapters on de-risking, sovereign incentives and dynamic MDB design; the DPhil will be examined as an integrated thesis.</w:t>
      </w:r>
    </w:p>
    <w:p>
      <w:r>
        <w:br w:type="page"/>
      </w:r>
    </w:p>
    <w:p>
      <w:pPr>
        <w:pStyle w:val="Heading1"/>
        <w:keepNext/>
      </w:pPr>
      <w:r>
        <w:t>Bibliography</w:t>
      </w:r>
    </w:p>
    <w:p>
      <w:r>
        <w:rPr>
          <w:i/>
          <w:sz w:val="18"/>
        </w:rPr>
        <w:t>Not included in the stated word count.</w:t>
      </w:r>
    </w:p>
    <w:p>
      <w:pPr>
        <w:spacing w:after="80"/>
        <w:ind w:left="340" w:hanging="340"/>
      </w:pPr>
      <w:r>
        <w:t>Ameli, N., Dessens, O., Winning, M., Cronin, J., Chenet, H., Drummond, P., Calzadilla, A., Anandarajah, G. &amp; Grubb, M. (2021). Higher cost of finance exacerbates a climate investment trap in developing economies. Nature Communications, 12, 4046.</w:t>
      </w:r>
    </w:p>
    <w:p>
      <w:pPr>
        <w:spacing w:after="80"/>
        <w:ind w:left="340" w:hanging="340"/>
      </w:pPr>
      <w:r>
        <w:t>Bhattacharya, A., Meltzer, J. P., Oppenheim, J., Qureshi, Z. &amp; Stern, N. (2016). Delivering on Sustainable Infrastructure for Better Development and Better Climate. Brookings Institution/New Climate Economy.</w:t>
      </w:r>
    </w:p>
    <w:p>
      <w:pPr>
        <w:spacing w:after="80"/>
        <w:ind w:left="340" w:hanging="340"/>
      </w:pPr>
      <w:r>
        <w:t>Calcaterra, M., Aleluia Reis, L., Fragkos, P., Briera, T., de Boer, H. S., Egli, F., Emmerling, J. et al. (2024). Reducing the cost of capital to finance the energy transition in developing countries. Nature Energy, 9, 1241-1251.</w:t>
      </w:r>
    </w:p>
    <w:p>
      <w:pPr>
        <w:spacing w:after="80"/>
        <w:ind w:left="340" w:hanging="340"/>
      </w:pPr>
      <w:r>
        <w:t>Dixit, A. K. &amp; Pindyck, R. S. (1994). Investment under Uncertainty. Princeton University Press.</w:t>
      </w:r>
    </w:p>
    <w:p>
      <w:pPr>
        <w:spacing w:after="80"/>
        <w:ind w:left="340" w:hanging="340"/>
      </w:pPr>
      <w:r>
        <w:t>Egli, F. (2020). Renewable energy investment risk: An investigation of changes over time and the underlying drivers. Energy Policy, 140, 111428.</w:t>
      </w:r>
    </w:p>
    <w:p>
      <w:pPr>
        <w:spacing w:after="80"/>
        <w:ind w:left="340" w:hanging="340"/>
      </w:pPr>
      <w:r>
        <w:t>Grubb, M., Hourcade, J.-C. &amp; Neuhoff, K. (2014). Planetary Economics: Energy, Climate Change and the Three Domains of Sustainable Development. Routledge.</w:t>
      </w:r>
    </w:p>
    <w:p>
      <w:pPr>
        <w:spacing w:after="80"/>
        <w:ind w:left="340" w:hanging="340"/>
      </w:pPr>
      <w:r>
        <w:t>Nordhaus, W. (2015). Climate clubs: Overcoming free-riding in international climate policy. American Economic Review, 105(4), 1339-1370.</w:t>
      </w:r>
    </w:p>
    <w:p>
      <w:pPr>
        <w:spacing w:after="80"/>
        <w:ind w:left="340" w:hanging="340"/>
      </w:pPr>
      <w:r>
        <w:t>Olson, M. (1965). The Logic of Collective Action: Public Goods and the Theory of Groups. Harvard University Press.</w:t>
      </w:r>
    </w:p>
    <w:p>
      <w:pPr>
        <w:spacing w:after="80"/>
        <w:ind w:left="340" w:hanging="340"/>
      </w:pPr>
      <w:r>
        <w:t>Pigou, A. C. (1920). The Economics of Welfare. Macmillan.</w:t>
      </w:r>
    </w:p>
    <w:p>
      <w:pPr>
        <w:spacing w:after="80"/>
        <w:ind w:left="340" w:hanging="340"/>
      </w:pPr>
      <w:r>
        <w:t>Steffen, B. (2018). The importance of project finance for renewable energy projects. Energy Economics, 69, 280-294.</w:t>
      </w:r>
    </w:p>
    <w:p>
      <w:pPr>
        <w:spacing w:after="80"/>
        <w:ind w:left="340" w:hanging="340"/>
      </w:pPr>
      <w:r>
        <w:t>Steffen, B. (2020). Estimating the cost of capital for renewable energy projects. Energy Economics, 88, 104783.</w:t>
      </w:r>
    </w:p>
    <w:p>
      <w:pPr>
        <w:spacing w:after="80"/>
        <w:ind w:left="340" w:hanging="340"/>
      </w:pPr>
      <w:r>
        <w:t>Stiglitz, J. E., Stern, N. et al. (2017). Report of the High-Level Commission on Carbon Prices. World Bank.</w:t>
      </w:r>
    </w:p>
    <w:p>
      <w:pPr>
        <w:spacing w:after="80"/>
        <w:ind w:left="340" w:hanging="340"/>
      </w:pPr>
      <w:r>
        <w:t>United Nations Development Programme (2018; updated framework 2020). Derisking Renewable Energy Investment: A Framework to Support Policymakers in Selecting Public Instruments to Promote Renewable Energy Investment in Developing Countries. UNDP.</w:t>
      </w:r>
    </w:p>
    <w:p>
      <w:r>
        <w:br w:type="page"/>
      </w:r>
    </w:p>
    <w:p>
      <w:pPr>
        <w:pStyle w:val="Heading1"/>
        <w:keepNext/>
      </w:pPr>
      <w:r>
        <w:t>Appendices</w:t>
      </w:r>
    </w:p>
    <w:p>
      <w:r>
        <w:rPr>
          <w:i/>
        </w:rPr>
        <w:t>The appendices preserve planning detail and broader material from the source documents without diluting the 2,500-word core proposal.</w:t>
      </w:r>
    </w:p>
    <w:p>
      <w:pPr>
        <w:pStyle w:val="Heading2"/>
        <w:keepNext/>
      </w:pPr>
      <w:r>
        <w:t>Appendix A. Detailed Work Plan and Milestones</w:t>
      </w:r>
    </w:p>
    <w:tbl>
      <w:tblPr>
        <w:tblStyle w:val="TableGrid"/>
        <w:tblW w:type="auto" w:w="0"/>
        <w:jc w:val="center"/>
        <w:tblLayout w:type="fixed"/>
        <w:tblLook w:firstColumn="1" w:firstRow="1" w:lastColumn="0" w:lastRow="0" w:noHBand="0" w:noVBand="1" w:val="04A0"/>
      </w:tblPr>
      <w:tblGrid>
        <w:gridCol w:w="1701"/>
        <w:gridCol w:w="1701"/>
        <w:gridCol w:w="4819"/>
        <w:gridCol w:w="2268"/>
      </w:tblGrid>
      <w:tr>
        <w:trPr>
          <w:tblHeader w:val="true"/>
        </w:trPr>
        <w:tc>
          <w:tcPr>
            <w:tcW w:type="dxa" w:w="2379"/>
            <w:vAlign w:val="center"/>
            <w:shd w:fill="D9EAF7"/>
          </w:tcPr>
          <w:p>
            <w:r>
              <w:rPr>
                <w:b/>
                <w:sz w:val="17"/>
              </w:rPr>
              <w:t>Period</w:t>
            </w:r>
          </w:p>
        </w:tc>
        <w:tc>
          <w:tcPr>
            <w:tcW w:type="dxa" w:w="2379"/>
            <w:vAlign w:val="center"/>
            <w:shd w:fill="D9EAF7"/>
          </w:tcPr>
          <w:p>
            <w:r>
              <w:rPr>
                <w:b/>
                <w:sz w:val="17"/>
              </w:rPr>
              <w:t>Phase</w:t>
            </w:r>
          </w:p>
        </w:tc>
        <w:tc>
          <w:tcPr>
            <w:tcW w:type="dxa" w:w="2379"/>
            <w:vAlign w:val="center"/>
            <w:shd w:fill="D9EAF7"/>
          </w:tcPr>
          <w:p>
            <w:r>
              <w:rPr>
                <w:b/>
                <w:sz w:val="17"/>
              </w:rPr>
              <w:t>Main activities</w:t>
            </w:r>
          </w:p>
        </w:tc>
        <w:tc>
          <w:tcPr>
            <w:tcW w:type="dxa" w:w="2379"/>
            <w:vAlign w:val="center"/>
            <w:shd w:fill="D9EAF7"/>
          </w:tcPr>
          <w:p>
            <w:r>
              <w:rPr>
                <w:b/>
                <w:sz w:val="17"/>
              </w:rPr>
              <w:t>Key progress point</w:t>
            </w:r>
          </w:p>
        </w:tc>
      </w:tr>
      <w:tr>
        <w:tc>
          <w:tcPr>
            <w:tcW w:type="dxa" w:w="1701"/>
            <w:vAlign w:val="top"/>
          </w:tcPr>
          <w:p>
            <w:pPr>
              <w:spacing w:after="20" w:line="240" w:lineRule="auto"/>
            </w:pPr>
            <w:r>
              <w:rPr>
                <w:sz w:val="17"/>
              </w:rPr>
              <w:t>Oct 2027-Mar 2028</w:t>
            </w:r>
          </w:p>
        </w:tc>
        <w:tc>
          <w:tcPr>
            <w:tcW w:type="dxa" w:w="1701"/>
            <w:vAlign w:val="top"/>
          </w:tcPr>
          <w:p>
            <w:pPr>
              <w:spacing w:after="20" w:line="240" w:lineRule="auto"/>
            </w:pPr>
            <w:r>
              <w:rPr>
                <w:sz w:val="17"/>
              </w:rPr>
              <w:t>Foundation</w:t>
            </w:r>
          </w:p>
        </w:tc>
        <w:tc>
          <w:tcPr>
            <w:tcW w:type="dxa" w:w="4819"/>
            <w:vAlign w:val="top"/>
          </w:tcPr>
          <w:p>
            <w:pPr>
              <w:spacing w:after="20" w:line="240" w:lineRule="auto"/>
            </w:pPr>
            <w:r>
              <w:rPr>
                <w:sz w:val="17"/>
              </w:rPr>
              <w:t>Literature review; theoretical model; taxonomy of MDB/sovereign instruments; data map; finance/real-options training; initial replication of cost-of-capital literature.</w:t>
            </w:r>
          </w:p>
        </w:tc>
        <w:tc>
          <w:tcPr>
            <w:tcW w:type="dxa" w:w="2268"/>
            <w:vAlign w:val="top"/>
          </w:tcPr>
          <w:p>
            <w:pPr>
              <w:spacing w:after="20" w:line="240" w:lineRule="auto"/>
            </w:pPr>
            <w:r>
              <w:rPr>
                <w:sz w:val="17"/>
              </w:rPr>
              <w:t>Conceptual framework; data dictionary; modelling protocol.</w:t>
            </w:r>
          </w:p>
        </w:tc>
      </w:tr>
      <w:tr>
        <w:tc>
          <w:tcPr>
            <w:tcW w:type="dxa" w:w="1701"/>
            <w:vAlign w:val="top"/>
          </w:tcPr>
          <w:p>
            <w:pPr>
              <w:spacing w:after="20" w:line="240" w:lineRule="auto"/>
            </w:pPr>
            <w:r>
              <w:rPr>
                <w:sz w:val="17"/>
              </w:rPr>
              <w:t>Apr-Sep 2028</w:t>
            </w:r>
          </w:p>
        </w:tc>
        <w:tc>
          <w:tcPr>
            <w:tcW w:type="dxa" w:w="1701"/>
            <w:vAlign w:val="top"/>
          </w:tcPr>
          <w:p>
            <w:pPr>
              <w:spacing w:after="20" w:line="240" w:lineRule="auto"/>
            </w:pPr>
            <w:r>
              <w:rPr>
                <w:sz w:val="17"/>
              </w:rPr>
              <w:t>Financial model</w:t>
            </w:r>
          </w:p>
        </w:tc>
        <w:tc>
          <w:tcPr>
            <w:tcW w:type="dxa" w:w="4819"/>
            <w:vAlign w:val="top"/>
          </w:tcPr>
          <w:p>
            <w:pPr>
              <w:spacing w:after="20" w:line="240" w:lineRule="auto"/>
            </w:pPr>
            <w:r>
              <w:rPr>
                <w:sz w:val="17"/>
              </w:rPr>
              <w:t>Build project-finance model; model PPAs/CfDs and guarantees; sensitivity/probabilistic analysis; pilot case; draft first chapter/paper.</w:t>
            </w:r>
          </w:p>
        </w:tc>
        <w:tc>
          <w:tcPr>
            <w:tcW w:type="dxa" w:w="2268"/>
            <w:vAlign w:val="top"/>
          </w:tcPr>
          <w:p>
            <w:pPr>
              <w:spacing w:after="20" w:line="240" w:lineRule="auto"/>
            </w:pPr>
            <w:r>
              <w:rPr>
                <w:sz w:val="17"/>
              </w:rPr>
              <w:t>Financial-model v1; pilot results; Transfer-ready paper/chapter.</w:t>
            </w:r>
          </w:p>
        </w:tc>
      </w:tr>
      <w:tr>
        <w:tc>
          <w:tcPr>
            <w:tcW w:type="dxa" w:w="1701"/>
            <w:vAlign w:val="top"/>
          </w:tcPr>
          <w:p>
            <w:pPr>
              <w:spacing w:after="20" w:line="240" w:lineRule="auto"/>
            </w:pPr>
            <w:r>
              <w:rPr>
                <w:sz w:val="17"/>
              </w:rPr>
              <w:t>Oct 2028-Mar 2029</w:t>
            </w:r>
          </w:p>
        </w:tc>
        <w:tc>
          <w:tcPr>
            <w:tcW w:type="dxa" w:w="1701"/>
            <w:vAlign w:val="top"/>
          </w:tcPr>
          <w:p>
            <w:pPr>
              <w:spacing w:after="20" w:line="240" w:lineRule="auto"/>
            </w:pPr>
            <w:r>
              <w:rPr>
                <w:sz w:val="17"/>
              </w:rPr>
              <w:t>Sovereign incentive model</w:t>
            </w:r>
          </w:p>
        </w:tc>
        <w:tc>
          <w:tcPr>
            <w:tcW w:type="dxa" w:w="4819"/>
            <w:vAlign w:val="top"/>
          </w:tcPr>
          <w:p>
            <w:pPr>
              <w:spacing w:after="20" w:line="240" w:lineRule="auto"/>
            </w:pPr>
            <w:r>
              <w:rPr>
                <w:sz w:val="17"/>
              </w:rPr>
              <w:t>Build political-fiscal feasibility module; integrate with power investment/emissions model; choose cases; prepare/obtain CUREC approval.</w:t>
            </w:r>
          </w:p>
        </w:tc>
        <w:tc>
          <w:tcPr>
            <w:tcW w:type="dxa" w:w="2268"/>
            <w:vAlign w:val="top"/>
          </w:tcPr>
          <w:p>
            <w:pPr>
              <w:spacing w:after="20" w:line="240" w:lineRule="auto"/>
            </w:pPr>
            <w:r>
              <w:rPr>
                <w:sz w:val="17"/>
              </w:rPr>
              <w:t>Integrated model v1; case protocol; ethics approval.</w:t>
            </w:r>
          </w:p>
        </w:tc>
      </w:tr>
      <w:tr>
        <w:tc>
          <w:tcPr>
            <w:tcW w:type="dxa" w:w="1701"/>
            <w:vAlign w:val="top"/>
          </w:tcPr>
          <w:p>
            <w:pPr>
              <w:spacing w:after="20" w:line="240" w:lineRule="auto"/>
            </w:pPr>
            <w:r>
              <w:rPr>
                <w:sz w:val="17"/>
              </w:rPr>
              <w:t>Apr-Sep 2029</w:t>
            </w:r>
          </w:p>
        </w:tc>
        <w:tc>
          <w:tcPr>
            <w:tcW w:type="dxa" w:w="1701"/>
            <w:vAlign w:val="top"/>
          </w:tcPr>
          <w:p>
            <w:pPr>
              <w:spacing w:after="20" w:line="240" w:lineRule="auto"/>
            </w:pPr>
            <w:r>
              <w:rPr>
                <w:sz w:val="17"/>
              </w:rPr>
              <w:t>Comparative evidence</w:t>
            </w:r>
          </w:p>
        </w:tc>
        <w:tc>
          <w:tcPr>
            <w:tcW w:type="dxa" w:w="4819"/>
            <w:vAlign w:val="top"/>
          </w:tcPr>
          <w:p>
            <w:pPr>
              <w:spacing w:after="20" w:line="240" w:lineRule="auto"/>
            </w:pPr>
            <w:r>
              <w:rPr>
                <w:sz w:val="17"/>
              </w:rPr>
              <w:t>Collect public case data; conduct expert interviews if approved; calibrate risk and policy parameters; compare policy-finance bundles.</w:t>
            </w:r>
          </w:p>
        </w:tc>
        <w:tc>
          <w:tcPr>
            <w:tcW w:type="dxa" w:w="2268"/>
            <w:vAlign w:val="top"/>
          </w:tcPr>
          <w:p>
            <w:pPr>
              <w:spacing w:after="20" w:line="240" w:lineRule="auto"/>
            </w:pPr>
            <w:r>
              <w:rPr>
                <w:sz w:val="17"/>
              </w:rPr>
              <w:t>Case-study dataset; calibrated model; second paper/chapter.</w:t>
            </w:r>
          </w:p>
        </w:tc>
      </w:tr>
      <w:tr>
        <w:tc>
          <w:tcPr>
            <w:tcW w:type="dxa" w:w="1701"/>
            <w:vAlign w:val="top"/>
          </w:tcPr>
          <w:p>
            <w:pPr>
              <w:spacing w:after="20" w:line="240" w:lineRule="auto"/>
            </w:pPr>
            <w:r>
              <w:rPr>
                <w:sz w:val="17"/>
              </w:rPr>
              <w:t>Oct 2029-Mar 2030</w:t>
            </w:r>
          </w:p>
        </w:tc>
        <w:tc>
          <w:tcPr>
            <w:tcW w:type="dxa" w:w="1701"/>
            <w:vAlign w:val="top"/>
          </w:tcPr>
          <w:p>
            <w:pPr>
              <w:spacing w:after="20" w:line="240" w:lineRule="auto"/>
            </w:pPr>
            <w:r>
              <w:rPr>
                <w:sz w:val="17"/>
              </w:rPr>
              <w:t>Dynamic incentives</w:t>
            </w:r>
          </w:p>
        </w:tc>
        <w:tc>
          <w:tcPr>
            <w:tcW w:type="dxa" w:w="4819"/>
            <w:vAlign w:val="top"/>
          </w:tcPr>
          <w:p>
            <w:pPr>
              <w:spacing w:after="20" w:line="240" w:lineRule="auto"/>
            </w:pPr>
            <w:r>
              <w:rPr>
                <w:sz w:val="17"/>
              </w:rPr>
              <w:t>Model act-now/conditional incentives, guarantee allowances and failure modes; robustness and distributional/fiscal stress tests.</w:t>
            </w:r>
          </w:p>
        </w:tc>
        <w:tc>
          <w:tcPr>
            <w:tcW w:type="dxa" w:w="2268"/>
            <w:vAlign w:val="top"/>
          </w:tcPr>
          <w:p>
            <w:pPr>
              <w:spacing w:after="20" w:line="240" w:lineRule="auto"/>
            </w:pPr>
            <w:r>
              <w:rPr>
                <w:sz w:val="17"/>
              </w:rPr>
              <w:t>Dynamic-incentive results; third paper/chapter; confirmation-ready synthesis.</w:t>
            </w:r>
          </w:p>
        </w:tc>
      </w:tr>
      <w:tr>
        <w:tc>
          <w:tcPr>
            <w:tcW w:type="dxa" w:w="1701"/>
            <w:vAlign w:val="top"/>
          </w:tcPr>
          <w:p>
            <w:pPr>
              <w:spacing w:after="20" w:line="240" w:lineRule="auto"/>
            </w:pPr>
            <w:r>
              <w:rPr>
                <w:sz w:val="17"/>
              </w:rPr>
              <w:t>Apr-Jul 2030</w:t>
            </w:r>
          </w:p>
        </w:tc>
        <w:tc>
          <w:tcPr>
            <w:tcW w:type="dxa" w:w="1701"/>
            <w:vAlign w:val="top"/>
          </w:tcPr>
          <w:p>
            <w:pPr>
              <w:spacing w:after="20" w:line="240" w:lineRule="auto"/>
            </w:pPr>
            <w:r>
              <w:rPr>
                <w:sz w:val="17"/>
              </w:rPr>
              <w:t>Thesis integration</w:t>
            </w:r>
          </w:p>
        </w:tc>
        <w:tc>
          <w:tcPr>
            <w:tcW w:type="dxa" w:w="4819"/>
            <w:vAlign w:val="top"/>
          </w:tcPr>
          <w:p>
            <w:pPr>
              <w:spacing w:after="20" w:line="240" w:lineRule="auto"/>
            </w:pPr>
            <w:r>
              <w:rPr>
                <w:sz w:val="17"/>
              </w:rPr>
              <w:t>Integrate chapters, write introduction/conclusion and institutional implications; circulate complete draft.</w:t>
            </w:r>
          </w:p>
        </w:tc>
        <w:tc>
          <w:tcPr>
            <w:tcW w:type="dxa" w:w="2268"/>
            <w:vAlign w:val="top"/>
          </w:tcPr>
          <w:p>
            <w:pPr>
              <w:spacing w:after="20" w:line="240" w:lineRule="auto"/>
            </w:pPr>
            <w:r>
              <w:rPr>
                <w:sz w:val="17"/>
              </w:rPr>
              <w:t>Full thesis draft by 31 July 2030.</w:t>
            </w:r>
          </w:p>
        </w:tc>
      </w:tr>
      <w:tr>
        <w:tc>
          <w:tcPr>
            <w:tcW w:type="dxa" w:w="1701"/>
            <w:vAlign w:val="top"/>
          </w:tcPr>
          <w:p>
            <w:pPr>
              <w:spacing w:after="20" w:line="240" w:lineRule="auto"/>
            </w:pPr>
            <w:r>
              <w:rPr>
                <w:sz w:val="17"/>
              </w:rPr>
              <w:t>Aug-Sep 2030</w:t>
            </w:r>
          </w:p>
        </w:tc>
        <w:tc>
          <w:tcPr>
            <w:tcW w:type="dxa" w:w="1701"/>
            <w:vAlign w:val="top"/>
          </w:tcPr>
          <w:p>
            <w:pPr>
              <w:spacing w:after="20" w:line="240" w:lineRule="auto"/>
            </w:pPr>
            <w:r>
              <w:rPr>
                <w:sz w:val="17"/>
              </w:rPr>
              <w:t>Revision and submission</w:t>
            </w:r>
          </w:p>
        </w:tc>
        <w:tc>
          <w:tcPr>
            <w:tcW w:type="dxa" w:w="4819"/>
            <w:vAlign w:val="top"/>
          </w:tcPr>
          <w:p>
            <w:pPr>
              <w:spacing w:after="20" w:line="240" w:lineRule="auto"/>
            </w:pPr>
            <w:r>
              <w:rPr>
                <w:sz w:val="17"/>
              </w:rPr>
              <w:t>Respond to supervisor comments; final checks; submit thesis.</w:t>
            </w:r>
          </w:p>
        </w:tc>
        <w:tc>
          <w:tcPr>
            <w:tcW w:type="dxa" w:w="2268"/>
            <w:vAlign w:val="top"/>
          </w:tcPr>
          <w:p>
            <w:pPr>
              <w:spacing w:after="20" w:line="240" w:lineRule="auto"/>
            </w:pPr>
            <w:r>
              <w:rPr>
                <w:sz w:val="17"/>
              </w:rPr>
              <w:t>Submission by 30 September 2030.</w:t>
            </w:r>
          </w:p>
        </w:tc>
      </w:tr>
      <w:tr>
        <w:tc>
          <w:tcPr>
            <w:tcW w:type="dxa" w:w="1701"/>
            <w:vAlign w:val="top"/>
          </w:tcPr>
          <w:p>
            <w:pPr>
              <w:spacing w:after="20" w:line="240" w:lineRule="auto"/>
            </w:pPr>
            <w:r>
              <w:rPr>
                <w:sz w:val="17"/>
              </w:rPr>
              <w:t>Oct 2030-Mar 2031</w:t>
            </w:r>
          </w:p>
        </w:tc>
        <w:tc>
          <w:tcPr>
            <w:tcW w:type="dxa" w:w="1701"/>
            <w:vAlign w:val="top"/>
          </w:tcPr>
          <w:p>
            <w:pPr>
              <w:spacing w:after="20" w:line="240" w:lineRule="auto"/>
            </w:pPr>
            <w:r>
              <w:rPr>
                <w:sz w:val="17"/>
              </w:rPr>
              <w:t>Examination</w:t>
            </w:r>
          </w:p>
        </w:tc>
        <w:tc>
          <w:tcPr>
            <w:tcW w:type="dxa" w:w="4819"/>
            <w:vAlign w:val="top"/>
          </w:tcPr>
          <w:p>
            <w:pPr>
              <w:spacing w:after="20" w:line="240" w:lineRule="auto"/>
            </w:pPr>
            <w:r>
              <w:rPr>
                <w:sz w:val="17"/>
              </w:rPr>
              <w:t>Viva preparation; examination; minor corrections if required.</w:t>
            </w:r>
          </w:p>
        </w:tc>
        <w:tc>
          <w:tcPr>
            <w:tcW w:type="dxa" w:w="2268"/>
            <w:vAlign w:val="top"/>
          </w:tcPr>
          <w:p>
            <w:pPr>
              <w:spacing w:after="20" w:line="240" w:lineRule="auto"/>
            </w:pPr>
            <w:r>
              <w:rPr>
                <w:sz w:val="17"/>
              </w:rPr>
              <w:t>Intended completion by 31 March 2031.</w:t>
            </w:r>
          </w:p>
        </w:tc>
      </w:tr>
    </w:tbl>
    <w:p>
      <w:pPr>
        <w:pStyle w:val="Heading2"/>
        <w:keepNext/>
      </w:pPr>
      <w:r>
        <w:t>Appendix B. Applicant Capability and Relevant Research Portfolio</w:t>
      </w:r>
    </w:p>
    <w:p>
      <w:pPr>
        <w:keepLines w:val="0"/>
      </w:pPr>
      <w:r>
        <w:t>The supplied planning documents contain a broader programme of work than can be credibly pursued inside one DPhil. The core thesis therefore concentrates on the link between sovereign incentives, financial de-risking, cost of capital and decarbonisation. The following existing capabilities and research strands are directly relevant and can supply methods, examples or publishable side-products without expanding the thesis question.</w:t>
      </w:r>
    </w:p>
    <w:p>
      <w:pPr>
        <w:keepLines w:val="0"/>
      </w:pPr>
      <w:r>
        <w:t>1. Climate-fiscal strategy and finance-ministry perspective. Existing work develops a fiscal long-term strategy connecting mitigation pathways to public/private investment, fiscal instruments, debt sustainability, guarantees, concessional finance and contingent liabilities. This provides the balance-sheet logic for the sovereign module.</w:t>
        <w:br/>
        <w:t>2. Climate finance intermediation for clean power. Existing concepts examine payment-chain credibility, SECI-style intermediation, payment guarantees and two-stage financing. These supply candidate transaction structures for the project-finance model and case selection.</w:t>
        <w:br/>
        <w:t>3. Sustainability-linked and results-linked lending. Existing work on how climate-linked lending can be standardised provides an operational bridge from climate performance to sovereign borrowing terms.</w:t>
        <w:br/>
        <w:t>4. Guarantee-based climate incentives. Existing work on a long-term climate allowance or notional carbon-stock value linked to MDB guarantee capacity will be retained as one experimental dynamic-incentive design rather than assumed to be the thesis's final solution.</w:t>
        <w:br/>
        <w:t>5. CPAT and power-sector modelling. Existing experience with CPAT, energy-demand and power-investment modules provides a platform for connecting financing assumptions to investment and emissions outcomes.</w:t>
        <w:br/>
        <w:t>6. Political economy and taxation. Previous work on feebates, carbon pricing and policy feasibility supplies national-policy comparators but these instruments are treated as the sovereign action being incentivised, not as the main object of the DPhil.</w:t>
      </w:r>
    </w:p>
    <w:p>
      <w:pPr>
        <w:pStyle w:val="Heading2"/>
        <w:keepNext/>
      </w:pPr>
      <w:r>
        <w:t>Appendix C. Extended Analytical Architecture</w:t>
      </w:r>
    </w:p>
    <w:p>
      <w:r>
        <w:t>The table below shows how the wider material in the source documents maps into the core thesis rather than creating separate research questions.</w:t>
      </w:r>
    </w:p>
    <w:tbl>
      <w:tblPr>
        <w:tblStyle w:val="TableGrid"/>
        <w:tblW w:type="auto" w:w="0"/>
        <w:jc w:val="center"/>
        <w:tblLayout w:type="fixed"/>
        <w:tblLook w:firstColumn="1" w:firstRow="1" w:lastColumn="0" w:lastRow="0" w:noHBand="0" w:noVBand="1" w:val="04A0"/>
      </w:tblPr>
      <w:tblGrid>
        <w:gridCol w:w="2268"/>
        <w:gridCol w:w="4535"/>
        <w:gridCol w:w="3685"/>
      </w:tblGrid>
      <w:tr>
        <w:trPr>
          <w:tblHeader w:val="true"/>
        </w:trPr>
        <w:tc>
          <w:tcPr>
            <w:tcW w:type="dxa" w:w="3173"/>
            <w:shd w:fill="D9EAF7"/>
          </w:tcPr>
          <w:p>
            <w:r>
              <w:rPr>
                <w:b/>
                <w:sz w:val="17"/>
              </w:rPr>
              <w:t>Layer</w:t>
            </w:r>
          </w:p>
        </w:tc>
        <w:tc>
          <w:tcPr>
            <w:tcW w:type="dxa" w:w="3173"/>
            <w:shd w:fill="D9EAF7"/>
          </w:tcPr>
          <w:p>
            <w:r>
              <w:rPr>
                <w:b/>
                <w:sz w:val="17"/>
              </w:rPr>
              <w:t>Candidate instruments / structures</w:t>
            </w:r>
          </w:p>
        </w:tc>
        <w:tc>
          <w:tcPr>
            <w:tcW w:type="dxa" w:w="3173"/>
            <w:shd w:fill="D9EAF7"/>
          </w:tcPr>
          <w:p>
            <w:r>
              <w:rPr>
                <w:b/>
                <w:sz w:val="17"/>
              </w:rPr>
              <w:t>Primary quantities to model</w:t>
            </w:r>
          </w:p>
        </w:tc>
      </w:tr>
      <w:tr>
        <w:tc>
          <w:tcPr>
            <w:tcW w:type="dxa" w:w="2268"/>
          </w:tcPr>
          <w:p>
            <w:pPr>
              <w:spacing w:after="20" w:line="240" w:lineRule="auto"/>
            </w:pPr>
            <w:r>
              <w:rPr>
                <w:sz w:val="17"/>
              </w:rPr>
              <w:t>National policy / bankability</w:t>
            </w:r>
          </w:p>
        </w:tc>
        <w:tc>
          <w:tcPr>
            <w:tcW w:type="dxa" w:w="4535"/>
          </w:tcPr>
          <w:p>
            <w:pPr>
              <w:spacing w:after="20" w:line="240" w:lineRule="auto"/>
            </w:pPr>
            <w:r>
              <w:rPr>
                <w:sz w:val="17"/>
              </w:rPr>
              <w:t>Renewable auctions; PPAs/CfDs; carbon pricing or feebates; public/grid investment; SOE reform</w:t>
            </w:r>
          </w:p>
        </w:tc>
        <w:tc>
          <w:tcPr>
            <w:tcW w:type="dxa" w:w="3685"/>
          </w:tcPr>
          <w:p>
            <w:pPr>
              <w:spacing w:after="20" w:line="240" w:lineRule="auto"/>
            </w:pPr>
            <w:r>
              <w:rPr>
                <w:sz w:val="17"/>
              </w:rPr>
              <w:t>Expected cash flows, project pipeline, fiscal exposure, political resistance</w:t>
            </w:r>
          </w:p>
        </w:tc>
      </w:tr>
      <w:tr>
        <w:tc>
          <w:tcPr>
            <w:tcW w:type="dxa" w:w="2268"/>
          </w:tcPr>
          <w:p>
            <w:pPr>
              <w:spacing w:after="20" w:line="240" w:lineRule="auto"/>
            </w:pPr>
            <w:r>
              <w:rPr>
                <w:sz w:val="17"/>
              </w:rPr>
              <w:t>MDB / international finance</w:t>
            </w:r>
          </w:p>
        </w:tc>
        <w:tc>
          <w:tcPr>
            <w:tcW w:type="dxa" w:w="4535"/>
          </w:tcPr>
          <w:p>
            <w:pPr>
              <w:spacing w:after="20" w:line="240" w:lineRule="auto"/>
            </w:pPr>
            <w:r>
              <w:rPr>
                <w:sz w:val="17"/>
              </w:rPr>
              <w:t>Payment guarantees; partial credit guarantees; credit enhancement; concessional lending; refinancing support; sustainability/results-linked terms</w:t>
            </w:r>
          </w:p>
        </w:tc>
        <w:tc>
          <w:tcPr>
            <w:tcW w:type="dxa" w:w="3685"/>
          </w:tcPr>
          <w:p>
            <w:pPr>
              <w:spacing w:after="20" w:line="240" w:lineRule="auto"/>
            </w:pPr>
            <w:r>
              <w:rPr>
                <w:sz w:val="17"/>
              </w:rPr>
              <w:t>WACC, risk allocation, expected loss, capital usage, sovereign incentive value</w:t>
            </w:r>
          </w:p>
        </w:tc>
      </w:tr>
      <w:tr>
        <w:tc>
          <w:tcPr>
            <w:tcW w:type="dxa" w:w="2268"/>
          </w:tcPr>
          <w:p>
            <w:pPr>
              <w:spacing w:after="20" w:line="240" w:lineRule="auto"/>
            </w:pPr>
            <w:r>
              <w:rPr>
                <w:sz w:val="17"/>
              </w:rPr>
              <w:t>Dynamic incentives</w:t>
            </w:r>
          </w:p>
        </w:tc>
        <w:tc>
          <w:tcPr>
            <w:tcW w:type="dxa" w:w="4535"/>
          </w:tcPr>
          <w:p>
            <w:pPr>
              <w:spacing w:after="20" w:line="240" w:lineRule="auto"/>
            </w:pPr>
            <w:r>
              <w:rPr>
                <w:sz w:val="17"/>
              </w:rPr>
              <w:t>Time-varying concessionality; performance-linked guarantee capacity; experimental climate allowance / carbon-stock credit</w:t>
            </w:r>
          </w:p>
        </w:tc>
        <w:tc>
          <w:tcPr>
            <w:tcW w:type="dxa" w:w="3685"/>
          </w:tcPr>
          <w:p>
            <w:pPr>
              <w:spacing w:after="20" w:line="240" w:lineRule="auto"/>
            </w:pPr>
            <w:r>
              <w:rPr>
                <w:sz w:val="17"/>
              </w:rPr>
              <w:t>Timing of action, credibility, persistence, moral hazard</w:t>
            </w:r>
          </w:p>
        </w:tc>
      </w:tr>
      <w:tr>
        <w:tc>
          <w:tcPr>
            <w:tcW w:type="dxa" w:w="2268"/>
          </w:tcPr>
          <w:p>
            <w:pPr>
              <w:spacing w:after="20" w:line="240" w:lineRule="auto"/>
            </w:pPr>
            <w:r>
              <w:rPr>
                <w:sz w:val="17"/>
              </w:rPr>
              <w:t>Outcome metrics</w:t>
            </w:r>
          </w:p>
        </w:tc>
        <w:tc>
          <w:tcPr>
            <w:tcW w:type="dxa" w:w="4535"/>
          </w:tcPr>
          <w:p>
            <w:pPr>
              <w:spacing w:after="20" w:line="240" w:lineRule="auto"/>
            </w:pPr>
            <w:r>
              <w:rPr>
                <w:sz w:val="17"/>
              </w:rPr>
              <w:t>Investment, emissions, financing cost, public/MDB expected cost, contingent liabilities, distributional/political burden</w:t>
            </w:r>
          </w:p>
        </w:tc>
        <w:tc>
          <w:tcPr>
            <w:tcW w:type="dxa" w:w="3685"/>
          </w:tcPr>
          <w:p>
            <w:pPr>
              <w:spacing w:after="20" w:line="240" w:lineRule="auto"/>
            </w:pPr>
            <w:r>
              <w:rPr>
                <w:sz w:val="17"/>
              </w:rPr>
              <w:t>Incremental mitigation per unit of expected public/MDB cost; policy-finance frontier</w:t>
            </w:r>
          </w:p>
        </w:tc>
      </w:tr>
    </w:tbl>
    <w:p>
      <w:pPr>
        <w:pStyle w:val="Heading2"/>
        <w:keepNext/>
      </w:pPr>
      <w:r>
        <w:t>Appendix D. Scope Reconciliation and Parked Research Strands</w:t>
      </w:r>
    </w:p>
    <w:p>
      <w:pPr>
        <w:keepLines w:val="0"/>
      </w:pPr>
      <w:r>
        <w:t>The source documents contain several alternative or partially contradictory formulations. They are retained here as a research reserve rather than blended into the core thesis.</w:t>
      </w:r>
    </w:p>
    <w:p>
      <w:pPr>
        <w:keepLines w:val="0"/>
      </w:pPr>
      <w:r>
        <w:t>Study format and timing. Earlier notes alternate between a full-time Oxford DPhil, a part-time doctorate and a 'PhD by publications', with proposed starts in 2025 or 2026. The main proposal now assumes a full-time October 2027 Oxford DPhil and a thesis submission in September 2030. Oxford's DPhil in Geography and the Environment is examined by thesis and viva; publication-quality chapters are therefore treated as a dissemination strategy, not a substitute assessment route. If a part-time route is later chosen, the research sequence can be stretched across the University's longer part-time timeframe without changing the intellectual architecture.</w:t>
      </w:r>
    </w:p>
    <w:p>
      <w:pPr>
        <w:keepLines w:val="0"/>
      </w:pPr>
      <w:r>
        <w:t>Alternative supervisors/collaborators. Earlier documents list Nadia Ameli, Michael Grubb, Aled and other possible collaborators. These names are not presented as agreed supervisors in the main proposal. Dr Gireesh Shrimali is presented as the proposed primary supervisor because of the user's stated agreement and the direct fit with transition-finance research. Complementary co-supervision can be determined with the School.</w:t>
      </w:r>
    </w:p>
    <w:p>
      <w:pPr>
        <w:keepLines w:val="0"/>
      </w:pPr>
      <w:r>
        <w:t>Parked research strands. The following ideas are substantively valuable but are not necessary to answer the core question: open-economy/consumption-based carbon pricing; systemic feebates; carbon liabilities and remediation; stock-flow-consistent modelling of green quantitative easing; macroeconomic consequences of central-bank purchases of green assets; green-sector total-factor-productivity modelling; an energy/imported-fuel foreign-exchange risk model; adaptation finance; broader land-use modelling; and a general climate-club architecture based on tax/trade measures. These can be developed separately or used only where they provide a robustness test.</w:t>
      </w:r>
    </w:p>
    <w:p>
      <w:pPr>
        <w:keepLines w:val="0"/>
      </w:pPr>
      <w:r>
        <w:t>Claims converted into hypotheses. Some planning notes describe de-risking as nearly 'free', 'inherently profitable' or capable of scaling to trillions. The proposal deliberately does not assume these conclusions. It will estimate expected losses, capital usage, refinancing effects, leverage and mitigation additionality to identify the conditions under which de-risking creates high social returns and those under which it merely transfers risk to the public balance sheet.</w:t>
      </w:r>
    </w:p>
    <w:p>
      <w:pPr>
        <w:pStyle w:val="Heading2"/>
        <w:keepNext/>
      </w:pPr>
      <w:r>
        <w:t>Appendix E. Ethics and CUREC Planning Checklist</w:t>
      </w:r>
    </w:p>
    <w:p>
      <w:pPr>
        <w:keepLines w:val="0"/>
      </w:pPr>
      <w:r>
        <w:t>Human-participant research is optional but useful for validating model assumptions. The project will begin from public documentary and quantitative evidence, preserving feasibility if interview access proves limited. If interviews proceed, the ethics application will address: voluntary informed consent; clear participant information; attribution/anonymity choices; the practical limits of anonymity for elite and expert respondents; data minimisation and secure storage; handling of audio/transcripts; conflicts of interest arising from the researcher's professional role; avoidance of coercive recruitment or dependent relationships; use of non-public institutional information; researcher and participant safety; official sensitivity in overseas contexts; local permissions where required; and procedures for adverse or unforeseen events. Remote interviewing will be preferred where it reduces unnecessary travel and safety risks. No fieldwork or interviews will begin before the relevant Oxford/CUREC approval.</w:t>
      </w:r>
    </w:p>
    <w:sectPr w:rsidR="00FC693F" w:rsidRPr="0006063C" w:rsidSect="00034616">
      <w:footerReference w:type="default" r:id="rId9"/>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4444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Sovereign Incentives for Decarbonisation: How Multilateral Development Banks Can Use Financial De-risking to Lower the Cost of Capital and Reward Climate Policy</dc:title>
  <dc:subject>DPhil research proposal - sovereign incentives, MDB financial derisking and decarbonisation</dc:subject>
  <dc:creator>Stephen Stretton</dc:creator>
  <cp:keywords>climate finance, MDB, derisking, cost of capital, sovereign incentives, decarbonisation</cp:keywords>
  <dc:description>generated by python-docx</dc:description>
  <cp:lastModifiedBy/>
  <cp:revision>1</cp:revision>
  <dcterms:created xsi:type="dcterms:W3CDTF">2013-12-23T23:15:00Z</dcterms:created>
  <dcterms:modified xsi:type="dcterms:W3CDTF">2013-12-23T23:15:00Z</dcterms:modified>
  <cp:category/>
</cp:coreProperties>
</file>