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FB2C" w14:textId="084BFF09" w:rsidR="495B756B" w:rsidRPr="00D8299C" w:rsidRDefault="495B756B" w:rsidP="4921E166">
      <w:pPr>
        <w:pStyle w:val="Title"/>
        <w:jc w:val="center"/>
        <w:rPr>
          <w:rFonts w:asciiTheme="minorHAnsi" w:eastAsia="Times New Roman" w:hAnsiTheme="minorHAnsi" w:cstheme="minorHAnsi"/>
          <w:b/>
          <w:bCs/>
          <w:color w:val="002060"/>
          <w:sz w:val="44"/>
          <w:szCs w:val="44"/>
        </w:rPr>
      </w:pPr>
      <w:r w:rsidRPr="00D8299C">
        <w:rPr>
          <w:rFonts w:asciiTheme="minorHAnsi" w:eastAsia="Times New Roman" w:hAnsiTheme="minorHAnsi" w:cstheme="minorHAnsi"/>
          <w:b/>
          <w:bCs/>
          <w:color w:val="002060"/>
          <w:sz w:val="44"/>
          <w:szCs w:val="44"/>
        </w:rPr>
        <w:t>Climate Fiscal Economics Summer School</w:t>
      </w:r>
    </w:p>
    <w:p w14:paraId="72ECF617" w14:textId="6A84A6C2" w:rsidR="4921E166" w:rsidRPr="00D8299C" w:rsidRDefault="4921E166" w:rsidP="4921E166">
      <w:pPr>
        <w:jc w:val="both"/>
        <w:rPr>
          <w:rFonts w:eastAsia="Times New Roman" w:cstheme="minorHAnsi"/>
          <w:color w:val="000000" w:themeColor="text1"/>
        </w:rPr>
      </w:pPr>
    </w:p>
    <w:p w14:paraId="705577EA" w14:textId="4AC632D0" w:rsidR="7CBE123C" w:rsidRPr="00D8299C" w:rsidRDefault="7CBE123C" w:rsidP="00741232">
      <w:pPr>
        <w:spacing w:after="0"/>
        <w:jc w:val="both"/>
        <w:rPr>
          <w:rFonts w:eastAsia="Times New Roman" w:cstheme="minorHAnsi"/>
          <w:color w:val="000000" w:themeColor="text1"/>
        </w:rPr>
      </w:pPr>
      <w:r w:rsidRPr="00D8299C">
        <w:rPr>
          <w:rFonts w:eastAsia="Times New Roman" w:cstheme="minorHAnsi"/>
          <w:color w:val="000000" w:themeColor="text1"/>
        </w:rPr>
        <w:t>The dual crises of climate change and fiscal instability demand a bold and transformative global strategy. With the need for immediate climate action, governments—particularly in developing economies—are grappling with record emissions and unsustainable debt burdens. These regions bear the greatest challenges in the climate transition, making it essential for the next generation of fiscal policymakers to be equipped with the expertise to lead.</w:t>
      </w:r>
    </w:p>
    <w:p w14:paraId="2AC7E3DA" w14:textId="36DF4634" w:rsidR="7CBE123C" w:rsidRPr="00D8299C" w:rsidRDefault="7CBE123C" w:rsidP="00741232">
      <w:pPr>
        <w:spacing w:after="0"/>
        <w:jc w:val="both"/>
        <w:rPr>
          <w:rFonts w:eastAsia="Times New Roman" w:cstheme="minorHAnsi"/>
          <w:color w:val="000000" w:themeColor="text1"/>
        </w:rPr>
      </w:pPr>
      <w:r w:rsidRPr="00D8299C">
        <w:rPr>
          <w:rFonts w:eastAsia="Times New Roman" w:cstheme="minorHAnsi"/>
          <w:color w:val="000000" w:themeColor="text1"/>
        </w:rPr>
        <w:t>This course offers a unique opportunity for students, especially those from middle-income countries like Ukraine, to gain cutting-edge insights at the critical intersection of climate and fiscal policy. As the green transition reshapes the fiscal, financial, and energy security landscapes, participants will acquire the skills and knowledge necessary to address pressing climate-related policy challenges.</w:t>
      </w:r>
    </w:p>
    <w:p w14:paraId="7D911EAB" w14:textId="53A4442F" w:rsidR="7CBE123C" w:rsidRPr="00D8299C" w:rsidRDefault="7CBE123C" w:rsidP="00741232">
      <w:pPr>
        <w:spacing w:after="0"/>
        <w:jc w:val="both"/>
        <w:rPr>
          <w:rFonts w:eastAsia="Times New Roman" w:cstheme="minorHAnsi"/>
          <w:color w:val="000000" w:themeColor="text1"/>
        </w:rPr>
      </w:pPr>
      <w:r w:rsidRPr="00D8299C">
        <w:rPr>
          <w:rFonts w:eastAsia="Times New Roman" w:cstheme="minorHAnsi"/>
          <w:color w:val="000000" w:themeColor="text1"/>
        </w:rPr>
        <w:t>Designed to focus on climate economics from a fiscal perspective, the course emphasizes practical, real-world applications—ranging from global mitigation strategies to the specific economic realities of the energy transition in middle-income countries. By the end of the program, participants will be empowered to make immediate, meaningful contributions to the green transition, ensuring they are prepared to navigate and lead in the evolving climate policy landscape.</w:t>
      </w:r>
    </w:p>
    <w:p w14:paraId="796F7157" w14:textId="06EEAF77" w:rsidR="7CBE123C" w:rsidRPr="00D8299C" w:rsidRDefault="7CBE123C" w:rsidP="00741232">
      <w:pPr>
        <w:spacing w:after="0"/>
        <w:jc w:val="both"/>
        <w:rPr>
          <w:rFonts w:eastAsia="Times New Roman" w:cstheme="minorHAnsi"/>
          <w:color w:val="000000" w:themeColor="text1"/>
        </w:rPr>
      </w:pPr>
      <w:r w:rsidRPr="00D8299C">
        <w:rPr>
          <w:rFonts w:eastAsia="Times New Roman" w:cstheme="minorHAnsi"/>
          <w:b/>
          <w:bCs/>
          <w:color w:val="000000" w:themeColor="text1"/>
        </w:rPr>
        <w:t>Key Objectives:</w:t>
      </w:r>
    </w:p>
    <w:p w14:paraId="44C6575C" w14:textId="03A92A00" w:rsidR="7CBE123C" w:rsidRPr="00D8299C" w:rsidRDefault="7CBE123C" w:rsidP="00741232">
      <w:pPr>
        <w:pStyle w:val="ListParagraph"/>
        <w:numPr>
          <w:ilvl w:val="0"/>
          <w:numId w:val="1"/>
        </w:numPr>
        <w:spacing w:after="0"/>
        <w:jc w:val="both"/>
        <w:rPr>
          <w:rFonts w:eastAsia="Times New Roman" w:cstheme="minorHAnsi"/>
          <w:color w:val="000000" w:themeColor="text1"/>
        </w:rPr>
      </w:pPr>
      <w:r w:rsidRPr="00D8299C">
        <w:rPr>
          <w:rFonts w:eastAsia="Times New Roman" w:cstheme="minorHAnsi"/>
          <w:b/>
          <w:bCs/>
          <w:color w:val="000000" w:themeColor="text1"/>
        </w:rPr>
        <w:t>Expertise:</w:t>
      </w:r>
      <w:r w:rsidRPr="00D8299C">
        <w:rPr>
          <w:rFonts w:eastAsia="Times New Roman" w:cstheme="minorHAnsi"/>
          <w:color w:val="000000" w:themeColor="text1"/>
        </w:rPr>
        <w:t xml:space="preserve"> Equip students with a comprehensive understanding of the fiscal implications of climate change and the economic instruments—such as carbon pricing, green bonds, and sustainability-linked instruments—needed to drive climate action.</w:t>
      </w:r>
    </w:p>
    <w:p w14:paraId="712535D8" w14:textId="1574052B" w:rsidR="7CBE123C" w:rsidRPr="00D8299C" w:rsidRDefault="7CBE123C" w:rsidP="00741232">
      <w:pPr>
        <w:pStyle w:val="ListParagraph"/>
        <w:numPr>
          <w:ilvl w:val="0"/>
          <w:numId w:val="1"/>
        </w:numPr>
        <w:spacing w:after="0"/>
        <w:jc w:val="both"/>
        <w:rPr>
          <w:rFonts w:eastAsia="Times New Roman" w:cstheme="minorHAnsi"/>
          <w:color w:val="000000" w:themeColor="text1"/>
        </w:rPr>
      </w:pPr>
      <w:r w:rsidRPr="00D8299C">
        <w:rPr>
          <w:rFonts w:eastAsia="Times New Roman" w:cstheme="minorHAnsi"/>
          <w:b/>
          <w:bCs/>
          <w:color w:val="000000" w:themeColor="text1"/>
        </w:rPr>
        <w:t>Career Advancement:</w:t>
      </w:r>
      <w:r w:rsidRPr="00D8299C">
        <w:rPr>
          <w:rFonts w:eastAsia="Times New Roman" w:cstheme="minorHAnsi"/>
          <w:color w:val="000000" w:themeColor="text1"/>
        </w:rPr>
        <w:t xml:space="preserve"> Prepare participants for career-defining internships and short-term consultancy (STC) roles at prestigious institutions like the World Bank, providing exclusive networking opportunities with industry experts and practitioners.</w:t>
      </w:r>
    </w:p>
    <w:p w14:paraId="1BB607AC" w14:textId="33809ABE" w:rsidR="7CBE123C" w:rsidRDefault="7CBE123C" w:rsidP="00741232">
      <w:pPr>
        <w:pStyle w:val="ListParagraph"/>
        <w:numPr>
          <w:ilvl w:val="0"/>
          <w:numId w:val="1"/>
        </w:numPr>
        <w:spacing w:after="0"/>
        <w:jc w:val="both"/>
        <w:rPr>
          <w:rFonts w:eastAsia="Times New Roman" w:cstheme="minorHAnsi"/>
          <w:color w:val="000000" w:themeColor="text1"/>
        </w:rPr>
      </w:pPr>
      <w:r w:rsidRPr="00D8299C">
        <w:rPr>
          <w:rFonts w:eastAsia="Times New Roman" w:cstheme="minorHAnsi"/>
          <w:b/>
          <w:bCs/>
          <w:color w:val="000000" w:themeColor="text1"/>
        </w:rPr>
        <w:t>Hands-On Learning:</w:t>
      </w:r>
      <w:r w:rsidRPr="00D8299C">
        <w:rPr>
          <w:rFonts w:eastAsia="Times New Roman" w:cstheme="minorHAnsi"/>
          <w:color w:val="000000" w:themeColor="text1"/>
        </w:rPr>
        <w:t xml:space="preserve"> Provide practical experience through real-world case studies, exercises, and the use of advanced policy tools (e.g., CPAT), empowering students to design innovative, actionable policy solutions.</w:t>
      </w:r>
    </w:p>
    <w:p w14:paraId="29539BAC" w14:textId="0787EF07" w:rsidR="00741232" w:rsidRPr="00D8299C" w:rsidRDefault="00741232" w:rsidP="00741232">
      <w:pPr>
        <w:pStyle w:val="ListParagraph"/>
        <w:numPr>
          <w:ilvl w:val="0"/>
          <w:numId w:val="1"/>
        </w:numPr>
        <w:spacing w:after="0"/>
        <w:jc w:val="both"/>
        <w:rPr>
          <w:rFonts w:eastAsia="Times New Roman" w:cstheme="minorHAnsi"/>
          <w:color w:val="000000" w:themeColor="text1"/>
        </w:rPr>
      </w:pPr>
      <w:r w:rsidRPr="00741232">
        <w:rPr>
          <w:rFonts w:eastAsia="Times New Roman" w:cstheme="minorHAnsi"/>
          <w:b/>
          <w:bCs/>
        </w:rPr>
        <w:t>Innovation and Research:</w:t>
      </w:r>
      <w:r w:rsidRPr="00741232">
        <w:rPr>
          <w:rFonts w:eastAsia="Times New Roman" w:cstheme="minorHAnsi"/>
        </w:rPr>
        <w:t xml:space="preserve"> Opportunities for participants to develop a mini-dissertation or briefing paper on innovative policy ideas, either suggested by the organizers or proposed by the participants.</w:t>
      </w:r>
    </w:p>
    <w:p w14:paraId="0192DA81" w14:textId="24135771" w:rsidR="7CBE123C" w:rsidRPr="00D8299C" w:rsidRDefault="7CBE123C" w:rsidP="00741232">
      <w:pPr>
        <w:pStyle w:val="ListParagraph"/>
        <w:numPr>
          <w:ilvl w:val="0"/>
          <w:numId w:val="1"/>
        </w:numPr>
        <w:spacing w:after="0"/>
        <w:jc w:val="both"/>
        <w:rPr>
          <w:rFonts w:eastAsia="Times New Roman" w:cstheme="minorHAnsi"/>
          <w:color w:val="000000" w:themeColor="text1"/>
        </w:rPr>
      </w:pPr>
      <w:r w:rsidRPr="00D8299C">
        <w:rPr>
          <w:rFonts w:eastAsia="Times New Roman" w:cstheme="minorHAnsi"/>
          <w:b/>
          <w:bCs/>
          <w:color w:val="000000" w:themeColor="text1"/>
        </w:rPr>
        <w:t>Global Impact:</w:t>
      </w:r>
      <w:r w:rsidRPr="00D8299C">
        <w:rPr>
          <w:rFonts w:eastAsia="Times New Roman" w:cstheme="minorHAnsi"/>
          <w:color w:val="000000" w:themeColor="text1"/>
        </w:rPr>
        <w:t xml:space="preserve"> Students will emerge ready to contribute to national and international efforts to meet the Paris Agreement targets, driving fiscal and environmental reforms in a way that ensures long-term economic stability.</w:t>
      </w:r>
    </w:p>
    <w:p w14:paraId="0C885110" w14:textId="523679C3" w:rsidR="7CBE123C" w:rsidRPr="00D8299C" w:rsidRDefault="7CBE123C" w:rsidP="00741232">
      <w:pPr>
        <w:spacing w:before="240" w:after="0"/>
        <w:rPr>
          <w:rFonts w:eastAsia="Times New Roman" w:cstheme="minorHAnsi"/>
        </w:rPr>
      </w:pPr>
      <w:r w:rsidRPr="00D8299C">
        <w:rPr>
          <w:rFonts w:eastAsia="Times New Roman" w:cstheme="minorHAnsi"/>
          <w:b/>
          <w:bCs/>
        </w:rPr>
        <w:t>Duration:</w:t>
      </w:r>
      <w:r w:rsidRPr="00D8299C">
        <w:rPr>
          <w:rFonts w:eastAsia="Times New Roman" w:cstheme="minorHAnsi"/>
        </w:rPr>
        <w:t xml:space="preserve"> One week (4 days of lectures and classes; 1 day of presentations)</w:t>
      </w:r>
    </w:p>
    <w:p w14:paraId="033986E7" w14:textId="77777777" w:rsidR="00C45B04" w:rsidRPr="00D8299C" w:rsidRDefault="00C45B04">
      <w:pPr>
        <w:spacing w:line="259" w:lineRule="auto"/>
        <w:rPr>
          <w:rFonts w:eastAsia="Times New Roman" w:cstheme="minorHAnsi"/>
        </w:rPr>
      </w:pPr>
      <w:r w:rsidRPr="00D8299C">
        <w:rPr>
          <w:rFonts w:eastAsia="Times New Roman" w:cstheme="minorHAnsi"/>
        </w:rPr>
        <w:br w:type="page"/>
      </w:r>
    </w:p>
    <w:p w14:paraId="26FDAFFC" w14:textId="7F76A1D1" w:rsidR="00C45B04" w:rsidRPr="00D8299C" w:rsidRDefault="00C45B04" w:rsidP="00BE4156">
      <w:pPr>
        <w:pStyle w:val="Title"/>
        <w:spacing w:line="480" w:lineRule="auto"/>
        <w:jc w:val="center"/>
        <w:rPr>
          <w:rFonts w:asciiTheme="minorHAnsi" w:eastAsia="Garamond" w:hAnsiTheme="minorHAnsi" w:cstheme="minorHAnsi"/>
          <w:b/>
          <w:bCs/>
          <w:color w:val="0F4761"/>
          <w:lang w:val="en-US"/>
        </w:rPr>
      </w:pPr>
      <w:r w:rsidRPr="00D8299C">
        <w:rPr>
          <w:rFonts w:asciiTheme="minorHAnsi" w:eastAsia="Garamond" w:hAnsiTheme="minorHAnsi" w:cstheme="minorHAnsi"/>
          <w:color w:val="2F5496" w:themeColor="accent1" w:themeShade="BF"/>
          <w:lang w:val="en-US"/>
        </w:rPr>
        <w:lastRenderedPageBreak/>
        <w:t xml:space="preserve">Reading List </w:t>
      </w:r>
    </w:p>
    <w:p w14:paraId="3EDCAB0A" w14:textId="77777777" w:rsidR="00BE4156" w:rsidRPr="00D8299C" w:rsidRDefault="00BE4156" w:rsidP="00BE4156">
      <w:pPr>
        <w:pStyle w:val="Heading3"/>
        <w:spacing w:before="281" w:after="281"/>
        <w:rPr>
          <w:rFonts w:asciiTheme="minorHAnsi" w:eastAsia="Times New Roman" w:hAnsiTheme="minorHAnsi" w:cstheme="minorHAnsi"/>
          <w:b/>
          <w:bCs/>
          <w:sz w:val="32"/>
          <w:szCs w:val="32"/>
        </w:rPr>
      </w:pPr>
      <w:bookmarkStart w:id="0" w:name="_Toc363567"/>
      <w:bookmarkStart w:id="1" w:name="_Toc1975933125"/>
      <w:bookmarkStart w:id="2" w:name="_Toc880844415"/>
      <w:bookmarkStart w:id="3" w:name="_Toc1596719367"/>
      <w:bookmarkStart w:id="4" w:name="_Toc181734659"/>
      <w:r w:rsidRPr="00D8299C">
        <w:rPr>
          <w:rFonts w:asciiTheme="minorHAnsi" w:eastAsia="Times New Roman" w:hAnsiTheme="minorHAnsi" w:cstheme="minorHAnsi"/>
          <w:b/>
          <w:bCs/>
          <w:sz w:val="32"/>
          <w:szCs w:val="32"/>
        </w:rPr>
        <w:t>Modules</w:t>
      </w:r>
    </w:p>
    <w:p w14:paraId="329A8091" w14:textId="77777777" w:rsidR="00BE4156" w:rsidRPr="00D8299C" w:rsidRDefault="00BE4156" w:rsidP="00BE4156">
      <w:pPr>
        <w:pStyle w:val="Heading4"/>
        <w:spacing w:before="319" w:after="319"/>
        <w:rPr>
          <w:rFonts w:asciiTheme="minorHAnsi" w:eastAsia="Times New Roman" w:hAnsiTheme="minorHAnsi" w:cstheme="minorHAnsi"/>
          <w:b/>
          <w:bCs/>
          <w:i w:val="0"/>
          <w:iCs w:val="0"/>
          <w:sz w:val="28"/>
          <w:szCs w:val="28"/>
        </w:rPr>
      </w:pPr>
      <w:r w:rsidRPr="00D8299C">
        <w:rPr>
          <w:rFonts w:asciiTheme="minorHAnsi" w:eastAsia="Times New Roman" w:hAnsiTheme="minorHAnsi" w:cstheme="minorHAnsi"/>
          <w:b/>
          <w:bCs/>
          <w:i w:val="0"/>
          <w:iCs w:val="0"/>
          <w:sz w:val="28"/>
          <w:szCs w:val="28"/>
        </w:rPr>
        <w:t>Module A: Introduction to Climate Change</w:t>
      </w:r>
    </w:p>
    <w:p w14:paraId="6C42FDA9"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Understanding Climate Change: Key Concepts</w:t>
      </w:r>
    </w:p>
    <w:p w14:paraId="610A2511"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Mitigation and Adaptation: Definitions and Importance</w:t>
      </w:r>
    </w:p>
    <w:p w14:paraId="5D3CF3F0"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Stock-Flow Dynamics: The Importance of Net Zero</w:t>
      </w:r>
    </w:p>
    <w:p w14:paraId="06671436"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Emissions Reductions Required for the Paris Agreement</w:t>
      </w:r>
    </w:p>
    <w:p w14:paraId="3B7EFCD0"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Major Emission Sectors</w:t>
      </w:r>
    </w:p>
    <w:p w14:paraId="11B57CF3" w14:textId="77777777" w:rsidR="00BE4156" w:rsidRPr="00D8299C" w:rsidRDefault="00BE4156" w:rsidP="00BE4156">
      <w:pPr>
        <w:spacing w:after="0"/>
        <w:rPr>
          <w:rFonts w:eastAsia="Times New Roman" w:cstheme="minorHAnsi"/>
        </w:rPr>
      </w:pPr>
    </w:p>
    <w:p w14:paraId="7A873164" w14:textId="77777777" w:rsidR="00BE4156" w:rsidRPr="00D8299C" w:rsidRDefault="00BE4156" w:rsidP="00BE4156">
      <w:pPr>
        <w:pStyle w:val="Heading4"/>
        <w:spacing w:before="319" w:after="319"/>
        <w:rPr>
          <w:rFonts w:asciiTheme="minorHAnsi" w:eastAsia="Times New Roman" w:hAnsiTheme="minorHAnsi" w:cstheme="minorHAnsi"/>
          <w:b/>
          <w:bCs/>
          <w:i w:val="0"/>
          <w:iCs w:val="0"/>
          <w:sz w:val="28"/>
          <w:szCs w:val="28"/>
        </w:rPr>
      </w:pPr>
      <w:r w:rsidRPr="00D8299C">
        <w:rPr>
          <w:rFonts w:asciiTheme="minorHAnsi" w:eastAsia="Times New Roman" w:hAnsiTheme="minorHAnsi" w:cstheme="minorHAnsi"/>
          <w:b/>
          <w:bCs/>
          <w:i w:val="0"/>
          <w:iCs w:val="0"/>
          <w:sz w:val="28"/>
          <w:szCs w:val="28"/>
        </w:rPr>
        <w:t>Module B: Climate Change Risks</w:t>
      </w:r>
    </w:p>
    <w:p w14:paraId="2F7ED598" w14:textId="77777777" w:rsidR="00BE4156" w:rsidRPr="00D8299C" w:rsidRDefault="00BE4156" w:rsidP="00BE4156">
      <w:pPr>
        <w:pStyle w:val="ListParagraph"/>
        <w:numPr>
          <w:ilvl w:val="0"/>
          <w:numId w:val="2"/>
        </w:numPr>
        <w:spacing w:before="240" w:after="240"/>
        <w:rPr>
          <w:rFonts w:eastAsia="Times New Roman" w:cstheme="minorHAnsi"/>
        </w:rPr>
      </w:pPr>
      <w:r w:rsidRPr="00D8299C">
        <w:rPr>
          <w:rFonts w:eastAsia="Times New Roman" w:cstheme="minorHAnsi"/>
        </w:rPr>
        <w:t xml:space="preserve">Physical and Fiscal Risks from Climate Change </w:t>
      </w:r>
    </w:p>
    <w:p w14:paraId="2FD50342" w14:textId="77777777" w:rsidR="00BE4156" w:rsidRPr="00D8299C" w:rsidRDefault="00BE4156" w:rsidP="00BE4156">
      <w:pPr>
        <w:pStyle w:val="ListParagraph"/>
        <w:numPr>
          <w:ilvl w:val="0"/>
          <w:numId w:val="2"/>
        </w:numPr>
        <w:spacing w:before="240" w:after="240"/>
        <w:rPr>
          <w:rFonts w:eastAsia="Times New Roman" w:cstheme="minorHAnsi"/>
        </w:rPr>
      </w:pPr>
      <w:r w:rsidRPr="00D8299C">
        <w:rPr>
          <w:rFonts w:eastAsia="Times New Roman" w:cstheme="minorHAnsi"/>
        </w:rPr>
        <w:t>Managing Risk: Climate Change Fiscal Institutions</w:t>
      </w:r>
    </w:p>
    <w:p w14:paraId="19EAC90E" w14:textId="77777777" w:rsidR="00BE4156" w:rsidRPr="00D8299C" w:rsidRDefault="00BE4156" w:rsidP="00BE4156">
      <w:pPr>
        <w:pStyle w:val="Heading4"/>
        <w:spacing w:before="319" w:after="319"/>
        <w:rPr>
          <w:rFonts w:asciiTheme="minorHAnsi" w:eastAsia="Times New Roman" w:hAnsiTheme="minorHAnsi" w:cstheme="minorHAnsi"/>
          <w:b/>
          <w:bCs/>
          <w:i w:val="0"/>
          <w:iCs w:val="0"/>
          <w:sz w:val="28"/>
          <w:szCs w:val="28"/>
        </w:rPr>
      </w:pPr>
      <w:r w:rsidRPr="00D8299C">
        <w:rPr>
          <w:rFonts w:asciiTheme="minorHAnsi" w:eastAsia="Times New Roman" w:hAnsiTheme="minorHAnsi" w:cstheme="minorHAnsi"/>
          <w:b/>
          <w:bCs/>
          <w:i w:val="0"/>
          <w:iCs w:val="0"/>
          <w:sz w:val="28"/>
          <w:szCs w:val="28"/>
        </w:rPr>
        <w:t xml:space="preserve">Module C: Net Zero Roadmap and Investment </w:t>
      </w:r>
    </w:p>
    <w:p w14:paraId="5F2FDBE6" w14:textId="77777777" w:rsidR="00BE4156" w:rsidRPr="00D8299C" w:rsidRDefault="00BE4156" w:rsidP="00BE4156">
      <w:pPr>
        <w:pStyle w:val="ListParagraph"/>
        <w:numPr>
          <w:ilvl w:val="0"/>
          <w:numId w:val="3"/>
        </w:numPr>
        <w:spacing w:before="319" w:after="319"/>
        <w:rPr>
          <w:rFonts w:eastAsia="Times New Roman" w:cstheme="minorHAnsi"/>
        </w:rPr>
      </w:pPr>
      <w:r w:rsidRPr="00D8299C">
        <w:rPr>
          <w:rFonts w:eastAsia="Times New Roman" w:cstheme="minorHAnsi"/>
        </w:rPr>
        <w:t>Net Zero Roadmaps</w:t>
      </w:r>
    </w:p>
    <w:p w14:paraId="4A140123" w14:textId="77777777" w:rsidR="00BE4156" w:rsidRPr="00D8299C" w:rsidRDefault="00BE4156" w:rsidP="00BE4156">
      <w:pPr>
        <w:pStyle w:val="ListParagraph"/>
        <w:numPr>
          <w:ilvl w:val="0"/>
          <w:numId w:val="3"/>
        </w:numPr>
        <w:spacing w:before="319" w:after="319"/>
        <w:rPr>
          <w:rFonts w:eastAsia="Times New Roman" w:cstheme="minorHAnsi"/>
        </w:rPr>
      </w:pPr>
      <w:r w:rsidRPr="00D8299C">
        <w:rPr>
          <w:rFonts w:eastAsia="Times New Roman" w:cstheme="minorHAnsi"/>
        </w:rPr>
        <w:t xml:space="preserve">Investment </w:t>
      </w:r>
    </w:p>
    <w:p w14:paraId="7C7C7BD8" w14:textId="77777777" w:rsidR="00BE4156" w:rsidRPr="00D8299C" w:rsidRDefault="00BE4156" w:rsidP="00BE4156">
      <w:pPr>
        <w:pStyle w:val="ListParagraph"/>
        <w:numPr>
          <w:ilvl w:val="1"/>
          <w:numId w:val="3"/>
        </w:numPr>
        <w:spacing w:before="319" w:after="319"/>
        <w:rPr>
          <w:rFonts w:eastAsia="Times New Roman" w:cstheme="minorHAnsi"/>
        </w:rPr>
      </w:pPr>
      <w:r w:rsidRPr="00D8299C">
        <w:rPr>
          <w:rFonts w:eastAsia="Times New Roman" w:cstheme="minorHAnsi"/>
        </w:rPr>
        <w:t>Derisking</w:t>
      </w:r>
    </w:p>
    <w:p w14:paraId="4EA80F65" w14:textId="77777777" w:rsidR="00BE4156" w:rsidRPr="00D8299C" w:rsidRDefault="00BE4156" w:rsidP="00BE4156">
      <w:pPr>
        <w:pStyle w:val="ListParagraph"/>
        <w:numPr>
          <w:ilvl w:val="1"/>
          <w:numId w:val="3"/>
        </w:numPr>
        <w:spacing w:before="319" w:after="319"/>
        <w:rPr>
          <w:rFonts w:eastAsia="Times New Roman" w:cstheme="minorHAnsi"/>
        </w:rPr>
      </w:pPr>
      <w:r w:rsidRPr="00D8299C">
        <w:rPr>
          <w:rFonts w:eastAsia="Times New Roman" w:cstheme="minorHAnsi"/>
        </w:rPr>
        <w:t>Financing</w:t>
      </w:r>
    </w:p>
    <w:p w14:paraId="20636E55" w14:textId="77777777" w:rsidR="00BE4156" w:rsidRPr="00D8299C" w:rsidRDefault="00BE4156" w:rsidP="00BE4156">
      <w:pPr>
        <w:pStyle w:val="Heading1"/>
        <w:rPr>
          <w:rFonts w:asciiTheme="minorHAnsi" w:eastAsia="Times New Roman" w:hAnsiTheme="minorHAnsi" w:cstheme="minorHAnsi"/>
          <w:b/>
          <w:bCs/>
          <w:sz w:val="28"/>
          <w:szCs w:val="28"/>
        </w:rPr>
      </w:pPr>
      <w:r w:rsidRPr="00D8299C">
        <w:rPr>
          <w:rFonts w:asciiTheme="minorHAnsi" w:eastAsia="Times New Roman" w:hAnsiTheme="minorHAnsi" w:cstheme="minorHAnsi"/>
          <w:b/>
          <w:bCs/>
          <w:sz w:val="28"/>
          <w:szCs w:val="28"/>
        </w:rPr>
        <w:t>Module D: Framework for Robust Climate Policy</w:t>
      </w:r>
    </w:p>
    <w:p w14:paraId="218C8826" w14:textId="77777777" w:rsidR="00BE4156" w:rsidRPr="00D8299C" w:rsidRDefault="00BE4156" w:rsidP="00BE4156">
      <w:pPr>
        <w:rPr>
          <w:rFonts w:eastAsia="Times New Roman" w:cstheme="minorHAnsi"/>
        </w:rPr>
      </w:pPr>
    </w:p>
    <w:p w14:paraId="274FE868"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Technological and Behavioural Transformations for Emissions Reduction</w:t>
      </w:r>
    </w:p>
    <w:p w14:paraId="3F93A603"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Political Economy of Climate Transition: National and International Coordination</w:t>
      </w:r>
    </w:p>
    <w:p w14:paraId="1E549ED4"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The Role of Time in Climate Policy Implementation</w:t>
      </w:r>
    </w:p>
    <w:p w14:paraId="2F5DE769"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Ensuring Robustness in Climate Policies</w:t>
      </w:r>
    </w:p>
    <w:p w14:paraId="40836A0E"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Back-Up Strategies at National and International Levels</w:t>
      </w:r>
    </w:p>
    <w:p w14:paraId="0C887CCC"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Perspectives on Carbon Pricing, Clean Energy, and Global Governance</w:t>
      </w:r>
    </w:p>
    <w:p w14:paraId="6B284C30" w14:textId="77777777" w:rsidR="00BE4156" w:rsidRPr="00D8299C" w:rsidRDefault="00BE4156" w:rsidP="00BE4156">
      <w:pPr>
        <w:pStyle w:val="Heading4"/>
        <w:spacing w:before="319" w:after="319"/>
        <w:rPr>
          <w:rFonts w:asciiTheme="minorHAnsi" w:eastAsia="Times New Roman" w:hAnsiTheme="minorHAnsi" w:cstheme="minorHAnsi"/>
          <w:b/>
          <w:bCs/>
          <w:i w:val="0"/>
          <w:iCs w:val="0"/>
          <w:sz w:val="28"/>
          <w:szCs w:val="28"/>
        </w:rPr>
      </w:pPr>
      <w:r w:rsidRPr="00D8299C">
        <w:rPr>
          <w:rFonts w:asciiTheme="minorHAnsi" w:eastAsia="Times New Roman" w:hAnsiTheme="minorHAnsi" w:cstheme="minorHAnsi"/>
          <w:b/>
          <w:bCs/>
          <w:i w:val="0"/>
          <w:iCs w:val="0"/>
          <w:sz w:val="28"/>
          <w:szCs w:val="28"/>
        </w:rPr>
        <w:lastRenderedPageBreak/>
        <w:t>Module E: Policy Frameworks and Carbon Pricing</w:t>
      </w:r>
    </w:p>
    <w:p w14:paraId="03FFC27B"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Carbon Pricing</w:t>
      </w:r>
    </w:p>
    <w:p w14:paraId="05D491AC" w14:textId="77777777" w:rsidR="00BE4156" w:rsidRPr="00D8299C" w:rsidRDefault="00BE4156" w:rsidP="00BE4156">
      <w:pPr>
        <w:pStyle w:val="ListParagraph"/>
        <w:numPr>
          <w:ilvl w:val="0"/>
          <w:numId w:val="3"/>
        </w:numPr>
        <w:rPr>
          <w:rFonts w:eastAsia="Times New Roman" w:cstheme="minorHAnsi"/>
        </w:rPr>
      </w:pPr>
      <w:r w:rsidRPr="00D8299C">
        <w:rPr>
          <w:rFonts w:eastAsia="Times New Roman" w:cstheme="minorHAnsi"/>
        </w:rPr>
        <w:t>Regulations</w:t>
      </w:r>
    </w:p>
    <w:p w14:paraId="46E534AC" w14:textId="77777777" w:rsidR="00BE4156" w:rsidRPr="00D8299C" w:rsidRDefault="00BE4156" w:rsidP="00BE4156">
      <w:pPr>
        <w:pStyle w:val="ListParagraph"/>
        <w:numPr>
          <w:ilvl w:val="0"/>
          <w:numId w:val="3"/>
        </w:numPr>
        <w:rPr>
          <w:rFonts w:eastAsia="Times New Roman" w:cstheme="minorHAnsi"/>
        </w:rPr>
      </w:pPr>
      <w:r w:rsidRPr="00D8299C">
        <w:rPr>
          <w:rFonts w:eastAsia="Times New Roman" w:cstheme="minorHAnsi"/>
        </w:rPr>
        <w:t>KPI Bonds and CIT</w:t>
      </w:r>
    </w:p>
    <w:p w14:paraId="6222855F" w14:textId="77777777" w:rsidR="00BE4156" w:rsidRPr="00D8299C" w:rsidRDefault="00BE4156" w:rsidP="00BE4156">
      <w:pPr>
        <w:pStyle w:val="Heading4"/>
        <w:spacing w:before="319" w:after="319"/>
        <w:rPr>
          <w:rFonts w:asciiTheme="minorHAnsi" w:eastAsia="Times New Roman" w:hAnsiTheme="minorHAnsi" w:cstheme="minorHAnsi"/>
          <w:b/>
          <w:bCs/>
          <w:i w:val="0"/>
          <w:iCs w:val="0"/>
          <w:sz w:val="28"/>
          <w:szCs w:val="28"/>
        </w:rPr>
      </w:pPr>
      <w:r w:rsidRPr="00D8299C">
        <w:rPr>
          <w:rFonts w:asciiTheme="minorHAnsi" w:eastAsia="Times New Roman" w:hAnsiTheme="minorHAnsi" w:cstheme="minorHAnsi"/>
          <w:b/>
          <w:bCs/>
          <w:i w:val="0"/>
          <w:iCs w:val="0"/>
          <w:sz w:val="28"/>
          <w:szCs w:val="28"/>
        </w:rPr>
        <w:t>Module F: International Climate Mitigation Policy</w:t>
      </w:r>
    </w:p>
    <w:p w14:paraId="61637403"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Key Aspects:</w:t>
      </w:r>
    </w:p>
    <w:p w14:paraId="3F668383" w14:textId="77777777" w:rsidR="00BE4156" w:rsidRPr="00D8299C" w:rsidRDefault="00BE4156" w:rsidP="00BE4156">
      <w:pPr>
        <w:pStyle w:val="ListParagraph"/>
        <w:numPr>
          <w:ilvl w:val="1"/>
          <w:numId w:val="3"/>
        </w:numPr>
        <w:spacing w:after="0"/>
        <w:rPr>
          <w:rFonts w:eastAsia="Times New Roman" w:cstheme="minorHAnsi"/>
        </w:rPr>
      </w:pPr>
      <w:r w:rsidRPr="00D8299C">
        <w:rPr>
          <w:rFonts w:eastAsia="Times New Roman" w:cstheme="minorHAnsi"/>
        </w:rPr>
        <w:t>Trust-Building Between Countries</w:t>
      </w:r>
    </w:p>
    <w:p w14:paraId="5AD00C0F" w14:textId="77777777" w:rsidR="00BE4156" w:rsidRPr="00D8299C" w:rsidRDefault="00BE4156" w:rsidP="00BE4156">
      <w:pPr>
        <w:pStyle w:val="ListParagraph"/>
        <w:numPr>
          <w:ilvl w:val="1"/>
          <w:numId w:val="3"/>
        </w:numPr>
        <w:spacing w:after="0"/>
        <w:rPr>
          <w:rFonts w:eastAsia="Times New Roman" w:cstheme="minorHAnsi"/>
        </w:rPr>
      </w:pPr>
      <w:r w:rsidRPr="00D8299C">
        <w:rPr>
          <w:rFonts w:eastAsia="Times New Roman" w:cstheme="minorHAnsi"/>
        </w:rPr>
        <w:t>Dynamic Incentives for Positive Climate Actions</w:t>
      </w:r>
    </w:p>
    <w:p w14:paraId="7A6B829F" w14:textId="77777777" w:rsidR="00BE4156" w:rsidRPr="00D8299C" w:rsidRDefault="00BE4156" w:rsidP="00BE4156">
      <w:pPr>
        <w:pStyle w:val="ListParagraph"/>
        <w:numPr>
          <w:ilvl w:val="1"/>
          <w:numId w:val="3"/>
        </w:numPr>
        <w:spacing w:after="0"/>
        <w:rPr>
          <w:rFonts w:eastAsia="Times New Roman" w:cstheme="minorHAnsi"/>
        </w:rPr>
      </w:pPr>
      <w:r w:rsidRPr="00D8299C">
        <w:rPr>
          <w:rFonts w:eastAsia="Times New Roman" w:cstheme="minorHAnsi"/>
        </w:rPr>
        <w:t>Enforcement Mechanisms for International Commitments</w:t>
      </w:r>
    </w:p>
    <w:p w14:paraId="097F128A" w14:textId="77777777" w:rsidR="00BE4156" w:rsidRPr="00D8299C" w:rsidRDefault="00BE4156" w:rsidP="00BE4156">
      <w:pPr>
        <w:pStyle w:val="ListParagraph"/>
        <w:numPr>
          <w:ilvl w:val="0"/>
          <w:numId w:val="3"/>
        </w:numPr>
        <w:spacing w:after="0"/>
        <w:rPr>
          <w:rFonts w:eastAsia="Times New Roman" w:cstheme="minorHAnsi"/>
        </w:rPr>
      </w:pPr>
      <w:r w:rsidRPr="00D8299C">
        <w:rPr>
          <w:rFonts w:eastAsia="Times New Roman" w:cstheme="minorHAnsi"/>
        </w:rPr>
        <w:t>Role of MDBs</w:t>
      </w:r>
    </w:p>
    <w:p w14:paraId="6AF6E683" w14:textId="77777777" w:rsidR="00BE4156" w:rsidRPr="00D8299C" w:rsidRDefault="00BE4156" w:rsidP="00BE4156">
      <w:pPr>
        <w:pStyle w:val="ListParagraph"/>
        <w:numPr>
          <w:ilvl w:val="1"/>
          <w:numId w:val="3"/>
        </w:numPr>
        <w:spacing w:after="0"/>
        <w:rPr>
          <w:rFonts w:eastAsia="Times New Roman" w:cstheme="minorHAnsi"/>
        </w:rPr>
      </w:pPr>
      <w:r w:rsidRPr="00D8299C">
        <w:rPr>
          <w:rFonts w:eastAsia="Times New Roman" w:cstheme="minorHAnsi"/>
        </w:rPr>
        <w:t>Coordinating Policy and Measuring Effectiveness</w:t>
      </w:r>
    </w:p>
    <w:p w14:paraId="1CF61A24" w14:textId="77777777" w:rsidR="00BE4156" w:rsidRPr="00D8299C" w:rsidRDefault="00BE4156" w:rsidP="00BE4156">
      <w:pPr>
        <w:pStyle w:val="ListParagraph"/>
        <w:numPr>
          <w:ilvl w:val="1"/>
          <w:numId w:val="3"/>
        </w:numPr>
        <w:spacing w:after="0"/>
        <w:rPr>
          <w:rFonts w:eastAsia="Times New Roman" w:cstheme="minorHAnsi"/>
        </w:rPr>
      </w:pPr>
      <w:r w:rsidRPr="00D8299C">
        <w:rPr>
          <w:rFonts w:eastAsia="Times New Roman" w:cstheme="minorHAnsi"/>
        </w:rPr>
        <w:t>Investment</w:t>
      </w:r>
    </w:p>
    <w:p w14:paraId="285595F2" w14:textId="77777777" w:rsidR="00BE4156" w:rsidRPr="00D8299C" w:rsidRDefault="00BE4156" w:rsidP="00BE4156">
      <w:pPr>
        <w:pStyle w:val="ListParagraph"/>
        <w:numPr>
          <w:ilvl w:val="1"/>
          <w:numId w:val="3"/>
        </w:numPr>
        <w:spacing w:after="0"/>
        <w:rPr>
          <w:rFonts w:eastAsia="Times New Roman" w:cstheme="minorHAnsi"/>
        </w:rPr>
      </w:pPr>
      <w:r w:rsidRPr="00D8299C">
        <w:rPr>
          <w:rFonts w:eastAsia="Times New Roman" w:cstheme="minorHAnsi"/>
        </w:rPr>
        <w:t>KPI Bonds and CIT</w:t>
      </w:r>
    </w:p>
    <w:p w14:paraId="4D9A2F9B" w14:textId="0C9F016E" w:rsidR="00C45B04" w:rsidRPr="00D8299C" w:rsidRDefault="00C45B04" w:rsidP="00C45B04">
      <w:pPr>
        <w:pStyle w:val="Heading1"/>
        <w:rPr>
          <w:rFonts w:asciiTheme="minorHAnsi" w:hAnsiTheme="minorHAnsi" w:cstheme="minorHAnsi"/>
        </w:rPr>
      </w:pPr>
      <w:r w:rsidRPr="00D8299C">
        <w:rPr>
          <w:rFonts w:asciiTheme="minorHAnsi" w:hAnsiTheme="minorHAnsi" w:cstheme="minorHAnsi"/>
        </w:rPr>
        <w:t>A: Introduction</w:t>
      </w:r>
      <w:bookmarkEnd w:id="0"/>
      <w:bookmarkEnd w:id="1"/>
      <w:bookmarkEnd w:id="2"/>
      <w:bookmarkEnd w:id="3"/>
      <w:bookmarkEnd w:id="4"/>
    </w:p>
    <w:p w14:paraId="2F212833" w14:textId="77777777" w:rsidR="00C45B04" w:rsidRPr="00D8299C" w:rsidRDefault="00C45B04" w:rsidP="00C45B04">
      <w:pPr>
        <w:rPr>
          <w:rFonts w:cstheme="minorHAnsi"/>
        </w:rPr>
      </w:pPr>
    </w:p>
    <w:p w14:paraId="260FECAB" w14:textId="77777777" w:rsidR="00C45B04" w:rsidRPr="00D8299C" w:rsidRDefault="00C45B04" w:rsidP="00C45B04">
      <w:pPr>
        <w:spacing w:line="360" w:lineRule="auto"/>
        <w:rPr>
          <w:rFonts w:cstheme="minorHAnsi"/>
        </w:rPr>
      </w:pPr>
      <w:r w:rsidRPr="00D8299C">
        <w:rPr>
          <w:rFonts w:cstheme="minorHAnsi"/>
        </w:rPr>
        <w:t>As the global community confronts the escalating challenges posed by climate change, the integration of climate considerations into macro-fiscal policies and expenditure frameworks becomes increasingly critical. Climate change presents profound risks and costs that impact national economies, public finances, and development trajectories. Governments, international organizations, and financial institutions must navigate the complexities of financing climate adaptation and mitigation and ensuring sustainable economic growth.</w:t>
      </w:r>
    </w:p>
    <w:p w14:paraId="4BF7222E" w14:textId="77777777" w:rsidR="00C45B04" w:rsidRPr="00D8299C" w:rsidRDefault="00C45B04" w:rsidP="00C45B04">
      <w:pPr>
        <w:spacing w:line="360" w:lineRule="auto"/>
        <w:rPr>
          <w:rFonts w:cstheme="minorHAnsi"/>
        </w:rPr>
      </w:pPr>
    </w:p>
    <w:p w14:paraId="62E7122E" w14:textId="77777777" w:rsidR="00C45B04" w:rsidRPr="00D8299C" w:rsidRDefault="00C45B04" w:rsidP="00C45B04">
      <w:pPr>
        <w:spacing w:line="360" w:lineRule="auto"/>
        <w:rPr>
          <w:rFonts w:cstheme="minorHAnsi"/>
        </w:rPr>
      </w:pPr>
      <w:r w:rsidRPr="00D8299C">
        <w:rPr>
          <w:rFonts w:cstheme="minorHAnsi"/>
        </w:rPr>
        <w:t>This reading list is designed to provide an overview of key topics at the intersection of climate policy and fiscal management. Each reading includes a brief description to offer a concise overview of its contents. This list aims to equip economists and policymakers with essential knowledge and resources to address climate-related fiscal challenges effectively.</w:t>
      </w:r>
    </w:p>
    <w:p w14:paraId="55B155E3" w14:textId="77777777" w:rsidR="00C45B04" w:rsidRPr="00D8299C" w:rsidRDefault="00C45B04" w:rsidP="00C45B04">
      <w:pPr>
        <w:spacing w:line="360" w:lineRule="auto"/>
        <w:rPr>
          <w:rFonts w:cstheme="minorHAnsi"/>
        </w:rPr>
      </w:pPr>
    </w:p>
    <w:p w14:paraId="0F38C3E1" w14:textId="77777777" w:rsidR="00C45B04" w:rsidRPr="00D8299C" w:rsidRDefault="00C45B04" w:rsidP="00C45B04">
      <w:pPr>
        <w:spacing w:line="360" w:lineRule="auto"/>
        <w:rPr>
          <w:rFonts w:cstheme="minorHAnsi"/>
        </w:rPr>
      </w:pPr>
    </w:p>
    <w:p w14:paraId="1576606C" w14:textId="77777777" w:rsidR="00C45B04" w:rsidRPr="00D8299C" w:rsidRDefault="00C45B04" w:rsidP="00C45B04">
      <w:pPr>
        <w:pStyle w:val="Heading1"/>
        <w:rPr>
          <w:rFonts w:asciiTheme="minorHAnsi" w:hAnsiTheme="minorHAnsi" w:cstheme="minorHAnsi"/>
        </w:rPr>
      </w:pPr>
      <w:bookmarkStart w:id="5" w:name="_Toc1714991816"/>
      <w:bookmarkStart w:id="6" w:name="_Toc1891367604"/>
      <w:bookmarkStart w:id="7" w:name="_Toc1131453047"/>
      <w:bookmarkStart w:id="8" w:name="_Toc146155572"/>
      <w:bookmarkStart w:id="9" w:name="_Toc232626311"/>
      <w:bookmarkStart w:id="10" w:name="_Toc1546676500"/>
      <w:bookmarkStart w:id="11" w:name="_Toc174308086"/>
      <w:bookmarkStart w:id="12" w:name="_Toc341665903"/>
      <w:bookmarkStart w:id="13" w:name="_Toc181734667"/>
      <w:bookmarkEnd w:id="5"/>
      <w:bookmarkEnd w:id="6"/>
      <w:bookmarkEnd w:id="7"/>
      <w:bookmarkEnd w:id="8"/>
      <w:bookmarkEnd w:id="9"/>
      <w:bookmarkEnd w:id="10"/>
      <w:bookmarkEnd w:id="11"/>
      <w:bookmarkEnd w:id="12"/>
      <w:r w:rsidRPr="00D8299C">
        <w:rPr>
          <w:rFonts w:asciiTheme="minorHAnsi" w:hAnsiTheme="minorHAnsi" w:cstheme="minorHAnsi"/>
        </w:rPr>
        <w:lastRenderedPageBreak/>
        <w:t xml:space="preserve">B Climate </w:t>
      </w:r>
      <w:bookmarkStart w:id="14" w:name="_Toc2029856840"/>
      <w:bookmarkStart w:id="15" w:name="_Toc2005283980"/>
      <w:bookmarkStart w:id="16" w:name="_Toc1955130034"/>
      <w:bookmarkStart w:id="17" w:name="_Toc507515211"/>
      <w:r w:rsidRPr="00D8299C">
        <w:rPr>
          <w:rFonts w:asciiTheme="minorHAnsi" w:hAnsiTheme="minorHAnsi" w:cstheme="minorHAnsi"/>
        </w:rPr>
        <w:t>Fiscal Risks</w:t>
      </w:r>
      <w:bookmarkEnd w:id="13"/>
      <w:r w:rsidRPr="00D8299C">
        <w:rPr>
          <w:rFonts w:asciiTheme="minorHAnsi" w:hAnsiTheme="minorHAnsi" w:cstheme="minorHAnsi"/>
        </w:rPr>
        <w:t xml:space="preserve"> </w:t>
      </w:r>
      <w:bookmarkEnd w:id="14"/>
      <w:bookmarkEnd w:id="15"/>
      <w:bookmarkEnd w:id="16"/>
      <w:bookmarkEnd w:id="17"/>
    </w:p>
    <w:p w14:paraId="795DC255"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b/>
          <w:bCs/>
          <w:color w:val="222222"/>
          <w:lang w:val="en-US"/>
        </w:rPr>
      </w:pPr>
    </w:p>
    <w:p w14:paraId="1CF53270"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color w:val="2F5496" w:themeColor="accent1" w:themeShade="BF"/>
          <w:sz w:val="32"/>
          <w:szCs w:val="32"/>
        </w:rPr>
      </w:pPr>
      <w:r w:rsidRPr="00D8299C">
        <w:rPr>
          <w:rFonts w:asciiTheme="minorHAnsi" w:hAnsiTheme="minorHAnsi" w:cstheme="minorHAnsi"/>
          <w:color w:val="2F5496" w:themeColor="accent1" w:themeShade="BF"/>
          <w:sz w:val="32"/>
          <w:szCs w:val="32"/>
        </w:rPr>
        <w:t>Climate Fiscal Risks</w:t>
      </w:r>
    </w:p>
    <w:p w14:paraId="059CBA66"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color w:val="222222"/>
          <w:lang w:val="en-US"/>
        </w:rPr>
      </w:pPr>
      <w:r w:rsidRPr="00D8299C">
        <w:rPr>
          <w:rFonts w:asciiTheme="minorHAnsi" w:hAnsiTheme="minorHAnsi" w:cstheme="minorHAnsi"/>
          <w:color w:val="222222"/>
          <w:lang w:val="en-US"/>
        </w:rPr>
        <w:t>Agarwala, M., Burke, M., Klusak, P., Mohaddes, K., Volz, U., &amp; Zenghelis, D. “Climate Change and Fiscal Sustainability: Risks and Opportunities.” </w:t>
      </w:r>
      <w:r w:rsidRPr="00D8299C">
        <w:rPr>
          <w:rFonts w:asciiTheme="minorHAnsi" w:hAnsiTheme="minorHAnsi" w:cstheme="minorHAnsi"/>
          <w:i/>
          <w:iCs/>
          <w:color w:val="222222"/>
          <w:lang w:val="en-US"/>
        </w:rPr>
        <w:t xml:space="preserve">National Institute Economic Review </w:t>
      </w:r>
      <w:r w:rsidRPr="00D8299C">
        <w:rPr>
          <w:rFonts w:asciiTheme="minorHAnsi" w:hAnsiTheme="minorHAnsi" w:cstheme="minorHAnsi"/>
          <w:color w:val="222222"/>
          <w:lang w:val="en-US"/>
        </w:rPr>
        <w:t xml:space="preserve">258 (2021): 28-46. </w:t>
      </w:r>
      <w:hyperlink r:id="rId8">
        <w:r w:rsidRPr="00D8299C">
          <w:rPr>
            <w:rStyle w:val="Hyperlink"/>
            <w:rFonts w:asciiTheme="minorHAnsi" w:hAnsiTheme="minorHAnsi" w:cstheme="minorHAnsi"/>
            <w:lang w:val="en-US"/>
          </w:rPr>
          <w:t>Link</w:t>
        </w:r>
      </w:hyperlink>
      <w:r w:rsidRPr="00D8299C">
        <w:rPr>
          <w:rFonts w:asciiTheme="minorHAnsi" w:hAnsiTheme="minorHAnsi" w:cstheme="minorHAnsi"/>
          <w:color w:val="222222"/>
          <w:lang w:val="en-US"/>
        </w:rPr>
        <w:t xml:space="preserve">. </w:t>
      </w:r>
      <w:r w:rsidRPr="00D8299C">
        <w:rPr>
          <w:rFonts w:asciiTheme="minorHAnsi" w:hAnsiTheme="minorHAnsi" w:cstheme="minorHAnsi"/>
          <w:color w:val="222222"/>
          <w:lang w:val="en-US"/>
        </w:rPr>
        <w:br/>
      </w:r>
      <w:r w:rsidRPr="00D8299C">
        <w:rPr>
          <w:rFonts w:asciiTheme="minorHAnsi" w:hAnsiTheme="minorHAnsi" w:cstheme="minorHAnsi"/>
          <w:i/>
          <w:iCs/>
          <w:color w:val="222222"/>
          <w:lang w:val="en-US"/>
        </w:rPr>
        <w:t>The report highlights the macroeconomic risks of climate change, underscoring the lack of credible estimates on its impact on debt sustainability and sovereign creditworthiness. It presents a taxonomy to trace these impacts, focusing on the UK's transition to net zero. Achieving climate targets demands a significant global economic transformation. New risk management strategies are needed to mitigate climate risks and asset devaluation. However, early action could yield substantial benefits, outweighing the costs of a net-zero transition.</w:t>
      </w:r>
    </w:p>
    <w:p w14:paraId="68A78802" w14:textId="77777777" w:rsidR="00C45B04" w:rsidRPr="00D8299C" w:rsidRDefault="00C45B04" w:rsidP="00C45B04">
      <w:pPr>
        <w:pStyle w:val="paragraph"/>
        <w:spacing w:beforeAutospacing="0" w:afterAutospacing="0" w:line="276" w:lineRule="auto"/>
        <w:ind w:left="720"/>
        <w:rPr>
          <w:rFonts w:asciiTheme="minorHAnsi" w:hAnsiTheme="minorHAnsi" w:cstheme="minorHAnsi"/>
          <w:i/>
          <w:iCs/>
          <w:color w:val="222222"/>
          <w:lang w:val="en-US"/>
        </w:rPr>
      </w:pPr>
    </w:p>
    <w:p w14:paraId="7E19B453" w14:textId="77777777" w:rsidR="00C45B04" w:rsidRPr="00D8299C" w:rsidRDefault="00C45B04" w:rsidP="00C45B04">
      <w:pPr>
        <w:pStyle w:val="paragraph"/>
        <w:spacing w:beforeAutospacing="0" w:afterAutospacing="0" w:line="276" w:lineRule="auto"/>
        <w:ind w:left="709" w:hanging="709"/>
        <w:rPr>
          <w:rStyle w:val="normaltextrun"/>
          <w:rFonts w:asciiTheme="minorHAnsi" w:hAnsiTheme="minorHAnsi" w:cstheme="minorHAnsi"/>
          <w:i/>
          <w:iCs/>
          <w:color w:val="000000" w:themeColor="text1"/>
        </w:rPr>
      </w:pPr>
      <w:r w:rsidRPr="00D8299C">
        <w:rPr>
          <w:rStyle w:val="normaltextrun"/>
          <w:rFonts w:asciiTheme="minorHAnsi" w:hAnsiTheme="minorHAnsi" w:cstheme="minorHAnsi"/>
          <w:color w:val="000000" w:themeColor="text1"/>
        </w:rPr>
        <w:t>Baur, M., Bruchez, P.A., &amp; Scherrie, N. (2021). ‘Climate Change and Long-term Fiscal</w:t>
      </w:r>
      <w:r w:rsidRPr="00D8299C">
        <w:rPr>
          <w:rFonts w:asciiTheme="minorHAnsi" w:hAnsiTheme="minorHAnsi" w:cstheme="minorHAnsi"/>
        </w:rPr>
        <w:t xml:space="preserve"> </w:t>
      </w:r>
      <w:r w:rsidRPr="00D8299C">
        <w:rPr>
          <w:rStyle w:val="normaltextrun"/>
          <w:rFonts w:asciiTheme="minorHAnsi" w:hAnsiTheme="minorHAnsi" w:cstheme="minorHAnsi"/>
          <w:color w:val="000000" w:themeColor="text1"/>
        </w:rPr>
        <w:t xml:space="preserve">Sustainability’. OECD Scoping Paper. Paris. </w:t>
      </w:r>
      <w:hyperlink r:id="rId9">
        <w:r w:rsidRPr="00D8299C">
          <w:rPr>
            <w:rStyle w:val="Hyperlink"/>
            <w:rFonts w:asciiTheme="minorHAnsi" w:hAnsiTheme="minorHAnsi" w:cstheme="minorHAnsi"/>
          </w:rPr>
          <w:t>Link</w:t>
        </w:r>
      </w:hyperlink>
      <w:r w:rsidRPr="00D8299C">
        <w:rPr>
          <w:rStyle w:val="normaltextrun"/>
          <w:rFonts w:asciiTheme="minorHAnsi" w:hAnsiTheme="minorHAnsi" w:cstheme="minorHAnsi"/>
          <w:color w:val="000000" w:themeColor="text1"/>
        </w:rPr>
        <w:t xml:space="preserve">. </w:t>
      </w:r>
      <w:r w:rsidRPr="00D8299C">
        <w:rPr>
          <w:rStyle w:val="normaltextrun"/>
          <w:rFonts w:asciiTheme="minorHAnsi" w:hAnsiTheme="minorHAnsi" w:cstheme="minorHAnsi"/>
          <w:color w:val="000000" w:themeColor="text1"/>
        </w:rPr>
        <w:br/>
      </w:r>
      <w:r w:rsidRPr="00D8299C">
        <w:rPr>
          <w:rStyle w:val="normaltextrun"/>
          <w:rFonts w:asciiTheme="minorHAnsi" w:hAnsiTheme="minorHAnsi" w:cstheme="minorHAnsi"/>
          <w:i/>
          <w:iCs/>
          <w:color w:val="000000" w:themeColor="text1"/>
        </w:rPr>
        <w:t>This paper, prepared for the OECD Paris Collaborative on Green Budgeting, explores climate change's fiscal impacts, addressing challenges in quantification and discussing integration into fiscal reports. Climate change is expected to strain government budgets with increased infrastructure spending and reduced tax revenues. While some countries conduct qualitative assessments, quantifying these risks faces challenges like data scarcity and predicting global impacts. Governments must integrate environmental factors into fiscal planning for long-term sustainability, despite obstacles such as data limitations and uncertainty in predicting global effects.</w:t>
      </w:r>
    </w:p>
    <w:p w14:paraId="3B27E12B"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color w:val="000000" w:themeColor="text1"/>
          <w:lang w:val="en-US"/>
        </w:rPr>
      </w:pPr>
    </w:p>
    <w:p w14:paraId="03F602C5"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i/>
          <w:iCs/>
          <w:color w:val="000000" w:themeColor="text1"/>
          <w:lang w:val="en-US"/>
        </w:rPr>
      </w:pPr>
      <w:r w:rsidRPr="00D8299C">
        <w:rPr>
          <w:rFonts w:asciiTheme="minorHAnsi" w:hAnsiTheme="minorHAnsi" w:cstheme="minorHAnsi"/>
          <w:color w:val="000000" w:themeColor="text1"/>
          <w:lang w:val="en-US"/>
        </w:rPr>
        <w:t>Bova, E., Ruiz-Arranz, M., Toscani, F. &amp; Ture, E.H. (2016). ‘The Fiscal Costs of</w:t>
      </w:r>
      <w:r w:rsidRPr="00D8299C">
        <w:rPr>
          <w:rFonts w:asciiTheme="minorHAnsi" w:hAnsiTheme="minorHAnsi" w:cstheme="minorHAnsi"/>
        </w:rPr>
        <w:t xml:space="preserve"> </w:t>
      </w:r>
      <w:r w:rsidRPr="00D8299C">
        <w:rPr>
          <w:rFonts w:asciiTheme="minorHAnsi" w:hAnsiTheme="minorHAnsi" w:cstheme="minorHAnsi"/>
          <w:color w:val="000000" w:themeColor="text1"/>
          <w:lang w:val="en-US"/>
        </w:rPr>
        <w:t xml:space="preserve">Contingent Liabilities: A New Dataset.’ International Monetary Fund. </w:t>
      </w:r>
      <w:hyperlink r:id="rId10">
        <w:r w:rsidRPr="00D8299C">
          <w:rPr>
            <w:rStyle w:val="Hyperlink"/>
            <w:rFonts w:asciiTheme="minorHAnsi" w:hAnsiTheme="minorHAnsi" w:cstheme="minorHAnsi"/>
            <w:lang w:val="en-US"/>
          </w:rPr>
          <w:t>Link</w:t>
        </w:r>
      </w:hyperlink>
      <w:r w:rsidRPr="00D8299C">
        <w:rPr>
          <w:rFonts w:asciiTheme="minorHAnsi" w:hAnsiTheme="minorHAnsi" w:cstheme="minorHAnsi"/>
          <w:color w:val="000000" w:themeColor="text1"/>
          <w:lang w:val="en-US"/>
        </w:rPr>
        <w:t>.</w:t>
      </w:r>
      <w:r w:rsidRPr="00D8299C">
        <w:rPr>
          <w:rFonts w:asciiTheme="minorHAnsi" w:hAnsiTheme="minorHAnsi" w:cstheme="minorHAnsi"/>
          <w:color w:val="000000" w:themeColor="text1"/>
          <w:lang w:val="en-US"/>
        </w:rPr>
        <w:br/>
      </w:r>
      <w:r w:rsidRPr="00D8299C">
        <w:rPr>
          <w:rFonts w:asciiTheme="minorHAnsi" w:hAnsiTheme="minorHAnsi" w:cstheme="minorHAnsi"/>
          <w:i/>
          <w:iCs/>
          <w:color w:val="000000" w:themeColor="text1"/>
          <w:lang w:val="en-US"/>
        </w:rPr>
        <w:t xml:space="preserve">In this report, Bova and colleagues from the International Monetary Fund develop a comprehensive database of contingent liability realizations in 80 advanced and emerging markets from 1990-2014.  This study finds that the average fiscal cost of a contingent liability realization is 6 percent of GDP, and fiscal costs can be as high as 40 percent for some dominant financial sectors. Countries with stronger and most stable institutions and agencies are better at controlling risks and are less exposed to contingent liability realizations. </w:t>
      </w:r>
    </w:p>
    <w:p w14:paraId="0FD4F25F"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i/>
          <w:iCs/>
          <w:color w:val="000000" w:themeColor="text1"/>
          <w:lang w:val="en-US"/>
        </w:rPr>
      </w:pPr>
    </w:p>
    <w:p w14:paraId="7762DFD4"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i/>
          <w:iCs/>
          <w:color w:val="000000" w:themeColor="text1"/>
          <w:lang w:val="en-US"/>
        </w:rPr>
      </w:pPr>
      <w:r w:rsidRPr="00D8299C">
        <w:rPr>
          <w:rFonts w:asciiTheme="minorHAnsi" w:hAnsiTheme="minorHAnsi" w:cstheme="minorHAnsi"/>
          <w:color w:val="000000" w:themeColor="text1"/>
          <w:lang w:val="en-US"/>
        </w:rPr>
        <w:t>Klusak, P., M. Agarwala, M. Burke, M. Kraemer and K. Mohaddes (2021). ‘Rising</w:t>
      </w:r>
      <w:r w:rsidRPr="00D8299C">
        <w:rPr>
          <w:rFonts w:asciiTheme="minorHAnsi" w:hAnsiTheme="minorHAnsi" w:cstheme="minorHAnsi"/>
        </w:rPr>
        <w:t xml:space="preserve"> </w:t>
      </w:r>
      <w:r w:rsidRPr="00D8299C">
        <w:rPr>
          <w:rFonts w:asciiTheme="minorHAnsi" w:hAnsiTheme="minorHAnsi" w:cstheme="minorHAnsi"/>
          <w:color w:val="000000" w:themeColor="text1"/>
          <w:lang w:val="en-US"/>
        </w:rPr>
        <w:t>Temperatures, Falling Ratings: The Effect of Climate Change on Sovereign</w:t>
      </w:r>
      <w:r w:rsidRPr="00D8299C">
        <w:rPr>
          <w:rFonts w:asciiTheme="minorHAnsi" w:hAnsiTheme="minorHAnsi" w:cstheme="minorHAnsi"/>
        </w:rPr>
        <w:t xml:space="preserve"> </w:t>
      </w:r>
      <w:r w:rsidRPr="00D8299C">
        <w:rPr>
          <w:rFonts w:asciiTheme="minorHAnsi" w:hAnsiTheme="minorHAnsi" w:cstheme="minorHAnsi"/>
          <w:color w:val="000000" w:themeColor="text1"/>
          <w:lang w:val="en-US"/>
        </w:rPr>
        <w:t xml:space="preserve">Creditworthiness’. Bennett </w:t>
      </w:r>
      <w:r w:rsidRPr="00D8299C">
        <w:rPr>
          <w:rFonts w:asciiTheme="minorHAnsi" w:hAnsiTheme="minorHAnsi" w:cstheme="minorHAnsi"/>
          <w:color w:val="000000" w:themeColor="text1"/>
          <w:lang w:val="en-US"/>
        </w:rPr>
        <w:lastRenderedPageBreak/>
        <w:t xml:space="preserve">Institute Working Paper. </w:t>
      </w:r>
      <w:hyperlink r:id="rId11">
        <w:r w:rsidRPr="00D8299C">
          <w:rPr>
            <w:rStyle w:val="Hyperlink"/>
            <w:rFonts w:asciiTheme="minorHAnsi" w:hAnsiTheme="minorHAnsi" w:cstheme="minorHAnsi"/>
            <w:lang w:val="en-US"/>
          </w:rPr>
          <w:t>Link</w:t>
        </w:r>
      </w:hyperlink>
      <w:r w:rsidRPr="00D8299C">
        <w:rPr>
          <w:rFonts w:asciiTheme="minorHAnsi" w:hAnsiTheme="minorHAnsi" w:cstheme="minorHAnsi"/>
          <w:color w:val="000000" w:themeColor="text1"/>
          <w:lang w:val="en-US"/>
        </w:rPr>
        <w:t xml:space="preserve">. </w:t>
      </w:r>
      <w:r w:rsidRPr="00D8299C">
        <w:rPr>
          <w:rFonts w:asciiTheme="minorHAnsi" w:hAnsiTheme="minorHAnsi" w:cstheme="minorHAnsi"/>
        </w:rPr>
        <w:br/>
      </w:r>
      <w:r w:rsidRPr="00D8299C">
        <w:rPr>
          <w:rFonts w:asciiTheme="minorHAnsi" w:hAnsiTheme="minorHAnsi" w:cstheme="minorHAnsi"/>
          <w:i/>
          <w:iCs/>
          <w:color w:val="000000" w:themeColor="text1"/>
          <w:lang w:val="en-US"/>
        </w:rPr>
        <w:t>Financial decision-makers lack vital climate-related information despite the enthusiasm for greening the financial system. To address this gap, this report introduces the world's first climate-adjusted sovereign credit ratings for 108 countries. Simulations show climate-induced sovereign downgrades as early as 2030, intensifying over the century. Strict climate policies could mitigate these effects, but under higher emissions scenarios, numerous sovereigns face downgrades, impacting corporate and sovereign debt costs significantly. Climate change also poses risks to firms, investors, and regulators, emphasizing the urgent need for climate-aware decision-making in financial markets.</w:t>
      </w:r>
    </w:p>
    <w:p w14:paraId="2731C67F"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i/>
          <w:iCs/>
          <w:color w:val="000000" w:themeColor="text1"/>
          <w:lang w:val="en-US"/>
        </w:rPr>
      </w:pPr>
    </w:p>
    <w:p w14:paraId="3B98C0FE"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i/>
          <w:iCs/>
          <w:color w:val="000000" w:themeColor="text1"/>
          <w:lang w:val="en-US"/>
        </w:rPr>
      </w:pPr>
      <w:r w:rsidRPr="00D8299C">
        <w:rPr>
          <w:rFonts w:asciiTheme="minorHAnsi" w:hAnsiTheme="minorHAnsi" w:cstheme="minorHAnsi"/>
          <w:color w:val="000000" w:themeColor="text1"/>
          <w:lang w:val="en-US"/>
        </w:rPr>
        <w:t xml:space="preserve">Akyapi, B., Bellon, M., Massetti, E (2022). ‘Estimating Macro-Fiscal Effects of Climate Shocks from Billions of Geospatial Weather Observations.’ International Monetary Fund, Washington, DC. </w:t>
      </w:r>
      <w:hyperlink r:id="rId12">
        <w:r w:rsidRPr="00D8299C">
          <w:rPr>
            <w:rStyle w:val="Hyperlink"/>
            <w:rFonts w:asciiTheme="minorHAnsi" w:hAnsiTheme="minorHAnsi" w:cstheme="minorHAnsi"/>
            <w:lang w:val="en-US"/>
          </w:rPr>
          <w:t>Link</w:t>
        </w:r>
      </w:hyperlink>
      <w:r w:rsidRPr="00D8299C">
        <w:rPr>
          <w:rFonts w:asciiTheme="minorHAnsi" w:hAnsiTheme="minorHAnsi" w:cstheme="minorHAnsi"/>
          <w:color w:val="000000" w:themeColor="text1"/>
          <w:lang w:val="en-US"/>
        </w:rPr>
        <w:t xml:space="preserve">. </w:t>
      </w:r>
      <w:r w:rsidRPr="00D8299C">
        <w:rPr>
          <w:rFonts w:asciiTheme="minorHAnsi" w:hAnsiTheme="minorHAnsi" w:cstheme="minorHAnsi"/>
          <w:color w:val="000000" w:themeColor="text1"/>
        </w:rPr>
        <w:br/>
      </w:r>
      <w:r w:rsidRPr="00D8299C">
        <w:rPr>
          <w:rFonts w:asciiTheme="minorHAnsi" w:hAnsiTheme="minorHAnsi" w:cstheme="minorHAnsi"/>
          <w:i/>
          <w:iCs/>
          <w:color w:val="000000" w:themeColor="text1"/>
          <w:lang w:val="en-US"/>
        </w:rPr>
        <w:t>The paper analyzes weather impacts on GDP per capita, government revenue, expenditure, and debt. It finds that an increase in the occurrence of high temperatures and droughts reduces GDP, whereas more frequent mild temperatures have a positive impact. The share of GDP variations that is explained by weather as captured by the handful of our selected variables is much higher than what was previously implied by using annual temperature and precipitation averages. The paper finds evidence of counter-cyclical fiscal policies that mitigate adverse weather shocks, especially excessive or unusually low precipitation episodes.</w:t>
      </w:r>
    </w:p>
    <w:p w14:paraId="6E30955B"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color w:val="000000" w:themeColor="text1"/>
          <w:lang w:val="en-US"/>
        </w:rPr>
      </w:pPr>
    </w:p>
    <w:p w14:paraId="58DEB007"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i/>
          <w:iCs/>
          <w:color w:val="000000" w:themeColor="text1"/>
          <w:lang w:val="en-US"/>
        </w:rPr>
      </w:pPr>
      <w:r w:rsidRPr="00D8299C">
        <w:rPr>
          <w:rFonts w:asciiTheme="minorHAnsi" w:hAnsiTheme="minorHAnsi" w:cstheme="minorHAnsi"/>
          <w:color w:val="000000" w:themeColor="text1"/>
          <w:lang w:val="en-US"/>
        </w:rPr>
        <w:t xml:space="preserve">Aligishiev, Z., Bellon, M., Massetti, E. (2022). ‘Macro-Fiscal Implications of Adaptation to Climate Change.’ Staff Climate Notes: International Monetary Fund. </w:t>
      </w:r>
      <w:hyperlink r:id="rId13">
        <w:r w:rsidRPr="00D8299C">
          <w:rPr>
            <w:rStyle w:val="Hyperlink"/>
            <w:rFonts w:asciiTheme="minorHAnsi" w:hAnsiTheme="minorHAnsi" w:cstheme="minorHAnsi"/>
            <w:lang w:val="en-US"/>
          </w:rPr>
          <w:t>Link</w:t>
        </w:r>
      </w:hyperlink>
      <w:r w:rsidRPr="00D8299C">
        <w:rPr>
          <w:rFonts w:asciiTheme="minorHAnsi" w:hAnsiTheme="minorHAnsi" w:cstheme="minorHAnsi"/>
          <w:color w:val="000000" w:themeColor="text1"/>
          <w:lang w:val="en-US"/>
        </w:rPr>
        <w:t xml:space="preserve">.  </w:t>
      </w:r>
      <w:r w:rsidRPr="00D8299C">
        <w:rPr>
          <w:rFonts w:asciiTheme="minorHAnsi" w:hAnsiTheme="minorHAnsi" w:cstheme="minorHAnsi"/>
          <w:color w:val="000000" w:themeColor="text1"/>
          <w:lang w:val="en-US"/>
        </w:rPr>
        <w:br/>
      </w:r>
      <w:r w:rsidRPr="00D8299C">
        <w:rPr>
          <w:rFonts w:asciiTheme="minorHAnsi" w:hAnsiTheme="minorHAnsi" w:cstheme="minorHAnsi"/>
          <w:i/>
          <w:iCs/>
          <w:color w:val="000000" w:themeColor="text1"/>
          <w:lang w:val="en-US"/>
        </w:rPr>
        <w:t xml:space="preserve">In this Note, Aligishiev and colleagues from the International Monetary Fund illustrate the magnitude of adaptation needs and cross-country heterogeneity by focusing on two types of adaptation investment: strengthening physical assets and investing in coastal protection.  The motivation for determining adaptation investment needs is to provide policymakers with information to design adaptation strategies.  </w:t>
      </w:r>
    </w:p>
    <w:p w14:paraId="7213F300" w14:textId="77777777" w:rsidR="00C45B04" w:rsidRPr="00D8299C" w:rsidRDefault="00C45B04" w:rsidP="00C45B04">
      <w:pPr>
        <w:spacing w:line="276" w:lineRule="auto"/>
        <w:rPr>
          <w:rFonts w:cstheme="minorHAnsi"/>
          <w:color w:val="000000" w:themeColor="text1"/>
          <w:lang w:val="en-US"/>
        </w:rPr>
      </w:pPr>
    </w:p>
    <w:p w14:paraId="025E4DE0" w14:textId="77777777" w:rsidR="00C45B04" w:rsidRPr="00D8299C" w:rsidRDefault="00C45B04" w:rsidP="00C45B04">
      <w:pPr>
        <w:spacing w:line="276" w:lineRule="auto"/>
        <w:ind w:left="709" w:hanging="709"/>
        <w:rPr>
          <w:rFonts w:cstheme="minorHAnsi"/>
          <w:i/>
          <w:iCs/>
          <w:color w:val="000000" w:themeColor="text1"/>
          <w:lang w:val="en-US"/>
        </w:rPr>
      </w:pPr>
      <w:r w:rsidRPr="00D8299C">
        <w:rPr>
          <w:rFonts w:cstheme="minorHAnsi"/>
          <w:color w:val="000000" w:themeColor="text1"/>
          <w:lang w:val="en-US"/>
        </w:rPr>
        <w:t>Schuler, P., Oliviera, L.E., Mele, G., Antonio, M. (2019). ‘Managing the Fiscal Risks Associated with Natural Disaster’ pp. 133-152 (Chapter 4). In Pigato, M,</w:t>
      </w:r>
      <w:r w:rsidRPr="00D8299C">
        <w:rPr>
          <w:rFonts w:cstheme="minorHAnsi"/>
          <w:i/>
          <w:iCs/>
          <w:color w:val="000000" w:themeColor="text1"/>
          <w:lang w:val="en-US"/>
        </w:rPr>
        <w:t xml:space="preserve"> Fiscal Policies for Development and Climate Action. </w:t>
      </w:r>
      <w:r w:rsidRPr="00D8299C">
        <w:rPr>
          <w:rFonts w:cstheme="minorHAnsi"/>
          <w:color w:val="000000" w:themeColor="text1"/>
          <w:lang w:val="en-US"/>
        </w:rPr>
        <w:t xml:space="preserve">World Bank Group. </w:t>
      </w:r>
      <w:hyperlink r:id="rId14">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i/>
          <w:iCs/>
          <w:color w:val="000000" w:themeColor="text1"/>
          <w:lang w:val="en-US"/>
        </w:rPr>
        <w:br/>
        <w:t xml:space="preserve">Chapter 4 of this book by the World Bank by Schuler and colleagues discusses fiscal risks posed by climate-related natural disasters and their implications on fiscal and debt sustainability.  The chapter also applies a stochastic fiscal sustainability model that the World Bank has developed and applies it to two countries: Jamaica and Dominican Republic.  For Jamaica, the modeling exercise shows that extreme weather events will </w:t>
      </w:r>
      <w:r w:rsidRPr="00D8299C">
        <w:rPr>
          <w:rFonts w:cstheme="minorHAnsi"/>
          <w:i/>
          <w:iCs/>
          <w:color w:val="000000" w:themeColor="text1"/>
          <w:lang w:val="en-US"/>
        </w:rPr>
        <w:lastRenderedPageBreak/>
        <w:t>induce shocks to GDP, revenue, and spending and will push fiscal balance off target.  The same pressures will apply to the Dominican Republic of a smaller magnitude.</w:t>
      </w:r>
    </w:p>
    <w:p w14:paraId="76DE3C0D" w14:textId="77777777" w:rsidR="00C45B04" w:rsidRPr="00D8299C" w:rsidRDefault="00C45B04" w:rsidP="00C45B04">
      <w:pPr>
        <w:spacing w:line="276" w:lineRule="auto"/>
        <w:ind w:left="709" w:hanging="709"/>
        <w:rPr>
          <w:rFonts w:cstheme="minorHAnsi"/>
          <w:i/>
          <w:iCs/>
          <w:color w:val="000000" w:themeColor="text1"/>
          <w:lang w:val="en-US"/>
        </w:rPr>
      </w:pPr>
    </w:p>
    <w:p w14:paraId="46B2A8F9" w14:textId="77777777" w:rsidR="00C45B04" w:rsidRPr="00D8299C" w:rsidRDefault="00C45B04" w:rsidP="00C45B04">
      <w:pPr>
        <w:rPr>
          <w:rFonts w:cstheme="minorHAnsi"/>
          <w:color w:val="2F5496" w:themeColor="accent1" w:themeShade="BF"/>
          <w:sz w:val="32"/>
          <w:szCs w:val="32"/>
          <w:lang w:val="en-US"/>
        </w:rPr>
      </w:pPr>
      <w:bookmarkStart w:id="18" w:name="_Toc2119175233"/>
      <w:r w:rsidRPr="00D8299C">
        <w:rPr>
          <w:rFonts w:cstheme="minorHAnsi"/>
          <w:lang w:val="en-US"/>
        </w:rPr>
        <w:br w:type="page"/>
      </w:r>
    </w:p>
    <w:p w14:paraId="4F0938BD" w14:textId="77777777" w:rsidR="00C45B04" w:rsidRPr="00D8299C" w:rsidRDefault="00C45B04" w:rsidP="00C45B04">
      <w:pPr>
        <w:pStyle w:val="Heading2"/>
        <w:rPr>
          <w:rFonts w:asciiTheme="minorHAnsi" w:hAnsiTheme="minorHAnsi" w:cstheme="minorHAnsi"/>
        </w:rPr>
      </w:pPr>
      <w:bookmarkStart w:id="19" w:name="_Toc173169083"/>
      <w:bookmarkStart w:id="20" w:name="_Toc181734668"/>
      <w:r w:rsidRPr="00D8299C">
        <w:rPr>
          <w:rFonts w:asciiTheme="minorHAnsi" w:hAnsiTheme="minorHAnsi" w:cstheme="minorHAnsi"/>
        </w:rPr>
        <w:lastRenderedPageBreak/>
        <w:t>Country Risk Analyses</w:t>
      </w:r>
      <w:bookmarkEnd w:id="19"/>
      <w:bookmarkEnd w:id="20"/>
    </w:p>
    <w:p w14:paraId="2FD29429"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b/>
          <w:bCs/>
          <w:color w:val="222222"/>
          <w:lang w:val="en-US"/>
        </w:rPr>
      </w:pPr>
      <w:r w:rsidRPr="00D8299C">
        <w:rPr>
          <w:rFonts w:asciiTheme="minorHAnsi" w:hAnsiTheme="minorHAnsi" w:cstheme="minorHAnsi"/>
          <w:b/>
          <w:bCs/>
          <w:color w:val="222222"/>
          <w:lang w:val="en-US"/>
        </w:rPr>
        <w:t>Recommended Papers.</w:t>
      </w:r>
    </w:p>
    <w:p w14:paraId="3C8AB925" w14:textId="77777777" w:rsidR="00C45B04" w:rsidRPr="00D8299C" w:rsidRDefault="00C45B04" w:rsidP="00C45B04">
      <w:pPr>
        <w:shd w:val="clear" w:color="auto" w:fill="FFFFFF" w:themeFill="background1"/>
        <w:spacing w:line="276" w:lineRule="auto"/>
        <w:ind w:left="709" w:hanging="709"/>
        <w:rPr>
          <w:rStyle w:val="normaltextrun"/>
          <w:rFonts w:cstheme="minorHAnsi"/>
          <w:color w:val="000000" w:themeColor="text1"/>
          <w:lang w:val="en-US"/>
        </w:rPr>
      </w:pPr>
      <w:r w:rsidRPr="00D8299C">
        <w:rPr>
          <w:rStyle w:val="normaltextrun"/>
          <w:rFonts w:cstheme="minorHAnsi"/>
          <w:color w:val="000000" w:themeColor="text1"/>
        </w:rPr>
        <w:t xml:space="preserve">UK Office for Budget Responsibility (2021). ‘Climate Change.’ pp. 83-153 (Chapter 3) In </w:t>
      </w:r>
      <w:r w:rsidRPr="00D8299C">
        <w:rPr>
          <w:rStyle w:val="eop"/>
          <w:rFonts w:cstheme="minorHAnsi"/>
          <w:i/>
          <w:iCs/>
          <w:color w:val="000000" w:themeColor="text1"/>
        </w:rPr>
        <w:t>Fiscal Risk Report</w:t>
      </w:r>
      <w:r w:rsidRPr="00D8299C">
        <w:rPr>
          <w:rStyle w:val="eop"/>
          <w:rFonts w:cstheme="minorHAnsi"/>
          <w:color w:val="000000" w:themeColor="text1"/>
        </w:rPr>
        <w:t xml:space="preserve">. London. </w:t>
      </w:r>
      <w:hyperlink r:id="rId15">
        <w:r w:rsidRPr="00D8299C">
          <w:rPr>
            <w:rStyle w:val="Hyperlink"/>
            <w:rFonts w:cstheme="minorHAnsi"/>
          </w:rPr>
          <w:t>Link</w:t>
        </w:r>
      </w:hyperlink>
      <w:r w:rsidRPr="00D8299C">
        <w:rPr>
          <w:rStyle w:val="normaltextrun"/>
          <w:rFonts w:cstheme="minorHAnsi"/>
          <w:color w:val="000000" w:themeColor="text1"/>
        </w:rPr>
        <w:t>.</w:t>
      </w:r>
      <w:r w:rsidRPr="00D8299C">
        <w:rPr>
          <w:rStyle w:val="normaltextrun"/>
          <w:rFonts w:cstheme="minorHAnsi"/>
          <w:b/>
          <w:bCs/>
          <w:color w:val="000000" w:themeColor="text1"/>
        </w:rPr>
        <w:t xml:space="preserve"> </w:t>
      </w:r>
      <w:r w:rsidRPr="00D8299C">
        <w:rPr>
          <w:rFonts w:cstheme="minorHAnsi"/>
        </w:rPr>
        <w:br/>
      </w:r>
      <w:r w:rsidRPr="00D8299C">
        <w:rPr>
          <w:rStyle w:val="normaltextrun"/>
          <w:rFonts w:cstheme="minorHAnsi"/>
          <w:i/>
          <w:iCs/>
          <w:color w:val="000000" w:themeColor="text1"/>
        </w:rPr>
        <w:t>The UK Fiscal Risk Report 2021 explores fiscal challenges and economic impacts of achieving net zero greenhouse gas emissions by 2050. It outlines physical and transition risks from climate change, emphasizing carbon pricing and other policy measures. The report forecasts significant but manageable fiscal costs, including direct spending and changes in tax receipts. Scenario analyses from the Climate Change Committee and the Bank of England inform projections, highlighting the economic effects of carbon pricing on GDP.</w:t>
      </w:r>
    </w:p>
    <w:p w14:paraId="30ED8886" w14:textId="77777777" w:rsidR="00C45B04" w:rsidRPr="00D8299C" w:rsidRDefault="00C45B04" w:rsidP="00C45B04">
      <w:pPr>
        <w:shd w:val="clear" w:color="auto" w:fill="FFFFFF" w:themeFill="background1"/>
        <w:spacing w:line="276" w:lineRule="auto"/>
        <w:ind w:left="709" w:hanging="709"/>
        <w:rPr>
          <w:rStyle w:val="normaltextrun"/>
          <w:rFonts w:cstheme="minorHAnsi"/>
          <w:i/>
          <w:iCs/>
          <w:color w:val="000000" w:themeColor="text1"/>
        </w:rPr>
      </w:pPr>
    </w:p>
    <w:p w14:paraId="239B4C7B" w14:textId="77777777" w:rsidR="00C45B04" w:rsidRPr="00D8299C" w:rsidRDefault="00C45B04" w:rsidP="00C45B04">
      <w:pPr>
        <w:shd w:val="clear" w:color="auto" w:fill="FFFFFF" w:themeFill="background1"/>
        <w:spacing w:line="276" w:lineRule="auto"/>
        <w:ind w:left="709" w:hanging="709"/>
        <w:rPr>
          <w:rStyle w:val="eop"/>
          <w:rFonts w:cstheme="minorHAnsi"/>
          <w:i/>
          <w:iCs/>
          <w:color w:val="000000" w:themeColor="text1"/>
        </w:rPr>
      </w:pPr>
      <w:r w:rsidRPr="00D8299C">
        <w:rPr>
          <w:rStyle w:val="normaltextrun"/>
          <w:rFonts w:cstheme="minorHAnsi"/>
          <w:color w:val="000000" w:themeColor="text1"/>
          <w:lang w:val="en-US"/>
        </w:rPr>
        <w:t xml:space="preserve">UK Office for Budget Responsibility (2023). ‘Energy.’ pp. 67-98 (Chapter 3) In </w:t>
      </w:r>
      <w:r w:rsidRPr="00D8299C">
        <w:rPr>
          <w:rStyle w:val="eop"/>
          <w:rFonts w:cstheme="minorHAnsi"/>
          <w:i/>
          <w:iCs/>
          <w:color w:val="000000" w:themeColor="text1"/>
        </w:rPr>
        <w:t>Fiscal Risk and Sustainability Report.</w:t>
      </w:r>
      <w:r w:rsidRPr="00D8299C">
        <w:rPr>
          <w:rStyle w:val="eop"/>
          <w:rFonts w:cstheme="minorHAnsi"/>
          <w:color w:val="000000" w:themeColor="text1"/>
        </w:rPr>
        <w:t xml:space="preserve"> London. </w:t>
      </w:r>
      <w:hyperlink r:id="rId16">
        <w:r w:rsidRPr="00D8299C">
          <w:rPr>
            <w:rStyle w:val="Hyperlink"/>
            <w:rFonts w:cstheme="minorHAnsi"/>
          </w:rPr>
          <w:t>Link</w:t>
        </w:r>
      </w:hyperlink>
      <w:r w:rsidRPr="00D8299C">
        <w:rPr>
          <w:rStyle w:val="eop"/>
          <w:rFonts w:cstheme="minorHAnsi"/>
          <w:color w:val="000000" w:themeColor="text1"/>
        </w:rPr>
        <w:t xml:space="preserve">. </w:t>
      </w:r>
      <w:r w:rsidRPr="00D8299C">
        <w:rPr>
          <w:rFonts w:cstheme="minorHAnsi"/>
        </w:rPr>
        <w:br/>
      </w:r>
      <w:r w:rsidRPr="00D8299C">
        <w:rPr>
          <w:rStyle w:val="eop"/>
          <w:rFonts w:cstheme="minorHAnsi"/>
          <w:i/>
          <w:iCs/>
          <w:color w:val="000000" w:themeColor="text1"/>
        </w:rPr>
        <w:t>This report examines the UK's transition from gas to renewable energy. It highlights the high risks associated with continued gas use and strong market incentives, which drive the shift away from gas. However, significant transition costs hinder this movement. Additionally, the report presents an updated fiscal analysis of achieving net zero emissions, noting that the limited response from private energy investors to changes in renewable energy prices increases the financial risk to public funds.</w:t>
      </w:r>
    </w:p>
    <w:p w14:paraId="17D1CF52" w14:textId="77777777" w:rsidR="00C45B04" w:rsidRPr="00D8299C" w:rsidRDefault="00C45B04" w:rsidP="00C45B04">
      <w:pPr>
        <w:rPr>
          <w:rFonts w:cstheme="minorHAnsi"/>
        </w:rPr>
      </w:pPr>
    </w:p>
    <w:p w14:paraId="670B3EF3" w14:textId="77777777" w:rsidR="00C45B04" w:rsidRPr="00D8299C" w:rsidRDefault="00C45B04" w:rsidP="00C45B04">
      <w:pPr>
        <w:shd w:val="clear" w:color="auto" w:fill="FFFFFF" w:themeFill="background1"/>
        <w:spacing w:line="276" w:lineRule="auto"/>
        <w:ind w:left="709" w:hanging="709"/>
        <w:rPr>
          <w:rFonts w:cstheme="minorHAnsi"/>
          <w:i/>
          <w:iCs/>
        </w:rPr>
      </w:pPr>
      <w:r w:rsidRPr="00D8299C">
        <w:rPr>
          <w:rFonts w:cstheme="minorHAnsi"/>
          <w:color w:val="000000" w:themeColor="text1"/>
          <w:lang w:val="en-US"/>
        </w:rPr>
        <w:t xml:space="preserve">Allen, T., Dees, S., Boissinot, J., Mateo, C., Graciano, C., Chouard, V., Clerc, L., De Gaye, A., Devulder, A., Diot, S., Lisack, N., Pegoraro, F., Rabaté, M., Svartzman, R., &amp; Vernet, L. (2020). ‘Climate-Related Scenarios for Financial Stability Assessment: An Application to France’. Banque de France, Working Paper 774. </w:t>
      </w:r>
      <w:hyperlink r:id="rId17">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rPr>
        <w:t xml:space="preserve">This paper presents an analytical framework to quantify the impacts of climate policy and transition narratives on economic and financial variables for financial risk assessment. It focuses on transition risks, including unexpected carbon price increases and productivity shocks, using models calibrated on NGFS high-level scenarios. The ACPR (French Prudential Supervision and Resolution Authority) selected quantitative scenarios for voluntary banks and insurance companies to conduct a pilot climate-related risk assessment. </w:t>
      </w:r>
    </w:p>
    <w:p w14:paraId="357AD907" w14:textId="77777777" w:rsidR="00C45B04" w:rsidRPr="00D8299C" w:rsidRDefault="00C45B04" w:rsidP="00C45B04">
      <w:pPr>
        <w:shd w:val="clear" w:color="auto" w:fill="FFFFFF" w:themeFill="background1"/>
        <w:spacing w:line="276" w:lineRule="auto"/>
        <w:ind w:left="709" w:hanging="709"/>
        <w:rPr>
          <w:rFonts w:cstheme="minorHAnsi"/>
          <w:i/>
          <w:iCs/>
        </w:rPr>
      </w:pPr>
    </w:p>
    <w:p w14:paraId="44E4B8D6" w14:textId="77777777" w:rsidR="00C45B04" w:rsidRPr="00D8299C" w:rsidRDefault="00C45B04" w:rsidP="00C45B04">
      <w:pPr>
        <w:shd w:val="clear" w:color="auto" w:fill="FFFFFF" w:themeFill="background1"/>
        <w:spacing w:line="276" w:lineRule="auto"/>
        <w:ind w:left="709" w:hanging="709"/>
        <w:rPr>
          <w:rFonts w:cstheme="minorHAnsi"/>
          <w:i/>
          <w:iCs/>
          <w:color w:val="000000" w:themeColor="text1"/>
        </w:rPr>
      </w:pPr>
      <w:r w:rsidRPr="00D8299C">
        <w:rPr>
          <w:rFonts w:cstheme="minorHAnsi"/>
          <w:color w:val="000000" w:themeColor="text1"/>
          <w:lang w:val="en-US"/>
        </w:rPr>
        <w:t xml:space="preserve">Ebdon, J. (2021). Climate Webinar #8: ‘Fiscal Risks and Climate Change in the United Kingdom’. Friday, January 21, 2022. </w:t>
      </w:r>
      <w:hyperlink r:id="rId18">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color w:val="000000" w:themeColor="text1"/>
          <w:lang w:val="en-US"/>
        </w:rPr>
        <w:br/>
      </w:r>
      <w:r w:rsidRPr="00D8299C">
        <w:rPr>
          <w:rFonts w:cstheme="minorHAnsi"/>
          <w:i/>
          <w:iCs/>
          <w:color w:val="000000" w:themeColor="text1"/>
        </w:rPr>
        <w:lastRenderedPageBreak/>
        <w:t>Mr. James Ebdon from the UK's Office of Budget Responsibility presents the July 2021 Fiscal Risks Report on climate change. The report quantifies the impact of transitioning to net-zero emissions on UK debt, considering increased public spending, reduced fossil fuel tax income, additional carbon tax revenues, and lower GDP. The analysis highlights debt sensitivity to various scenarios, including delayed climate action. Mr. Ebdon also discusses the assumptions and methodology for calculating the transition costs and their fiscal implications.</w:t>
      </w:r>
    </w:p>
    <w:p w14:paraId="1593B4AC" w14:textId="77777777" w:rsidR="00C45B04" w:rsidRPr="00D8299C" w:rsidRDefault="00C45B04" w:rsidP="00C45B04">
      <w:pPr>
        <w:shd w:val="clear" w:color="auto" w:fill="FFFFFF" w:themeFill="background1"/>
        <w:spacing w:line="276" w:lineRule="auto"/>
        <w:ind w:left="709" w:hanging="709"/>
        <w:rPr>
          <w:rFonts w:cstheme="minorHAnsi"/>
          <w:i/>
          <w:iCs/>
          <w:color w:val="000000" w:themeColor="text1"/>
        </w:rPr>
      </w:pPr>
    </w:p>
    <w:p w14:paraId="5E86F689" w14:textId="77777777" w:rsidR="00C45B04" w:rsidRPr="00D8299C" w:rsidRDefault="00C45B04" w:rsidP="00C45B04">
      <w:pPr>
        <w:shd w:val="clear" w:color="auto" w:fill="FFFFFF" w:themeFill="background1"/>
        <w:spacing w:line="276" w:lineRule="auto"/>
        <w:ind w:left="709" w:hanging="709"/>
        <w:rPr>
          <w:rFonts w:cstheme="minorHAnsi"/>
          <w:color w:val="000000" w:themeColor="text1"/>
          <w:lang w:val="en-US"/>
        </w:rPr>
      </w:pPr>
      <w:r w:rsidRPr="00D8299C">
        <w:rPr>
          <w:rFonts w:cstheme="minorHAnsi"/>
          <w:color w:val="000000" w:themeColor="text1"/>
        </w:rPr>
        <w:t xml:space="preserve">Duenwald et al. (2022). ‘Feeling the Heat: Adapting to Climate Change in the Middle East and Central Asia’. IMF. </w:t>
      </w:r>
      <w:hyperlink r:id="rId19">
        <w:r w:rsidRPr="00D8299C">
          <w:rPr>
            <w:rStyle w:val="Hyperlink"/>
            <w:rFonts w:cstheme="minorHAnsi"/>
          </w:rPr>
          <w:t>Link</w:t>
        </w:r>
      </w:hyperlink>
      <w:r w:rsidRPr="00D8299C">
        <w:rPr>
          <w:rFonts w:cstheme="minorHAnsi"/>
          <w:color w:val="000000" w:themeColor="text1"/>
        </w:rPr>
        <w:t xml:space="preserve">. </w:t>
      </w:r>
      <w:r w:rsidRPr="00D8299C">
        <w:rPr>
          <w:rFonts w:cstheme="minorHAnsi"/>
          <w:color w:val="000000" w:themeColor="text1"/>
        </w:rPr>
        <w:br/>
      </w:r>
      <w:r w:rsidRPr="00D8299C">
        <w:rPr>
          <w:rFonts w:cstheme="minorHAnsi"/>
          <w:i/>
          <w:iCs/>
          <w:color w:val="000000" w:themeColor="text1"/>
        </w:rPr>
        <w:t>Climate change poses severe challenges for the Middle East and Central Asia, exacerbating desertification, water stress, and rising sea levels. This leads to economic disruptions, food insecurity, and health risks, affecting poverty, inequality, and conflict. Despite high awareness, decisive action is lacking. This paper highlights macro-critical climate adaptation challenges, using a comprehensive data base to develop climate risk profiles and emphasize the need for resilience. It addresses key challenges, economic impacts, policy solutions, and financing needs to inform adaptation strategies.</w:t>
      </w:r>
    </w:p>
    <w:p w14:paraId="7AACCD9E" w14:textId="77777777" w:rsidR="00C45B04" w:rsidRPr="00D8299C" w:rsidRDefault="00C45B04" w:rsidP="00C45B04">
      <w:pPr>
        <w:shd w:val="clear" w:color="auto" w:fill="FFFFFF" w:themeFill="background1"/>
        <w:spacing w:line="276" w:lineRule="auto"/>
        <w:ind w:left="709" w:hanging="709"/>
        <w:rPr>
          <w:rFonts w:cstheme="minorHAnsi"/>
          <w:color w:val="000000" w:themeColor="text1"/>
          <w:lang w:val="en-US"/>
        </w:rPr>
      </w:pPr>
    </w:p>
    <w:p w14:paraId="52591D29" w14:textId="77777777" w:rsidR="00C45B04" w:rsidRPr="00D8299C" w:rsidRDefault="00C45B04" w:rsidP="00C45B04">
      <w:pPr>
        <w:shd w:val="clear" w:color="auto" w:fill="FFFFFF" w:themeFill="background1"/>
        <w:spacing w:line="276" w:lineRule="auto"/>
        <w:ind w:left="709" w:hanging="709"/>
        <w:rPr>
          <w:rFonts w:cstheme="minorHAnsi"/>
          <w:color w:val="000000" w:themeColor="text1"/>
          <w:lang w:val="en-US"/>
        </w:rPr>
      </w:pPr>
      <w:r w:rsidRPr="00D8299C">
        <w:rPr>
          <w:rStyle w:val="eop"/>
          <w:rFonts w:cstheme="minorHAnsi"/>
          <w:color w:val="000000" w:themeColor="text1"/>
          <w:lang w:val="en-US"/>
        </w:rPr>
        <w:t>Federal Department of Finance. (2024). ‘</w:t>
      </w:r>
      <w:r w:rsidRPr="00D8299C">
        <w:rPr>
          <w:rFonts w:cstheme="minorHAnsi"/>
          <w:lang w:val="en-US"/>
        </w:rPr>
        <w:t>2024 Fiscal Sustainability Report for Switzerland Ageing and Net Zero Target</w:t>
      </w:r>
      <w:r w:rsidRPr="00D8299C">
        <w:rPr>
          <w:rStyle w:val="eop"/>
          <w:rFonts w:cstheme="minorHAnsi"/>
          <w:color w:val="000000" w:themeColor="text1"/>
          <w:lang w:val="en-US"/>
        </w:rPr>
        <w:t xml:space="preserve">.’ Berne: FDF. </w:t>
      </w:r>
      <w:hyperlink r:id="rId20">
        <w:r w:rsidRPr="00D8299C">
          <w:rPr>
            <w:rStyle w:val="Hyperlink"/>
            <w:rFonts w:cstheme="minorHAnsi"/>
            <w:lang w:val="en-US"/>
          </w:rPr>
          <w:t>Link.</w:t>
        </w:r>
      </w:hyperlink>
      <w:r w:rsidRPr="00D8299C">
        <w:rPr>
          <w:rStyle w:val="eop"/>
          <w:rFonts w:cstheme="minorHAnsi"/>
          <w:color w:val="000000" w:themeColor="text1"/>
          <w:lang w:val="en-US"/>
        </w:rPr>
        <w:t xml:space="preserve"> </w:t>
      </w:r>
      <w:r w:rsidRPr="00D8299C">
        <w:rPr>
          <w:rStyle w:val="eop"/>
          <w:rFonts w:cstheme="minorHAnsi"/>
          <w:color w:val="000000" w:themeColor="text1"/>
          <w:lang w:val="en-US"/>
        </w:rPr>
        <w:br/>
      </w:r>
      <w:r w:rsidRPr="00D8299C">
        <w:rPr>
          <w:rFonts w:cstheme="minorHAnsi"/>
          <w:i/>
          <w:iCs/>
          <w:color w:val="000000" w:themeColor="text1"/>
          <w:lang w:val="en-US"/>
        </w:rPr>
        <w:t>The 2024 report on Switzerland's long-term public finances projects the financial outlook for the Confederation, cantons, communes, and social security funds through 2060. It underscores the impact of demographic changes and climate mitigation measures needed to achieve net zero emissions. The projections indicate significant financial burdens, particularly on the Confederation and social security funds, due to slower economic growth and increased subsidies. Despite the costs, climate mitigation is essential to prevent climate damage, leading to a proposed revision of the CO2 Act.</w:t>
      </w:r>
    </w:p>
    <w:p w14:paraId="3FC083FD" w14:textId="77777777" w:rsidR="00C45B04" w:rsidRPr="00D8299C" w:rsidRDefault="00C45B04" w:rsidP="00C45B04">
      <w:pPr>
        <w:shd w:val="clear" w:color="auto" w:fill="FFFFFF" w:themeFill="background1"/>
        <w:spacing w:line="276" w:lineRule="auto"/>
        <w:ind w:left="709" w:hanging="709"/>
        <w:rPr>
          <w:rFonts w:cstheme="minorHAnsi"/>
          <w:color w:val="000000" w:themeColor="text1"/>
          <w:lang w:val="en-US"/>
        </w:rPr>
      </w:pPr>
    </w:p>
    <w:p w14:paraId="57944F6F" w14:textId="77777777" w:rsidR="00C45B04" w:rsidRPr="00D8299C" w:rsidRDefault="00C45B04" w:rsidP="00C45B04">
      <w:pPr>
        <w:shd w:val="clear" w:color="auto" w:fill="FFFFFF" w:themeFill="background1"/>
        <w:spacing w:line="276" w:lineRule="auto"/>
        <w:ind w:left="709" w:hanging="709"/>
        <w:rPr>
          <w:rFonts w:cstheme="minorHAnsi"/>
          <w:color w:val="000000" w:themeColor="text1"/>
          <w:lang w:val="en-US"/>
        </w:rPr>
      </w:pPr>
      <w:r w:rsidRPr="00D8299C">
        <w:rPr>
          <w:rFonts w:cstheme="minorHAnsi"/>
          <w:color w:val="222222"/>
          <w:lang w:val="en-US"/>
        </w:rPr>
        <w:t xml:space="preserve">Harris, J., Tim, T., Zohrab, J., Karolova, V., &amp; Rahman, J. (2022). ‘Georgia: Technical </w:t>
      </w:r>
      <w:r w:rsidRPr="00D8299C">
        <w:rPr>
          <w:rFonts w:cstheme="minorHAnsi"/>
          <w:color w:val="222222"/>
        </w:rPr>
        <w:t xml:space="preserve">Assistance Report-Updating the Balance Sheet and Quantifying Fiscal Risks from Climate Change’. IMF. </w:t>
      </w:r>
      <w:hyperlink r:id="rId21">
        <w:r w:rsidRPr="00D8299C">
          <w:rPr>
            <w:rStyle w:val="Hyperlink"/>
            <w:rFonts w:cstheme="minorHAnsi"/>
          </w:rPr>
          <w:t>Link</w:t>
        </w:r>
      </w:hyperlink>
      <w:r w:rsidRPr="00D8299C">
        <w:rPr>
          <w:rFonts w:cstheme="minorHAnsi"/>
          <w:color w:val="222222"/>
        </w:rPr>
        <w:t xml:space="preserve">. </w:t>
      </w:r>
      <w:r w:rsidRPr="00D8299C">
        <w:rPr>
          <w:rFonts w:cstheme="minorHAnsi"/>
        </w:rPr>
        <w:tab/>
      </w:r>
      <w:r w:rsidRPr="00D8299C">
        <w:rPr>
          <w:rFonts w:cstheme="minorHAnsi"/>
        </w:rPr>
        <w:br/>
      </w:r>
      <w:r w:rsidRPr="00D8299C">
        <w:rPr>
          <w:rFonts w:cstheme="minorHAnsi"/>
          <w:i/>
          <w:iCs/>
          <w:color w:val="222222"/>
        </w:rPr>
        <w:t xml:space="preserve">In December 2021, the IMF’s Fiscal Affairs Department updated Georgia’s public sector balance sheet to assess climate change fiscal risks. The analysis revealed significant impacts from rising temperatures, including increased weather volatility, flooding, droughts, and glacial retreat, affecting hydro power generation. The fiscal implications </w:t>
      </w:r>
      <w:r w:rsidRPr="00D8299C">
        <w:rPr>
          <w:rFonts w:cstheme="minorHAnsi"/>
          <w:i/>
          <w:iCs/>
          <w:color w:val="222222"/>
        </w:rPr>
        <w:lastRenderedPageBreak/>
        <w:t>include potential GDP per capita reduction by 13% and public debt increase by 18% of GDP by century's end. The report outlines methodologies for analyzing and mitigating these fiscal risks, emphasizing the need for resilient infrastructure planning.</w:t>
      </w:r>
    </w:p>
    <w:p w14:paraId="6FB83CF3" w14:textId="77777777" w:rsidR="00C45B04" w:rsidRPr="00D8299C" w:rsidRDefault="00C45B04" w:rsidP="00C45B04">
      <w:pPr>
        <w:shd w:val="clear" w:color="auto" w:fill="FFFFFF" w:themeFill="background1"/>
        <w:spacing w:line="276" w:lineRule="auto"/>
        <w:ind w:left="709" w:hanging="709"/>
        <w:rPr>
          <w:rStyle w:val="eop"/>
          <w:rFonts w:cstheme="minorHAnsi"/>
          <w:color w:val="000000" w:themeColor="text1"/>
        </w:rPr>
      </w:pPr>
    </w:p>
    <w:p w14:paraId="0A071823" w14:textId="77777777" w:rsidR="00C45B04" w:rsidRPr="00D8299C" w:rsidRDefault="00C45B04" w:rsidP="00C45B04">
      <w:pPr>
        <w:shd w:val="clear" w:color="auto" w:fill="FFFFFF" w:themeFill="background1"/>
        <w:spacing w:line="276" w:lineRule="auto"/>
        <w:ind w:left="709" w:hanging="709"/>
        <w:rPr>
          <w:rStyle w:val="eop"/>
          <w:rFonts w:cstheme="minorHAnsi"/>
          <w:color w:val="000000" w:themeColor="text1"/>
          <w:lang w:val="en-US"/>
        </w:rPr>
      </w:pPr>
      <w:r w:rsidRPr="00D8299C">
        <w:rPr>
          <w:rStyle w:val="eop"/>
          <w:rFonts w:cstheme="minorHAnsi"/>
          <w:color w:val="000000" w:themeColor="text1"/>
        </w:rPr>
        <w:t xml:space="preserve">UK Office for Budget Responsibility (2019). ‘Climate Change.’ pp. 239-255 (Chapter 9) In </w:t>
      </w:r>
      <w:r w:rsidRPr="00D8299C">
        <w:rPr>
          <w:rStyle w:val="eop"/>
          <w:rFonts w:cstheme="minorHAnsi"/>
          <w:i/>
          <w:iCs/>
          <w:color w:val="000000" w:themeColor="text1"/>
        </w:rPr>
        <w:t xml:space="preserve">Fiscal Risk Report. </w:t>
      </w:r>
      <w:r w:rsidRPr="00D8299C">
        <w:rPr>
          <w:rStyle w:val="eop"/>
          <w:rFonts w:cstheme="minorHAnsi"/>
          <w:color w:val="000000" w:themeColor="text1"/>
        </w:rPr>
        <w:t xml:space="preserve">London. </w:t>
      </w:r>
      <w:hyperlink r:id="rId22">
        <w:r w:rsidRPr="00D8299C">
          <w:rPr>
            <w:rStyle w:val="Hyperlink"/>
            <w:rFonts w:cstheme="minorHAnsi"/>
          </w:rPr>
          <w:t>Link</w:t>
        </w:r>
      </w:hyperlink>
      <w:r w:rsidRPr="00D8299C">
        <w:rPr>
          <w:rStyle w:val="eop"/>
          <w:rFonts w:cstheme="minorHAnsi"/>
          <w:color w:val="000000" w:themeColor="text1"/>
        </w:rPr>
        <w:t>.</w:t>
      </w:r>
      <w:r w:rsidRPr="00D8299C">
        <w:rPr>
          <w:rStyle w:val="eop"/>
          <w:rFonts w:cstheme="minorHAnsi"/>
          <w:b/>
          <w:bCs/>
          <w:color w:val="000000" w:themeColor="text1"/>
        </w:rPr>
        <w:t xml:space="preserve"> </w:t>
      </w:r>
      <w:r w:rsidRPr="00D8299C">
        <w:rPr>
          <w:rStyle w:val="eop"/>
          <w:rFonts w:cstheme="minorHAnsi"/>
          <w:b/>
          <w:bCs/>
          <w:color w:val="000000" w:themeColor="text1"/>
        </w:rPr>
        <w:br/>
      </w:r>
      <w:r w:rsidRPr="00D8299C">
        <w:rPr>
          <w:rStyle w:val="eop"/>
          <w:rFonts w:cstheme="minorHAnsi"/>
          <w:i/>
          <w:iCs/>
          <w:color w:val="000000" w:themeColor="text1"/>
        </w:rPr>
        <w:t>The UK Fiscal Risk Report 2019 navigates the complexities of considering climate change within fiscal risk assessments, guided by Parliament's directive to refrain from evaluating alternative policy paths. While tax and spending decisions can directly impact public finances and climate change trajectories, the report focuses on illustrating associated risks rather than evaluating policy choices. It outlines a framework for assessing climate-related fiscal risks, discusses their nature and scale, and outlines collaboration plans with other institutions. The report acknowledges challenges in foreseeing the full systemic consequences of global warming and plans to utilize scenario analysis from the Bank of England for quantitative assessments.</w:t>
      </w:r>
    </w:p>
    <w:p w14:paraId="4D35B2E2" w14:textId="77777777" w:rsidR="00C45B04" w:rsidRPr="00D8299C" w:rsidRDefault="00C45B04" w:rsidP="00C45B04">
      <w:pPr>
        <w:shd w:val="clear" w:color="auto" w:fill="FFFFFF" w:themeFill="background1"/>
        <w:spacing w:line="276" w:lineRule="auto"/>
        <w:ind w:left="709" w:hanging="709"/>
        <w:rPr>
          <w:rStyle w:val="normaltextrun"/>
          <w:rFonts w:cstheme="minorHAnsi"/>
          <w:color w:val="000000" w:themeColor="text1"/>
        </w:rPr>
      </w:pPr>
    </w:p>
    <w:p w14:paraId="201C5C79" w14:textId="77777777" w:rsidR="00C45B04" w:rsidRPr="00D8299C" w:rsidRDefault="00C45B04" w:rsidP="00C45B04">
      <w:pPr>
        <w:shd w:val="clear" w:color="auto" w:fill="FFFFFF" w:themeFill="background1"/>
        <w:spacing w:line="276" w:lineRule="auto"/>
        <w:ind w:left="709" w:hanging="709"/>
        <w:rPr>
          <w:rStyle w:val="eop"/>
          <w:rFonts w:cstheme="minorHAnsi"/>
          <w:color w:val="000000" w:themeColor="text1"/>
          <w:lang w:val="en-US"/>
        </w:rPr>
      </w:pPr>
      <w:r w:rsidRPr="00D8299C">
        <w:rPr>
          <w:rStyle w:val="eop"/>
          <w:rFonts w:cstheme="minorHAnsi"/>
          <w:color w:val="000000" w:themeColor="text1"/>
        </w:rPr>
        <w:t xml:space="preserve">U.S. Office of Budget Management (2022). ‘Federal Budget Exposure to Climate Risk’, pp. 277- 295 (Chapter 21) in </w:t>
      </w:r>
      <w:r w:rsidRPr="00D8299C">
        <w:rPr>
          <w:rStyle w:val="eop"/>
          <w:rFonts w:cstheme="minorHAnsi"/>
          <w:i/>
          <w:iCs/>
          <w:color w:val="000000" w:themeColor="text1"/>
        </w:rPr>
        <w:t>Analytical Perspectives Budget of the U.S. Government</w:t>
      </w:r>
      <w:r w:rsidRPr="00D8299C">
        <w:rPr>
          <w:rStyle w:val="eop"/>
          <w:rFonts w:cstheme="minorHAnsi"/>
          <w:color w:val="000000" w:themeColor="text1"/>
        </w:rPr>
        <w:t xml:space="preserve"> </w:t>
      </w:r>
      <w:r w:rsidRPr="00D8299C">
        <w:rPr>
          <w:rStyle w:val="eop"/>
          <w:rFonts w:cstheme="minorHAnsi"/>
          <w:i/>
          <w:iCs/>
          <w:color w:val="000000" w:themeColor="text1"/>
          <w:lang w:val="en-US"/>
        </w:rPr>
        <w:t>Fiscal Year 2023.</w:t>
      </w:r>
      <w:r w:rsidRPr="00D8299C">
        <w:rPr>
          <w:rStyle w:val="eop"/>
          <w:rFonts w:cstheme="minorHAnsi"/>
          <w:color w:val="000000" w:themeColor="text1"/>
          <w:lang w:val="en-US"/>
        </w:rPr>
        <w:t xml:space="preserve"> </w:t>
      </w:r>
      <w:hyperlink r:id="rId23">
        <w:r w:rsidRPr="00D8299C">
          <w:rPr>
            <w:rStyle w:val="Hyperlink"/>
            <w:rFonts w:cstheme="minorHAnsi"/>
            <w:lang w:val="en-US"/>
          </w:rPr>
          <w:t>Link</w:t>
        </w:r>
      </w:hyperlink>
      <w:r w:rsidRPr="00D8299C">
        <w:rPr>
          <w:rStyle w:val="eop"/>
          <w:rFonts w:cstheme="minorHAnsi"/>
          <w:color w:val="000000" w:themeColor="text1"/>
          <w:lang w:val="en-US"/>
        </w:rPr>
        <w:t xml:space="preserve">. </w:t>
      </w:r>
      <w:r w:rsidRPr="00D8299C">
        <w:rPr>
          <w:rStyle w:val="eop"/>
          <w:rFonts w:cstheme="minorHAnsi"/>
          <w:color w:val="000000" w:themeColor="text1"/>
        </w:rPr>
        <w:br/>
      </w:r>
      <w:r w:rsidRPr="00D8299C">
        <w:rPr>
          <w:rStyle w:val="eop"/>
          <w:rFonts w:cstheme="minorHAnsi"/>
          <w:i/>
          <w:iCs/>
          <w:color w:val="000000" w:themeColor="text1"/>
          <w:lang w:val="en-US"/>
        </w:rPr>
        <w:t>This U.S. report underscores the urgent threat of climate change to the economy and welfare, necessitating immediate action to mitigate catastrophic impacts. Rising costs and revenue losses from extreme weather events, costing around $120 billion annually, disproportionately affect vulnerable communities. The Federal Government's role in aiding recovery is crucial, but increasing climate-related damages strain the budget, with risks including infrastructure damage, healthcare costs, and global security threats. Quantifying total risks remains a challenge, but the overall impact on the economy outweighs fiscal concerns, emphasizing the need for comprehensive action.</w:t>
      </w:r>
    </w:p>
    <w:p w14:paraId="7B1455A9" w14:textId="77777777" w:rsidR="00C45B04" w:rsidRPr="00D8299C" w:rsidRDefault="00C45B04" w:rsidP="00C45B04">
      <w:pPr>
        <w:shd w:val="clear" w:color="auto" w:fill="FFFFFF" w:themeFill="background1"/>
        <w:spacing w:line="276" w:lineRule="auto"/>
        <w:ind w:left="709" w:hanging="709"/>
        <w:rPr>
          <w:rStyle w:val="eop"/>
          <w:rFonts w:cstheme="minorHAnsi"/>
          <w:color w:val="000000" w:themeColor="text1"/>
          <w:lang w:val="en-US"/>
        </w:rPr>
      </w:pPr>
    </w:p>
    <w:p w14:paraId="56272E14" w14:textId="77777777" w:rsidR="00C45B04" w:rsidRPr="00D8299C" w:rsidRDefault="00C45B04" w:rsidP="00C45B04">
      <w:pPr>
        <w:shd w:val="clear" w:color="auto" w:fill="FFFFFF" w:themeFill="background1"/>
        <w:spacing w:line="276" w:lineRule="auto"/>
        <w:ind w:left="709" w:hanging="709"/>
        <w:rPr>
          <w:rFonts w:cstheme="minorHAnsi"/>
          <w:color w:val="000000" w:themeColor="text1"/>
          <w:lang w:val="en-US"/>
        </w:rPr>
      </w:pPr>
      <w:r w:rsidRPr="00D8299C">
        <w:rPr>
          <w:rStyle w:val="eop"/>
          <w:rFonts w:cstheme="minorHAnsi"/>
          <w:color w:val="000000" w:themeColor="text1"/>
          <w:lang w:val="en-US"/>
        </w:rPr>
        <w:t xml:space="preserve">U.S. Office of Budget Management (2022). ‘Long-term Outlook’, pp. 31-39 (Chapter 3) in </w:t>
      </w:r>
      <w:r w:rsidRPr="00D8299C">
        <w:rPr>
          <w:rStyle w:val="eop"/>
          <w:rFonts w:cstheme="minorHAnsi"/>
          <w:i/>
          <w:iCs/>
          <w:color w:val="000000" w:themeColor="text1"/>
          <w:lang w:val="en-US"/>
        </w:rPr>
        <w:t>Analytical Perspectives Budget of the U.S. Government Fiscal Year 2023.</w:t>
      </w:r>
      <w:r w:rsidRPr="00D8299C">
        <w:rPr>
          <w:rStyle w:val="eop"/>
          <w:rFonts w:cstheme="minorHAnsi"/>
          <w:color w:val="000000" w:themeColor="text1"/>
          <w:lang w:val="en-US"/>
        </w:rPr>
        <w:t xml:space="preserve"> </w:t>
      </w:r>
      <w:hyperlink r:id="rId24">
        <w:r w:rsidRPr="00D8299C">
          <w:rPr>
            <w:rStyle w:val="Hyperlink"/>
            <w:rFonts w:cstheme="minorHAnsi"/>
            <w:lang w:val="en-US"/>
          </w:rPr>
          <w:t>Link</w:t>
        </w:r>
      </w:hyperlink>
      <w:r w:rsidRPr="00D8299C">
        <w:rPr>
          <w:rStyle w:val="eop"/>
          <w:rFonts w:cstheme="minorHAnsi"/>
          <w:color w:val="000000" w:themeColor="text1"/>
          <w:lang w:val="en-US"/>
        </w:rPr>
        <w:t xml:space="preserve">. </w:t>
      </w:r>
      <w:r w:rsidRPr="00D8299C">
        <w:rPr>
          <w:rFonts w:cstheme="minorHAnsi"/>
        </w:rPr>
        <w:br/>
      </w:r>
      <w:r w:rsidRPr="00D8299C">
        <w:rPr>
          <w:rFonts w:cstheme="minorHAnsi"/>
          <w:i/>
          <w:iCs/>
        </w:rPr>
        <w:t xml:space="preserve">The report warns of significant long-term downside risks to real GDP from climate change, with warming trends potentially exceeding 2°C by century's end. Increased natural disasters and chronic risks like sea level rise threaten productivity across sectors. Analysis suggests a nearly 2.5% GDP reduction by mid-century under current policies, with losses accelerating later. The 90% confidence interval ranges from 1.3% to 4.5% </w:t>
      </w:r>
      <w:r w:rsidRPr="00D8299C">
        <w:rPr>
          <w:rFonts w:cstheme="minorHAnsi"/>
          <w:i/>
          <w:iCs/>
        </w:rPr>
        <w:lastRenderedPageBreak/>
        <w:t>lower GDP compared to a no-further-warming scenario, highlighting the urgent need for further evidence and analysis to mitigate uncertainty.</w:t>
      </w:r>
    </w:p>
    <w:p w14:paraId="381F8E82" w14:textId="77777777" w:rsidR="00C45B04" w:rsidRPr="00D8299C" w:rsidRDefault="00C45B04" w:rsidP="00C45B04">
      <w:pPr>
        <w:shd w:val="clear" w:color="auto" w:fill="FFFFFF" w:themeFill="background1"/>
        <w:spacing w:line="276" w:lineRule="auto"/>
        <w:ind w:left="709" w:hanging="709"/>
        <w:rPr>
          <w:rStyle w:val="eop"/>
          <w:rFonts w:cstheme="minorHAnsi"/>
          <w:color w:val="000000" w:themeColor="text1"/>
        </w:rPr>
      </w:pPr>
    </w:p>
    <w:p w14:paraId="2DAAD184" w14:textId="77777777" w:rsidR="00C45B04" w:rsidRPr="00D8299C" w:rsidRDefault="00C45B04" w:rsidP="00C45B04">
      <w:pPr>
        <w:shd w:val="clear" w:color="auto" w:fill="FFFFFF" w:themeFill="background1"/>
        <w:spacing w:line="276" w:lineRule="auto"/>
        <w:ind w:left="709" w:hanging="709"/>
        <w:rPr>
          <w:rStyle w:val="eop"/>
          <w:rFonts w:cstheme="minorHAnsi"/>
          <w:color w:val="000000" w:themeColor="text1"/>
          <w:lang w:val="en-US"/>
        </w:rPr>
      </w:pPr>
      <w:r w:rsidRPr="00D8299C">
        <w:rPr>
          <w:rStyle w:val="eop"/>
          <w:rFonts w:cstheme="minorHAnsi"/>
          <w:color w:val="000000" w:themeColor="text1"/>
        </w:rPr>
        <w:t>U.S. Office of Budget Management (2022). ‘Climate Risk Exposure: An Assessment of the Federal Government’s Financial Risks to Climate Change’</w:t>
      </w:r>
      <w:r w:rsidRPr="00D8299C">
        <w:rPr>
          <w:rStyle w:val="eop"/>
          <w:rFonts w:cstheme="minorHAnsi"/>
          <w:i/>
          <w:iCs/>
          <w:color w:val="000000" w:themeColor="text1"/>
        </w:rPr>
        <w:t>.</w:t>
      </w:r>
      <w:r w:rsidRPr="00D8299C">
        <w:rPr>
          <w:rStyle w:val="eop"/>
          <w:rFonts w:cstheme="minorHAnsi"/>
          <w:color w:val="000000" w:themeColor="text1"/>
        </w:rPr>
        <w:t xml:space="preserve"> White Paper. </w:t>
      </w:r>
      <w:hyperlink r:id="rId25">
        <w:r w:rsidRPr="00D8299C">
          <w:rPr>
            <w:rStyle w:val="Hyperlink"/>
            <w:rFonts w:cstheme="minorHAnsi"/>
          </w:rPr>
          <w:t>Link</w:t>
        </w:r>
      </w:hyperlink>
      <w:r w:rsidRPr="00D8299C">
        <w:rPr>
          <w:rStyle w:val="eop"/>
          <w:rFonts w:cstheme="minorHAnsi"/>
          <w:color w:val="000000" w:themeColor="text1"/>
        </w:rPr>
        <w:t xml:space="preserve">. </w:t>
      </w:r>
      <w:r w:rsidRPr="00D8299C">
        <w:rPr>
          <w:rStyle w:val="eop"/>
          <w:rFonts w:cstheme="minorHAnsi"/>
          <w:color w:val="000000" w:themeColor="text1"/>
        </w:rPr>
        <w:br/>
      </w:r>
      <w:r w:rsidRPr="00D8299C">
        <w:rPr>
          <w:rStyle w:val="eop"/>
          <w:rFonts w:cstheme="minorHAnsi"/>
          <w:i/>
          <w:iCs/>
          <w:color w:val="000000" w:themeColor="text1"/>
        </w:rPr>
        <w:t>The US White Paper underscores the urgent threat of climate change to the economy and welfare, with escalating damages estimated at $120 billion annually from extreme weather events. Vulnerable populations, including racial and ethnic minorities, bear disproportionate impacts. The Federal Government plays a critical role in recovery efforts, but increasing climate-related damages strain budgets, with potential losses of $34-$112 billion per year by later century. The paper assesses climate risks across six program areas, highlighting the need for further quantification and mitigation efforts.</w:t>
      </w:r>
    </w:p>
    <w:p w14:paraId="0D3488F3" w14:textId="77777777" w:rsidR="00C45B04" w:rsidRPr="00D8299C" w:rsidRDefault="00C45B04" w:rsidP="00C45B04">
      <w:pPr>
        <w:spacing w:line="276" w:lineRule="auto"/>
        <w:rPr>
          <w:rFonts w:cstheme="minorHAnsi"/>
          <w:i/>
          <w:iCs/>
        </w:rPr>
      </w:pPr>
      <w:bookmarkStart w:id="21" w:name="_Toc1581191465"/>
      <w:bookmarkStart w:id="22" w:name="_Toc1055172039"/>
      <w:bookmarkStart w:id="23" w:name="_Toc2040403103"/>
      <w:bookmarkStart w:id="24" w:name="_Toc1595420705"/>
      <w:bookmarkEnd w:id="21"/>
      <w:bookmarkEnd w:id="22"/>
      <w:bookmarkEnd w:id="23"/>
      <w:bookmarkEnd w:id="24"/>
    </w:p>
    <w:p w14:paraId="33769D82" w14:textId="77777777" w:rsidR="00C45B04" w:rsidRPr="00D8299C" w:rsidRDefault="00C45B04" w:rsidP="00C45B04">
      <w:pPr>
        <w:rPr>
          <w:rFonts w:cstheme="minorHAnsi"/>
          <w:color w:val="2F5496" w:themeColor="accent1" w:themeShade="BF"/>
          <w:sz w:val="40"/>
          <w:szCs w:val="40"/>
        </w:rPr>
      </w:pPr>
      <w:r w:rsidRPr="00D8299C">
        <w:rPr>
          <w:rFonts w:cstheme="minorHAnsi"/>
        </w:rPr>
        <w:br w:type="page"/>
      </w:r>
    </w:p>
    <w:p w14:paraId="688545C9" w14:textId="77777777" w:rsidR="00C45B04" w:rsidRPr="00D8299C" w:rsidRDefault="00C45B04" w:rsidP="00C45B04">
      <w:pPr>
        <w:pStyle w:val="Heading2"/>
        <w:rPr>
          <w:rFonts w:asciiTheme="minorHAnsi" w:hAnsiTheme="minorHAnsi" w:cstheme="minorHAnsi"/>
          <w:b/>
          <w:bCs/>
          <w:i/>
          <w:iCs/>
          <w:color w:val="0070C0"/>
          <w:sz w:val="24"/>
          <w:szCs w:val="24"/>
          <w:lang w:val="en-US"/>
        </w:rPr>
      </w:pPr>
      <w:bookmarkStart w:id="25" w:name="_Toc173169084"/>
      <w:bookmarkStart w:id="26" w:name="_Toc181734669"/>
      <w:r w:rsidRPr="00D8299C">
        <w:rPr>
          <w:rFonts w:asciiTheme="minorHAnsi" w:hAnsiTheme="minorHAnsi" w:cstheme="minorHAnsi"/>
          <w:lang w:val="en-US"/>
        </w:rPr>
        <w:lastRenderedPageBreak/>
        <w:t>Debt Sustainability Analysis and Climate</w:t>
      </w:r>
      <w:bookmarkEnd w:id="18"/>
      <w:bookmarkEnd w:id="25"/>
      <w:bookmarkEnd w:id="26"/>
    </w:p>
    <w:p w14:paraId="5BD32DBF" w14:textId="77777777" w:rsidR="00C45B04" w:rsidRPr="00D8299C" w:rsidRDefault="00C45B04" w:rsidP="00C45B04">
      <w:pPr>
        <w:spacing w:line="276" w:lineRule="auto"/>
        <w:ind w:left="709" w:right="45" w:hanging="709"/>
        <w:rPr>
          <w:rFonts w:cstheme="minorHAnsi"/>
          <w:color w:val="000000" w:themeColor="text1"/>
        </w:rPr>
      </w:pPr>
      <w:r w:rsidRPr="00D8299C">
        <w:rPr>
          <w:rFonts w:cstheme="minorHAnsi"/>
        </w:rPr>
        <w:t xml:space="preserve">Buffie, E., Berg, A., Pattillo, C., Portillo, R. &amp; Zanna, L. (2012). ‘Public Investment, Growth, and Debt Sustainability: Putting Together the Pieces.’ IMF. </w:t>
      </w:r>
      <w:hyperlink r:id="rId26">
        <w:r w:rsidRPr="00D8299C">
          <w:rPr>
            <w:rStyle w:val="Hyperlink"/>
            <w:rFonts w:cstheme="minorHAnsi"/>
          </w:rPr>
          <w:t>Link</w:t>
        </w:r>
      </w:hyperlink>
      <w:r w:rsidRPr="00D8299C">
        <w:rPr>
          <w:rFonts w:cstheme="minorHAnsi"/>
        </w:rPr>
        <w:t>.</w:t>
      </w:r>
      <w:r w:rsidRPr="00D8299C">
        <w:rPr>
          <w:rFonts w:cstheme="minorHAnsi"/>
          <w:color w:val="1155CC"/>
        </w:rPr>
        <w:t xml:space="preserve"> </w:t>
      </w:r>
      <w:r w:rsidRPr="00D8299C">
        <w:rPr>
          <w:rFonts w:cstheme="minorHAnsi"/>
          <w:color w:val="000000" w:themeColor="text1"/>
        </w:rPr>
        <w:br/>
      </w:r>
      <w:r w:rsidRPr="00D8299C">
        <w:rPr>
          <w:rFonts w:cstheme="minorHAnsi"/>
          <w:i/>
          <w:iCs/>
          <w:color w:val="000000" w:themeColor="text1"/>
        </w:rPr>
        <w:t>This paper addresses criticisms by proposing an internally consistent quantitative macroeconomic framework that may be useful in constructing the scenarios necessary for debt sustainability analysis. The model has many LIC-specific components, but it is centered on the public investment growth nexus.</w:t>
      </w:r>
    </w:p>
    <w:p w14:paraId="4F8EF0A5" w14:textId="77777777" w:rsidR="00C45B04" w:rsidRPr="00D8299C" w:rsidRDefault="00C45B04" w:rsidP="00C45B04">
      <w:pPr>
        <w:spacing w:line="276" w:lineRule="auto"/>
        <w:ind w:left="709" w:right="45" w:hanging="709"/>
        <w:rPr>
          <w:rStyle w:val="eop"/>
          <w:rFonts w:cstheme="minorHAnsi"/>
          <w:color w:val="000000" w:themeColor="text1"/>
          <w:lang w:val="en-US"/>
        </w:rPr>
      </w:pPr>
    </w:p>
    <w:p w14:paraId="39B2D83D" w14:textId="77777777" w:rsidR="00C45B04" w:rsidRPr="00D8299C" w:rsidRDefault="00C45B04" w:rsidP="00C45B04">
      <w:pPr>
        <w:spacing w:line="276" w:lineRule="auto"/>
        <w:ind w:left="709" w:right="45" w:hanging="709"/>
        <w:rPr>
          <w:rStyle w:val="Hyperlink"/>
          <w:rFonts w:cstheme="minorHAnsi"/>
          <w:color w:val="000000" w:themeColor="text1"/>
          <w:u w:val="none"/>
        </w:rPr>
      </w:pPr>
      <w:r w:rsidRPr="00D8299C">
        <w:rPr>
          <w:rStyle w:val="eop"/>
          <w:rFonts w:cstheme="minorHAnsi"/>
          <w:color w:val="000000" w:themeColor="text1"/>
          <w:lang w:val="en-US"/>
        </w:rPr>
        <w:t xml:space="preserve">European Commission (2020): Debt Sustainability Monitor 2019, European Commission, Institutional Paper 120, January 2020. </w:t>
      </w:r>
      <w:hyperlink r:id="rId27">
        <w:r w:rsidRPr="00D8299C">
          <w:rPr>
            <w:rStyle w:val="Hyperlink"/>
            <w:rFonts w:cstheme="minorHAnsi"/>
            <w:lang w:val="en-US"/>
          </w:rPr>
          <w:t>Link</w:t>
        </w:r>
      </w:hyperlink>
      <w:r w:rsidRPr="00D8299C">
        <w:rPr>
          <w:rStyle w:val="eop"/>
          <w:rFonts w:cstheme="minorHAnsi"/>
          <w:color w:val="000000" w:themeColor="text1"/>
          <w:lang w:val="en-US"/>
        </w:rPr>
        <w:t xml:space="preserve">. </w:t>
      </w:r>
      <w:r w:rsidRPr="00D8299C">
        <w:rPr>
          <w:rStyle w:val="eop"/>
          <w:rFonts w:cstheme="minorHAnsi"/>
          <w:color w:val="000000" w:themeColor="text1"/>
          <w:lang w:val="en-US"/>
        </w:rPr>
        <w:br/>
      </w:r>
      <w:r w:rsidRPr="00D8299C">
        <w:rPr>
          <w:rStyle w:val="eop"/>
          <w:rFonts w:cstheme="minorHAnsi"/>
          <w:i/>
          <w:iCs/>
          <w:color w:val="000000" w:themeColor="text1"/>
          <w:lang w:val="en-US"/>
        </w:rPr>
        <w:t>This paper examines fiscal sustainability amid the current low-interest rate environment, noting a global economic slowdown and persistent structural factors. It highlights how central banks' accommodative policies and lower government bond yields, especially in the EU, impact debt sustainability. The interest-growth rate differential has turned negative in many advanced economies, supporting debt reduction. However, the paper warns of ongoing risks, especially in highly indebted countries, due to aging costs and climate change expenditures. It emphasizes the need for diverse fiscal policies across EU member states to ensure debt sustainability and support economic growth.</w:t>
      </w:r>
    </w:p>
    <w:p w14:paraId="1D1E5E06" w14:textId="77777777" w:rsidR="00C45B04" w:rsidRPr="00D8299C" w:rsidRDefault="00C45B04" w:rsidP="00C45B04">
      <w:pPr>
        <w:spacing w:line="276" w:lineRule="auto"/>
        <w:ind w:left="709" w:right="45" w:hanging="709"/>
        <w:rPr>
          <w:rStyle w:val="Hyperlink"/>
          <w:rFonts w:cstheme="minorHAnsi"/>
          <w:color w:val="000000" w:themeColor="text1"/>
          <w:u w:val="none"/>
        </w:rPr>
      </w:pPr>
    </w:p>
    <w:p w14:paraId="3109D90F" w14:textId="77777777" w:rsidR="00C45B04" w:rsidRPr="00D8299C" w:rsidRDefault="00C45B04" w:rsidP="00C45B04">
      <w:pPr>
        <w:spacing w:line="276" w:lineRule="auto"/>
        <w:ind w:left="709" w:right="45" w:hanging="709"/>
        <w:rPr>
          <w:rStyle w:val="eop"/>
          <w:rFonts w:cstheme="minorHAnsi"/>
          <w:color w:val="000000" w:themeColor="text1"/>
        </w:rPr>
      </w:pPr>
      <w:r w:rsidRPr="00D8299C">
        <w:rPr>
          <w:rStyle w:val="eop"/>
          <w:rFonts w:cstheme="minorHAnsi"/>
          <w:color w:val="000000" w:themeColor="text1"/>
        </w:rPr>
        <w:t xml:space="preserve">IMF. (2022). ‘Staff Guidance Note on the Sovereign Risk and Debt Sustainability Framework for Market Access Countries’. Policy Paper No. 2022/039 (pp. 84- 95). </w:t>
      </w:r>
      <w:hyperlink r:id="rId28">
        <w:r w:rsidRPr="00D8299C">
          <w:rPr>
            <w:rStyle w:val="Hyperlink"/>
            <w:rFonts w:cstheme="minorHAnsi"/>
          </w:rPr>
          <w:t>Link</w:t>
        </w:r>
      </w:hyperlink>
      <w:r w:rsidRPr="00D8299C">
        <w:rPr>
          <w:rStyle w:val="eop"/>
          <w:rFonts w:cstheme="minorHAnsi"/>
          <w:color w:val="000000" w:themeColor="text1"/>
        </w:rPr>
        <w:t xml:space="preserve">. </w:t>
      </w:r>
      <w:r w:rsidRPr="00D8299C">
        <w:rPr>
          <w:rStyle w:val="eop"/>
          <w:rFonts w:cstheme="minorHAnsi"/>
          <w:color w:val="000000" w:themeColor="text1"/>
        </w:rPr>
        <w:br/>
      </w:r>
      <w:r w:rsidRPr="00D8299C">
        <w:rPr>
          <w:rStyle w:val="eop"/>
          <w:rFonts w:cstheme="minorHAnsi"/>
          <w:i/>
          <w:iCs/>
          <w:color w:val="000000" w:themeColor="text1"/>
        </w:rPr>
        <w:t xml:space="preserve">The Staff Guidance Note outlines the Sovereign Risk and Debt Sustainability Framework (SRDSF), replacing the previous Debt Sustainability Framework for Market Access Countries. The SRDSF enhances debt analysis through improved organization, methodology, and transparency. It serves as a vital tool for the IMF in surveillance and lending, offering early warning signals for debt-related risks and guiding policy recommendations. For countries facing debt stress, the SRDSF assesses sustainability and provides restructuring methodologies. The framework includes various tools for analyzing debt risks across different time horizons, supported by enhanced disclosures and forecast realism. </w:t>
      </w:r>
    </w:p>
    <w:p w14:paraId="61D8D5DC" w14:textId="77777777" w:rsidR="00C45B04" w:rsidRPr="00D8299C" w:rsidRDefault="00C45B04" w:rsidP="00C45B04">
      <w:pPr>
        <w:rPr>
          <w:rFonts w:cstheme="minorHAnsi"/>
          <w:color w:val="2F5496" w:themeColor="accent1" w:themeShade="BF"/>
          <w:sz w:val="32"/>
          <w:szCs w:val="32"/>
        </w:rPr>
      </w:pPr>
      <w:bookmarkStart w:id="27" w:name="_Toc357484294"/>
      <w:r w:rsidRPr="00D8299C">
        <w:rPr>
          <w:rFonts w:cstheme="minorHAnsi"/>
        </w:rPr>
        <w:br w:type="page"/>
      </w:r>
    </w:p>
    <w:p w14:paraId="569148B7" w14:textId="77777777" w:rsidR="00C45B04" w:rsidRPr="00D8299C" w:rsidRDefault="00C45B04" w:rsidP="00C45B04">
      <w:pPr>
        <w:pStyle w:val="Heading2"/>
        <w:rPr>
          <w:rFonts w:asciiTheme="minorHAnsi" w:hAnsiTheme="minorHAnsi" w:cstheme="minorHAnsi"/>
        </w:rPr>
      </w:pPr>
      <w:bookmarkStart w:id="28" w:name="_Toc1249439456"/>
      <w:bookmarkStart w:id="29" w:name="_Toc173169085"/>
      <w:bookmarkStart w:id="30" w:name="_Toc181734670"/>
      <w:bookmarkStart w:id="31" w:name="_Toc260058259"/>
      <w:bookmarkEnd w:id="27"/>
      <w:r w:rsidRPr="00D8299C">
        <w:rPr>
          <w:rFonts w:asciiTheme="minorHAnsi" w:hAnsiTheme="minorHAnsi" w:cstheme="minorHAnsi"/>
        </w:rPr>
        <w:lastRenderedPageBreak/>
        <w:t>Climate Financial Risk</w:t>
      </w:r>
      <w:bookmarkEnd w:id="28"/>
      <w:r w:rsidRPr="00D8299C">
        <w:rPr>
          <w:rFonts w:asciiTheme="minorHAnsi" w:hAnsiTheme="minorHAnsi" w:cstheme="minorHAnsi"/>
        </w:rPr>
        <w:t>s</w:t>
      </w:r>
      <w:bookmarkEnd w:id="29"/>
      <w:bookmarkEnd w:id="30"/>
    </w:p>
    <w:p w14:paraId="1E9F6E9F"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Battiston, S., Mandel, A., Monasterolo, I., Schutze, F. &amp; Visentin, G. ‘A Climate Stress Test of the Financial System.’ </w:t>
      </w:r>
      <w:r w:rsidRPr="00D8299C">
        <w:rPr>
          <w:rFonts w:cstheme="minorHAnsi"/>
          <w:i/>
          <w:iCs/>
          <w:color w:val="000000" w:themeColor="text1"/>
          <w:lang w:val="en-US"/>
        </w:rPr>
        <w:t>Nature Climate Change</w:t>
      </w:r>
      <w:r w:rsidRPr="00D8299C">
        <w:rPr>
          <w:rFonts w:cstheme="minorHAnsi"/>
          <w:color w:val="000000" w:themeColor="text1"/>
          <w:lang w:val="en-US"/>
        </w:rPr>
        <w:t xml:space="preserve"> 7 (2017): 283-290. </w:t>
      </w:r>
      <w:hyperlink r:id="rId29">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color w:val="000000" w:themeColor="text1"/>
          <w:lang w:val="en-US"/>
        </w:rPr>
        <w:br/>
      </w:r>
      <w:r w:rsidRPr="00D8299C">
        <w:rPr>
          <w:rFonts w:cstheme="minorHAnsi"/>
          <w:i/>
          <w:iCs/>
          <w:color w:val="000000" w:themeColor="text1"/>
          <w:lang w:val="en-US"/>
        </w:rPr>
        <w:t>In this study, the authors assess the impact of climate risks on the financial system.  Through a network-based climate stress-test methodology that they developed and applied in European countries, the authors found that direct and indirect exposures to climate policy-relevant sectors (transportation, fossil fuels, housing, utilities, etc.) represent a large portion of investors’ equity portfolios, especially for investment and pension funds.  Additionally, bank loan portfolios exposed to these sectors are comparable to the bank’s capital.  A stable policy framework could address systemic consequences, the authors recommend.</w:t>
      </w:r>
    </w:p>
    <w:p w14:paraId="656390F1" w14:textId="77777777" w:rsidR="00C45B04" w:rsidRPr="00D8299C" w:rsidRDefault="00C45B04" w:rsidP="00C45B04">
      <w:pPr>
        <w:spacing w:line="276" w:lineRule="auto"/>
        <w:rPr>
          <w:rFonts w:cstheme="minorHAnsi"/>
          <w:color w:val="000000" w:themeColor="text1"/>
          <w:lang w:val="en-US"/>
        </w:rPr>
      </w:pPr>
    </w:p>
    <w:p w14:paraId="37BC5CD2" w14:textId="77777777" w:rsidR="00C45B04" w:rsidRPr="00D8299C" w:rsidRDefault="00C45B04" w:rsidP="00C45B04">
      <w:pPr>
        <w:spacing w:line="276" w:lineRule="auto"/>
        <w:ind w:left="709" w:hanging="709"/>
        <w:rPr>
          <w:rFonts w:cstheme="minorHAnsi"/>
          <w:color w:val="000000" w:themeColor="text1"/>
        </w:rPr>
      </w:pPr>
      <w:r w:rsidRPr="00D8299C">
        <w:rPr>
          <w:rFonts w:cstheme="minorHAnsi"/>
          <w:color w:val="000000" w:themeColor="text1"/>
          <w:lang w:val="en-US"/>
        </w:rPr>
        <w:t>Dikau, S. &amp; Volz, U. (2018). ‘Central Banking, Climate Change, and Green Finance’.</w:t>
      </w:r>
      <w:r w:rsidRPr="00D8299C">
        <w:rPr>
          <w:rFonts w:cstheme="minorHAnsi"/>
        </w:rPr>
        <w:t xml:space="preserve"> </w:t>
      </w:r>
      <w:r w:rsidRPr="00D8299C">
        <w:rPr>
          <w:rFonts w:cstheme="minorHAnsi"/>
          <w:color w:val="000000" w:themeColor="text1"/>
          <w:lang w:val="en-US"/>
        </w:rPr>
        <w:t xml:space="preserve">ADBI Working Paper Series, No. 867. </w:t>
      </w:r>
      <w:hyperlink r:id="rId30">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color w:val="000000" w:themeColor="text1"/>
        </w:rPr>
        <w:br/>
      </w:r>
      <w:r w:rsidRPr="00D8299C">
        <w:rPr>
          <w:rFonts w:cstheme="minorHAnsi"/>
          <w:i/>
          <w:iCs/>
          <w:color w:val="000000" w:themeColor="text1"/>
        </w:rPr>
        <w:t xml:space="preserve">This paper from ADBI discusses public finance governance policies, through which central banks and other relevant financial regulatory bodies can address environmental risks and promote sustainable finance. It also includes a review of green public financial governance initiatives and existing tools central banks can utilize to promote sustainable finance.  </w:t>
      </w:r>
    </w:p>
    <w:p w14:paraId="5041B403" w14:textId="77777777" w:rsidR="00C45B04" w:rsidRPr="00D8299C" w:rsidRDefault="00C45B04" w:rsidP="00C45B04">
      <w:pPr>
        <w:spacing w:line="276" w:lineRule="auto"/>
        <w:ind w:left="720"/>
        <w:rPr>
          <w:rFonts w:cstheme="minorHAnsi"/>
          <w:i/>
          <w:iCs/>
          <w:color w:val="000000" w:themeColor="text1"/>
        </w:rPr>
      </w:pPr>
    </w:p>
    <w:p w14:paraId="03A3BB20" w14:textId="77777777" w:rsidR="00C45B04" w:rsidRPr="00D8299C" w:rsidRDefault="00C45B04" w:rsidP="00C45B04">
      <w:pPr>
        <w:spacing w:line="276" w:lineRule="auto"/>
        <w:ind w:left="709" w:hanging="709"/>
        <w:rPr>
          <w:rFonts w:cstheme="minorHAnsi"/>
          <w:i/>
          <w:iCs/>
          <w:color w:val="000000" w:themeColor="text1"/>
        </w:rPr>
      </w:pPr>
      <w:r w:rsidRPr="00D8299C">
        <w:rPr>
          <w:rFonts w:cstheme="minorHAnsi"/>
          <w:color w:val="000000" w:themeColor="text1"/>
          <w:lang w:val="en-US"/>
        </w:rPr>
        <w:t xml:space="preserve">Feyen, E., Utz, R., Huertas, I.Z., Bogdan, O. &amp; Moon, J. (2020). ‘Macro-Financial Aspects of Climate Change’. </w:t>
      </w:r>
      <w:r w:rsidRPr="00D8299C">
        <w:rPr>
          <w:rFonts w:cstheme="minorHAnsi"/>
          <w:i/>
          <w:iCs/>
          <w:color w:val="000000" w:themeColor="text1"/>
          <w:lang w:val="en-US"/>
        </w:rPr>
        <w:t xml:space="preserve">Policy Research Working Group, </w:t>
      </w:r>
      <w:r w:rsidRPr="00D8299C">
        <w:rPr>
          <w:rFonts w:cstheme="minorHAnsi"/>
          <w:color w:val="000000" w:themeColor="text1"/>
          <w:lang w:val="en-US"/>
        </w:rPr>
        <w:t xml:space="preserve">9109, World Bank. </w:t>
      </w:r>
      <w:r w:rsidRPr="00D8299C">
        <w:rPr>
          <w:rFonts w:cstheme="minorHAnsi"/>
        </w:rPr>
        <w:t xml:space="preserve"> </w:t>
      </w:r>
      <w:hyperlink r:id="rId31">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i/>
          <w:iCs/>
          <w:color w:val="000000" w:themeColor="text1"/>
        </w:rPr>
        <w:br/>
      </w:r>
      <w:r w:rsidRPr="00D8299C">
        <w:rPr>
          <w:rFonts w:cstheme="minorHAnsi"/>
          <w:i/>
          <w:iCs/>
          <w:color w:val="000000" w:themeColor="text1"/>
          <w:lang w:val="en-US"/>
        </w:rPr>
        <w:t>In this working paper, Feyen and colleagues discuss the interlinkages between climate change risks and macro-financial risks.  Specific areas of climate risks (physical impacts and impacts due to the transition to a low-carbon economy) and macro-financial risks discussed are economic transformation and growth, fiscal and monetary policy and management, and the financial sector.  The paper finds that some countries are faced with a “double jeopardy” from both climate risks and macro-financial sectors and calls for international efforts to uplift these countries and reduce the impacts of the double jeopardy.</w:t>
      </w:r>
    </w:p>
    <w:p w14:paraId="3B4E5A8C" w14:textId="77777777" w:rsidR="00C45B04" w:rsidRPr="00D8299C" w:rsidRDefault="00C45B04" w:rsidP="00C45B04">
      <w:pPr>
        <w:spacing w:line="276" w:lineRule="auto"/>
        <w:rPr>
          <w:rStyle w:val="normaltextrun"/>
          <w:rFonts w:cstheme="minorHAnsi"/>
          <w:color w:val="000000" w:themeColor="text1"/>
          <w:lang w:val="es-ES"/>
        </w:rPr>
      </w:pPr>
    </w:p>
    <w:p w14:paraId="47F46EDF" w14:textId="77777777" w:rsidR="00C45B04" w:rsidRPr="00D8299C" w:rsidRDefault="00C45B04" w:rsidP="00C45B04">
      <w:pPr>
        <w:tabs>
          <w:tab w:val="left" w:pos="709"/>
        </w:tabs>
        <w:spacing w:line="276" w:lineRule="auto"/>
        <w:ind w:left="709" w:hanging="709"/>
        <w:rPr>
          <w:rFonts w:cstheme="minorHAnsi"/>
          <w:lang w:val="en-US"/>
        </w:rPr>
      </w:pPr>
      <w:r w:rsidRPr="00D8299C">
        <w:rPr>
          <w:rStyle w:val="normaltextrun"/>
          <w:rFonts w:cstheme="minorHAnsi"/>
          <w:color w:val="000000" w:themeColor="text1"/>
          <w:lang w:val="es-ES"/>
        </w:rPr>
        <w:t>Ojea-Ferreiro, J., Reboredo, J. C., &amp; Ugolini, A. (2022). ‘</w:t>
      </w:r>
      <w:r w:rsidRPr="00D8299C">
        <w:rPr>
          <w:rStyle w:val="normaltextrun"/>
          <w:rFonts w:cstheme="minorHAnsi"/>
          <w:color w:val="000000" w:themeColor="text1"/>
          <w:lang w:val="en-US"/>
        </w:rPr>
        <w:t xml:space="preserve">The Impact of Climate Transition Risks on Financial Stability: A Systemic Risk Approach.’ </w:t>
      </w:r>
      <w:r w:rsidRPr="00D8299C">
        <w:rPr>
          <w:rFonts w:cstheme="minorHAnsi"/>
          <w:lang w:val="en-US"/>
        </w:rPr>
        <w:t>JRC Working Papers in</w:t>
      </w:r>
      <w:r w:rsidRPr="00D8299C">
        <w:rPr>
          <w:rFonts w:cstheme="minorHAnsi"/>
        </w:rPr>
        <w:t xml:space="preserve"> </w:t>
      </w:r>
      <w:r w:rsidRPr="00D8299C">
        <w:rPr>
          <w:rFonts w:cstheme="minorHAnsi"/>
          <w:lang w:val="en-US"/>
        </w:rPr>
        <w:t xml:space="preserve">Economics and Finance, No. 2022/1. </w:t>
      </w:r>
      <w:hyperlink r:id="rId32">
        <w:r w:rsidRPr="00D8299C">
          <w:rPr>
            <w:rStyle w:val="Hyperlink"/>
            <w:rFonts w:cstheme="minorHAnsi"/>
            <w:lang w:val="en-US"/>
          </w:rPr>
          <w:t>Link</w:t>
        </w:r>
      </w:hyperlink>
      <w:r w:rsidRPr="00D8299C">
        <w:rPr>
          <w:rFonts w:cstheme="minorHAnsi"/>
          <w:lang w:val="en-US"/>
        </w:rPr>
        <w:t xml:space="preserve">. </w:t>
      </w:r>
      <w:r w:rsidRPr="00D8299C">
        <w:rPr>
          <w:rFonts w:cstheme="minorHAnsi"/>
          <w:lang w:val="en-US"/>
        </w:rPr>
        <w:br/>
      </w:r>
      <w:r w:rsidRPr="00D8299C">
        <w:rPr>
          <w:rFonts w:cstheme="minorHAnsi"/>
          <w:i/>
          <w:iCs/>
          <w:lang w:val="en-US"/>
        </w:rPr>
        <w:t xml:space="preserve">Transitioning to a low-carbon economy entails financial risks, impacting asset values and </w:t>
      </w:r>
      <w:r w:rsidRPr="00D8299C">
        <w:rPr>
          <w:rFonts w:cstheme="minorHAnsi"/>
          <w:i/>
          <w:iCs/>
          <w:lang w:val="en-US"/>
        </w:rPr>
        <w:lastRenderedPageBreak/>
        <w:t>financial stability. This report quantifies the systemic impact on financial firms under three climate transition scenarios: orderly, disorderly, and no transition. Analysis of European financial firms from 2013-2020 reveals varying systemic impacts across sectors, with banks most affected by disorderly transitions. Default premium, yield slope, and inflation drive climate transition risk, with manageable costs for rescuing at-risk financial firms. Simulation over five years predicts significant costs for banks in disorderly transitions, while other sectors remain more sheltered.</w:t>
      </w:r>
    </w:p>
    <w:p w14:paraId="074E3BD4" w14:textId="77777777" w:rsidR="00C45B04" w:rsidRPr="00D8299C" w:rsidRDefault="00C45B04" w:rsidP="00C45B04">
      <w:pPr>
        <w:pStyle w:val="Heading2"/>
        <w:rPr>
          <w:rFonts w:asciiTheme="minorHAnsi" w:hAnsiTheme="minorHAnsi" w:cstheme="minorHAnsi"/>
        </w:rPr>
      </w:pPr>
      <w:bookmarkStart w:id="32" w:name="_Toc173169086"/>
      <w:bookmarkStart w:id="33" w:name="_Toc181734671"/>
      <w:r w:rsidRPr="00D8299C">
        <w:rPr>
          <w:rFonts w:asciiTheme="minorHAnsi" w:hAnsiTheme="minorHAnsi" w:cstheme="minorHAnsi"/>
        </w:rPr>
        <w:t>Climate-</w:t>
      </w:r>
      <w:bookmarkEnd w:id="31"/>
      <w:r w:rsidRPr="00D8299C">
        <w:rPr>
          <w:rFonts w:asciiTheme="minorHAnsi" w:hAnsiTheme="minorHAnsi" w:cstheme="minorHAnsi"/>
        </w:rPr>
        <w:t>GDP Impacts</w:t>
      </w:r>
      <w:bookmarkEnd w:id="32"/>
      <w:bookmarkEnd w:id="33"/>
    </w:p>
    <w:p w14:paraId="5F59ED2F" w14:textId="77777777" w:rsidR="00C45B04" w:rsidRPr="00D8299C" w:rsidRDefault="00C45B04" w:rsidP="00C45B04">
      <w:pPr>
        <w:pStyle w:val="paragraph"/>
        <w:pBdr>
          <w:bottom w:val="single" w:sz="6" w:space="1" w:color="auto"/>
        </w:pBdr>
        <w:spacing w:beforeAutospacing="0" w:afterAutospacing="0" w:line="276" w:lineRule="auto"/>
        <w:ind w:left="709" w:hanging="709"/>
        <w:rPr>
          <w:rFonts w:asciiTheme="minorHAnsi" w:hAnsiTheme="minorHAnsi" w:cstheme="minorHAnsi"/>
          <w:i/>
          <w:iCs/>
          <w:lang w:val="en-US"/>
        </w:rPr>
      </w:pPr>
      <w:r w:rsidRPr="00D8299C">
        <w:rPr>
          <w:rFonts w:asciiTheme="minorHAnsi" w:hAnsiTheme="minorHAnsi" w:cstheme="minorHAnsi"/>
          <w:b/>
          <w:bCs/>
          <w:color w:val="222222"/>
          <w:lang w:val="en-US"/>
        </w:rPr>
        <w:t>Recommended Papers</w:t>
      </w:r>
    </w:p>
    <w:p w14:paraId="17ED149F" w14:textId="77777777" w:rsidR="00C45B04" w:rsidRPr="00D8299C" w:rsidRDefault="00C45B04" w:rsidP="00C45B04">
      <w:pPr>
        <w:pStyle w:val="paragraph"/>
        <w:pBdr>
          <w:bottom w:val="single" w:sz="6" w:space="1" w:color="auto"/>
        </w:pBdr>
        <w:spacing w:beforeAutospacing="0" w:afterAutospacing="0" w:line="276" w:lineRule="auto"/>
        <w:ind w:left="709" w:hanging="709"/>
        <w:rPr>
          <w:rFonts w:asciiTheme="minorHAnsi" w:hAnsiTheme="minorHAnsi" w:cstheme="minorHAnsi"/>
          <w:i/>
          <w:iCs/>
          <w:lang w:val="en-US"/>
        </w:rPr>
      </w:pPr>
      <w:r w:rsidRPr="00D8299C">
        <w:rPr>
          <w:rFonts w:asciiTheme="minorHAnsi" w:hAnsiTheme="minorHAnsi" w:cstheme="minorHAnsi"/>
          <w:lang w:val="en-US"/>
        </w:rPr>
        <w:t xml:space="preserve">Batten, S. (2018). ‘Climate Change and the Macro-Economy: A Critical Review’, Bank of England Staff Working Paper No. 706. </w:t>
      </w:r>
      <w:hyperlink r:id="rId33">
        <w:r w:rsidRPr="00D8299C">
          <w:rPr>
            <w:rStyle w:val="Hyperlink"/>
            <w:rFonts w:asciiTheme="minorHAnsi" w:hAnsiTheme="minorHAnsi" w:cstheme="minorHAnsi"/>
            <w:lang w:val="en-US"/>
          </w:rPr>
          <w:t>Link</w:t>
        </w:r>
      </w:hyperlink>
      <w:r w:rsidRPr="00D8299C">
        <w:rPr>
          <w:rFonts w:asciiTheme="minorHAnsi" w:hAnsiTheme="minorHAnsi" w:cstheme="minorHAnsi"/>
          <w:lang w:val="en-US"/>
        </w:rPr>
        <w:t>.</w:t>
      </w:r>
      <w:r w:rsidRPr="00D8299C">
        <w:rPr>
          <w:rFonts w:asciiTheme="minorHAnsi" w:hAnsiTheme="minorHAnsi" w:cstheme="minorHAnsi"/>
        </w:rPr>
        <w:br/>
      </w:r>
      <w:r w:rsidRPr="00D8299C">
        <w:rPr>
          <w:rFonts w:asciiTheme="minorHAnsi" w:hAnsiTheme="minorHAnsi" w:cstheme="minorHAnsi"/>
          <w:i/>
          <w:iCs/>
          <w:lang w:val="en-US"/>
        </w:rPr>
        <w:t>Climatic factors impact economic outcomes like output, investment, and productivity, necessitating economists' understanding of climate change's effects. This review focuses on theoretical and empirical issues in analyzing macroeconomic risks from climate change, using a taxonomy that distinguishes between physical and transition risks. It identifies channels through which these risks affect the macro-economy and discusses modeling approaches to monitor and quantify emerging climate risks. While focusing on advanced economies, the review recognizes that less developed countries face greater climate-related risks. Climate policy is discussed regarding its macroeconomic effects, excluding the design and implementation of optimal policies.</w:t>
      </w:r>
    </w:p>
    <w:p w14:paraId="7D3CC47E" w14:textId="77777777" w:rsidR="00C45B04" w:rsidRPr="00D8299C" w:rsidRDefault="00C45B04" w:rsidP="00C45B04">
      <w:pPr>
        <w:pStyle w:val="paragraph"/>
        <w:pBdr>
          <w:bottom w:val="single" w:sz="6" w:space="1" w:color="auto"/>
        </w:pBdr>
        <w:spacing w:beforeAutospacing="0" w:afterAutospacing="0" w:line="276" w:lineRule="auto"/>
        <w:ind w:left="709" w:hanging="709"/>
        <w:rPr>
          <w:rFonts w:asciiTheme="minorHAnsi" w:hAnsiTheme="minorHAnsi" w:cstheme="minorHAnsi"/>
          <w:color w:val="000000" w:themeColor="text1"/>
        </w:rPr>
      </w:pPr>
    </w:p>
    <w:p w14:paraId="1F4B0079" w14:textId="77777777" w:rsidR="00C45B04" w:rsidRPr="00D8299C" w:rsidRDefault="00C45B04" w:rsidP="00C45B04">
      <w:pPr>
        <w:pStyle w:val="paragraph"/>
        <w:pBdr>
          <w:bottom w:val="single" w:sz="6" w:space="1" w:color="auto"/>
        </w:pBdr>
        <w:spacing w:beforeAutospacing="0" w:afterAutospacing="0" w:line="276" w:lineRule="auto"/>
        <w:ind w:left="709" w:hanging="709"/>
        <w:rPr>
          <w:rFonts w:asciiTheme="minorHAnsi" w:hAnsiTheme="minorHAnsi" w:cstheme="minorHAnsi"/>
          <w:i/>
          <w:iCs/>
          <w:sz w:val="28"/>
          <w:szCs w:val="28"/>
          <w:lang w:val="en-US"/>
        </w:rPr>
      </w:pPr>
      <w:r w:rsidRPr="00D8299C">
        <w:rPr>
          <w:rFonts w:asciiTheme="minorHAnsi" w:hAnsiTheme="minorHAnsi" w:cstheme="minorHAnsi"/>
          <w:color w:val="000000" w:themeColor="text1"/>
        </w:rPr>
        <w:t xml:space="preserve">Carney, M. (2022). ‘Why Climate Policy is Macro Policy.’ Milken Institute. </w:t>
      </w:r>
      <w:hyperlink r:id="rId34">
        <w:r w:rsidRPr="00D8299C">
          <w:rPr>
            <w:rStyle w:val="Hyperlink"/>
            <w:rFonts w:asciiTheme="minorHAnsi" w:hAnsiTheme="minorHAnsi" w:cstheme="minorHAnsi"/>
          </w:rPr>
          <w:t>Link</w:t>
        </w:r>
      </w:hyperlink>
      <w:r w:rsidRPr="00D8299C">
        <w:rPr>
          <w:rFonts w:asciiTheme="minorHAnsi" w:hAnsiTheme="minorHAnsi" w:cstheme="minorHAnsi"/>
          <w:color w:val="000000" w:themeColor="text1"/>
        </w:rPr>
        <w:t>.</w:t>
      </w:r>
      <w:r w:rsidRPr="00D8299C">
        <w:rPr>
          <w:rFonts w:asciiTheme="minorHAnsi" w:hAnsiTheme="minorHAnsi" w:cstheme="minorHAnsi"/>
          <w:b/>
          <w:bCs/>
          <w:color w:val="000000" w:themeColor="text1"/>
        </w:rPr>
        <w:t xml:space="preserve"> </w:t>
      </w:r>
      <w:r w:rsidRPr="00D8299C">
        <w:rPr>
          <w:rFonts w:asciiTheme="minorHAnsi" w:hAnsiTheme="minorHAnsi" w:cstheme="minorHAnsi"/>
        </w:rPr>
        <w:br/>
      </w:r>
      <w:r w:rsidRPr="00D8299C">
        <w:rPr>
          <w:rFonts w:asciiTheme="minorHAnsi" w:hAnsiTheme="minorHAnsi" w:cstheme="minorHAnsi"/>
          <w:b/>
          <w:bCs/>
          <w:color w:val="000000" w:themeColor="text1"/>
        </w:rPr>
        <w:t>“</w:t>
      </w:r>
      <w:r w:rsidRPr="00D8299C">
        <w:rPr>
          <w:rFonts w:asciiTheme="minorHAnsi" w:hAnsiTheme="minorHAnsi" w:cstheme="minorHAnsi"/>
          <w:i/>
          <w:iCs/>
          <w:color w:val="000000" w:themeColor="text1"/>
        </w:rPr>
        <w:t>Climate policy has become the third pillar of macro policy. As with monetary and fiscal policies, climate policy must be credible and predictable to be most effective.”</w:t>
      </w:r>
    </w:p>
    <w:p w14:paraId="1B5DEE9C" w14:textId="77777777" w:rsidR="00C45B04" w:rsidRPr="00D8299C" w:rsidRDefault="00C45B04" w:rsidP="00C45B04">
      <w:pPr>
        <w:pStyle w:val="paragraph"/>
        <w:pBdr>
          <w:bottom w:val="single" w:sz="6" w:space="1" w:color="auto"/>
        </w:pBdr>
        <w:spacing w:beforeAutospacing="0" w:afterAutospacing="0" w:line="276" w:lineRule="auto"/>
        <w:ind w:left="709" w:hanging="709"/>
        <w:rPr>
          <w:rFonts w:asciiTheme="minorHAnsi" w:hAnsiTheme="minorHAnsi" w:cstheme="minorHAnsi"/>
          <w:color w:val="222222"/>
          <w:lang w:val="en-US"/>
        </w:rPr>
      </w:pPr>
    </w:p>
    <w:p w14:paraId="7D97A98A" w14:textId="77777777" w:rsidR="00C45B04" w:rsidRPr="00D8299C" w:rsidRDefault="00C45B04" w:rsidP="00C45B04">
      <w:pPr>
        <w:pStyle w:val="paragraph"/>
        <w:pBdr>
          <w:bottom w:val="single" w:sz="6" w:space="1" w:color="auto"/>
        </w:pBdr>
        <w:spacing w:beforeAutospacing="0" w:afterAutospacing="0" w:line="276" w:lineRule="auto"/>
        <w:ind w:left="709" w:hanging="709"/>
        <w:rPr>
          <w:rFonts w:asciiTheme="minorHAnsi" w:hAnsiTheme="minorHAnsi" w:cstheme="minorHAnsi"/>
          <w:color w:val="222222"/>
          <w:lang w:val="en-US"/>
        </w:rPr>
      </w:pPr>
    </w:p>
    <w:p w14:paraId="3E500F4A" w14:textId="77777777" w:rsidR="00C45B04" w:rsidRPr="00D8299C" w:rsidRDefault="00C45B04" w:rsidP="00C45B04">
      <w:pPr>
        <w:pStyle w:val="paragraph"/>
        <w:spacing w:beforeAutospacing="0" w:afterAutospacing="0" w:line="276" w:lineRule="auto"/>
        <w:ind w:left="709" w:hanging="709"/>
        <w:rPr>
          <w:rFonts w:asciiTheme="minorHAnsi" w:hAnsiTheme="minorHAnsi" w:cstheme="minorHAnsi"/>
          <w:b/>
          <w:bCs/>
          <w:color w:val="000000" w:themeColor="text1"/>
          <w:lang w:val="en-US"/>
        </w:rPr>
      </w:pPr>
      <w:r w:rsidRPr="00D8299C">
        <w:rPr>
          <w:rFonts w:asciiTheme="minorHAnsi" w:hAnsiTheme="minorHAnsi" w:cstheme="minorHAnsi"/>
          <w:b/>
          <w:bCs/>
          <w:color w:val="222222"/>
          <w:lang w:val="en-US"/>
        </w:rPr>
        <w:t>Additional Reading.</w:t>
      </w:r>
    </w:p>
    <w:p w14:paraId="206762FA" w14:textId="77777777" w:rsidR="00C45B04" w:rsidRPr="00D8299C" w:rsidRDefault="00C45B04" w:rsidP="00C45B04">
      <w:pPr>
        <w:spacing w:line="276" w:lineRule="auto"/>
        <w:ind w:left="709" w:hanging="709"/>
        <w:rPr>
          <w:rFonts w:cstheme="minorHAnsi"/>
          <w:i/>
          <w:iCs/>
        </w:rPr>
      </w:pPr>
      <w:r w:rsidRPr="00D8299C">
        <w:rPr>
          <w:rFonts w:cstheme="minorHAnsi"/>
        </w:rPr>
        <w:t xml:space="preserve">Bihal, A. &amp; Känzig, D. (2024) ‘The Macroeconomic Impact of Climate Change: Global vs Local Temperature.’ National Bureau of Economic Research. ER Working Paper No. W32450. </w:t>
      </w:r>
      <w:hyperlink r:id="rId35">
        <w:r w:rsidRPr="00D8299C">
          <w:rPr>
            <w:rStyle w:val="Hyperlink"/>
            <w:rFonts w:cstheme="minorHAnsi"/>
          </w:rPr>
          <w:t>Link</w:t>
        </w:r>
      </w:hyperlink>
      <w:r w:rsidRPr="00D8299C">
        <w:rPr>
          <w:rFonts w:cstheme="minorHAnsi"/>
        </w:rPr>
        <w:t xml:space="preserve">. </w:t>
      </w:r>
      <w:r w:rsidRPr="00D8299C">
        <w:rPr>
          <w:rFonts w:cstheme="minorHAnsi"/>
        </w:rPr>
        <w:br/>
      </w:r>
      <w:r w:rsidRPr="00D8299C">
        <w:rPr>
          <w:rFonts w:cstheme="minorHAnsi"/>
          <w:i/>
          <w:iCs/>
        </w:rPr>
        <w:t xml:space="preserve">This paper presents a striking finding: macroeconomic damages from climate change are estimated to be six times larger than previously believed. By leveraging natural temperature variations and time-series data, the study reveals that a 1°C rise in global temperature results in a substantial 12% decline in world GDP. Unlike past approaches, the analysis shows that global temperature shocks are closely linked to extreme climate events, explaining the significant increase in estimated damages. The study's findings </w:t>
      </w:r>
      <w:r w:rsidRPr="00D8299C">
        <w:rPr>
          <w:rFonts w:cstheme="minorHAnsi"/>
          <w:i/>
          <w:iCs/>
        </w:rPr>
        <w:lastRenderedPageBreak/>
        <w:t>suggest a Social Cost of Carbon of $1,056 per ton of carbon dioxide, highlighting the urgency of decarbonization policies, especially for major economies like the US.</w:t>
      </w:r>
    </w:p>
    <w:p w14:paraId="394CC32C" w14:textId="77777777" w:rsidR="00C45B04" w:rsidRPr="00D8299C" w:rsidRDefault="00C45B04" w:rsidP="00C45B04">
      <w:pPr>
        <w:rPr>
          <w:rFonts w:cstheme="minorHAnsi"/>
        </w:rPr>
      </w:pPr>
    </w:p>
    <w:p w14:paraId="50E84B38" w14:textId="77777777" w:rsidR="00C45B04" w:rsidRPr="00D8299C" w:rsidRDefault="00C45B04" w:rsidP="00C45B04">
      <w:pPr>
        <w:spacing w:line="276" w:lineRule="auto"/>
        <w:ind w:left="720" w:hanging="720"/>
        <w:rPr>
          <w:rFonts w:cstheme="minorHAnsi"/>
        </w:rPr>
      </w:pPr>
      <w:r w:rsidRPr="00D8299C">
        <w:rPr>
          <w:rFonts w:cstheme="minorHAnsi"/>
        </w:rPr>
        <w:t xml:space="preserve">Burke, M., Hsiang, S. &amp; Miguel, E. ‘Global Non-Linear Effect of Temperature on Economic Production.’ </w:t>
      </w:r>
      <w:r w:rsidRPr="00D8299C">
        <w:rPr>
          <w:rFonts w:cstheme="minorHAnsi"/>
          <w:i/>
          <w:iCs/>
        </w:rPr>
        <w:t xml:space="preserve">Nature </w:t>
      </w:r>
      <w:r w:rsidRPr="00D8299C">
        <w:rPr>
          <w:rFonts w:cstheme="minorHAnsi"/>
        </w:rPr>
        <w:t xml:space="preserve">527, no. 7577 (2015): 235-239. </w:t>
      </w:r>
      <w:hyperlink r:id="rId36" w:history="1">
        <w:r w:rsidRPr="00D8299C">
          <w:rPr>
            <w:rStyle w:val="Hyperlink"/>
            <w:rFonts w:cstheme="minorHAnsi"/>
          </w:rPr>
          <w:t>Link.</w:t>
        </w:r>
      </w:hyperlink>
      <w:r w:rsidRPr="00D8299C">
        <w:rPr>
          <w:rFonts w:cstheme="minorHAnsi"/>
        </w:rPr>
        <w:t xml:space="preserve"> </w:t>
      </w:r>
      <w:r w:rsidRPr="00D8299C">
        <w:rPr>
          <w:rFonts w:cstheme="minorHAnsi"/>
        </w:rPr>
        <w:br/>
      </w:r>
      <w:r w:rsidRPr="00D8299C">
        <w:rPr>
          <w:rFonts w:cstheme="minorHAnsi"/>
          <w:i/>
          <w:iCs/>
        </w:rPr>
        <w:t>This study addresses the inconsistency in how climate affects economic productivity, reconciling micro and macro-observations. It reveals a non-linear relationship between temperature and economic output, peaking at 13°C and declining thereafter. This pattern holds globally since 1960, affecting both agricultural and non-agricultural activities across all countries. Projections suggest unmitigated warming could reduce global incomes by 23% by 2100, with implications for income inequality. By providing a new empirical foundation, these findings reshape our understanding of climate's economic impact, informing future adaptation strategies.</w:t>
      </w:r>
    </w:p>
    <w:p w14:paraId="7A9A942F" w14:textId="77777777" w:rsidR="00C45B04" w:rsidRPr="00D8299C" w:rsidRDefault="00C45B04" w:rsidP="00C45B04">
      <w:pPr>
        <w:spacing w:line="276" w:lineRule="auto"/>
        <w:ind w:left="720" w:hanging="720"/>
        <w:rPr>
          <w:rFonts w:cstheme="minorHAnsi"/>
        </w:rPr>
      </w:pPr>
    </w:p>
    <w:p w14:paraId="1733BE0C" w14:textId="77777777" w:rsidR="00C45B04" w:rsidRPr="00D8299C" w:rsidRDefault="00C45B04" w:rsidP="00C45B04">
      <w:pPr>
        <w:spacing w:line="276" w:lineRule="auto"/>
        <w:ind w:left="720" w:hanging="720"/>
        <w:rPr>
          <w:rFonts w:cstheme="minorHAnsi"/>
        </w:rPr>
      </w:pPr>
      <w:r w:rsidRPr="00D8299C">
        <w:rPr>
          <w:rFonts w:cstheme="minorHAnsi"/>
        </w:rPr>
        <w:t xml:space="preserve">Dell, M., Jones, B. &amp; Olken, B. (2012). ‘Temperature Shocks and Economic Growth: Evidence from the Last Half Century.’ </w:t>
      </w:r>
      <w:r w:rsidRPr="00D8299C">
        <w:rPr>
          <w:rFonts w:cstheme="minorHAnsi"/>
          <w:i/>
          <w:iCs/>
        </w:rPr>
        <w:t>American Economic Journal: Macroeconomic</w:t>
      </w:r>
      <w:r w:rsidRPr="00D8299C">
        <w:rPr>
          <w:rFonts w:cstheme="minorHAnsi"/>
        </w:rPr>
        <w:t xml:space="preserve"> 4, no. 3: 66-95. </w:t>
      </w:r>
      <w:hyperlink r:id="rId37">
        <w:r w:rsidRPr="00D8299C">
          <w:rPr>
            <w:rStyle w:val="Hyperlink"/>
            <w:rFonts w:cstheme="minorHAnsi"/>
          </w:rPr>
          <w:t>Link</w:t>
        </w:r>
      </w:hyperlink>
      <w:r w:rsidRPr="00D8299C">
        <w:rPr>
          <w:rFonts w:cstheme="minorHAnsi"/>
        </w:rPr>
        <w:t xml:space="preserve">. </w:t>
      </w:r>
      <w:r w:rsidRPr="00D8299C">
        <w:rPr>
          <w:rFonts w:cstheme="minorHAnsi"/>
        </w:rPr>
        <w:br/>
      </w:r>
      <w:r w:rsidRPr="00D8299C">
        <w:rPr>
          <w:rFonts w:cstheme="minorHAnsi"/>
          <w:i/>
          <w:iCs/>
        </w:rPr>
        <w:t>This study examines the impact of temperature fluctuations on economic growth over the past 50 years. It uncovers some key findings: higher temperatures significantly hinder economic growth in poorer nations, potentially lowering growth rates rather than just output levels. Moreover, elevated temperatures adversely affect agricultural and industrial production, as well as political stability. These results reveal the climate's influence on economic development and highlight potential detrimental effects of temperature increases, particularly in EMDEs.</w:t>
      </w:r>
    </w:p>
    <w:p w14:paraId="370E8649" w14:textId="77777777" w:rsidR="00C45B04" w:rsidRPr="00D8299C" w:rsidRDefault="00C45B04" w:rsidP="00C45B04">
      <w:pPr>
        <w:spacing w:line="276" w:lineRule="auto"/>
        <w:ind w:left="720" w:hanging="720"/>
        <w:rPr>
          <w:rFonts w:cstheme="minorHAnsi"/>
        </w:rPr>
      </w:pPr>
    </w:p>
    <w:p w14:paraId="434273A3" w14:textId="77777777" w:rsidR="00C45B04" w:rsidRPr="00D8299C" w:rsidRDefault="00C45B04" w:rsidP="00C45B04">
      <w:pPr>
        <w:spacing w:line="276" w:lineRule="auto"/>
        <w:ind w:left="720" w:hanging="720"/>
        <w:rPr>
          <w:rFonts w:cstheme="minorHAnsi"/>
          <w:i/>
          <w:iCs/>
        </w:rPr>
      </w:pPr>
      <w:r w:rsidRPr="00D8299C">
        <w:rPr>
          <w:rFonts w:cstheme="minorHAnsi"/>
        </w:rPr>
        <w:t xml:space="preserve">Kahn M.E., Mohaddes K., Ng R.N.C., Pesaran M.H., Raissi M., and Yang J-C. ‘Long-Term Macroeconomic Effects of Climate Change: A Cross-country Analysis.’ </w:t>
      </w:r>
      <w:r w:rsidRPr="00D8299C">
        <w:rPr>
          <w:rFonts w:cstheme="minorHAnsi"/>
          <w:i/>
          <w:iCs/>
        </w:rPr>
        <w:t>Energy Economics</w:t>
      </w:r>
      <w:r w:rsidRPr="00D8299C">
        <w:rPr>
          <w:rFonts w:cstheme="minorHAnsi"/>
        </w:rPr>
        <w:t xml:space="preserve"> 104, no. 105624 (2019): 1:13. </w:t>
      </w:r>
      <w:hyperlink r:id="rId38" w:history="1">
        <w:r w:rsidRPr="00D8299C">
          <w:rPr>
            <w:rStyle w:val="Hyperlink"/>
            <w:rFonts w:cstheme="minorHAnsi"/>
          </w:rPr>
          <w:t>Link.</w:t>
        </w:r>
      </w:hyperlink>
      <w:r w:rsidRPr="00D8299C">
        <w:rPr>
          <w:rFonts w:cstheme="minorHAnsi"/>
        </w:rPr>
        <w:t xml:space="preserve"> </w:t>
      </w:r>
      <w:r w:rsidRPr="00D8299C">
        <w:rPr>
          <w:rFonts w:cstheme="minorHAnsi"/>
        </w:rPr>
        <w:br/>
      </w:r>
      <w:r w:rsidRPr="00D8299C">
        <w:rPr>
          <w:rFonts w:cstheme="minorHAnsi"/>
          <w:i/>
          <w:iCs/>
        </w:rPr>
        <w:t xml:space="preserve">Analyzing data from 174 countries over 1960-2014, this study reveals that deviations in temperature from historical norms notably affect per-capita real output growth, with no significant effects from precipitation changes. The impact varies across climates and income levels. Without mitigation, a yearly temperature rise of 0.04°C could reduce world GDP per capita by over 7% by 2100. However, adhering to Paris Agreement targets could significantly mitigate losses to around 1%. These findings underscore the urgency </w:t>
      </w:r>
      <w:r w:rsidRPr="00D8299C">
        <w:rPr>
          <w:rFonts w:cstheme="minorHAnsi"/>
          <w:i/>
          <w:iCs/>
        </w:rPr>
        <w:lastRenderedPageBreak/>
        <w:t>of climate action, as effects intensify with faster temperature increases and climate variability.</w:t>
      </w:r>
    </w:p>
    <w:p w14:paraId="675B1B3D" w14:textId="77777777" w:rsidR="00C45B04" w:rsidRPr="00D8299C" w:rsidRDefault="00C45B04" w:rsidP="00C45B04">
      <w:pPr>
        <w:spacing w:line="276" w:lineRule="auto"/>
        <w:ind w:left="720" w:hanging="720"/>
        <w:rPr>
          <w:rFonts w:cstheme="minorHAnsi"/>
          <w:b/>
          <w:bCs/>
        </w:rPr>
      </w:pPr>
    </w:p>
    <w:p w14:paraId="2D30E9FF" w14:textId="77777777" w:rsidR="00C45B04" w:rsidRPr="00D8299C" w:rsidRDefault="00C45B04" w:rsidP="00C45B04">
      <w:pPr>
        <w:spacing w:line="276" w:lineRule="auto"/>
        <w:ind w:left="720" w:hanging="720"/>
        <w:rPr>
          <w:rFonts w:cstheme="minorHAnsi"/>
          <w:i/>
          <w:iCs/>
        </w:rPr>
      </w:pPr>
      <w:r w:rsidRPr="00D8299C">
        <w:rPr>
          <w:rFonts w:cstheme="minorHAnsi"/>
        </w:rPr>
        <w:t xml:space="preserve">Kalkuhl, M. &amp; Wenz, L. ’The Impact of Climate Conditions on Economic Production. Evidence from a Global Panel of Regions’. </w:t>
      </w:r>
      <w:r w:rsidRPr="00D8299C">
        <w:rPr>
          <w:rFonts w:cstheme="minorHAnsi"/>
          <w:i/>
          <w:iCs/>
        </w:rPr>
        <w:t>Journal of Environmental Economics and Management</w:t>
      </w:r>
      <w:r w:rsidRPr="00D8299C">
        <w:rPr>
          <w:rFonts w:cstheme="minorHAnsi"/>
        </w:rPr>
        <w:t xml:space="preserve"> 103, no. 102360 (2020). </w:t>
      </w:r>
      <w:hyperlink r:id="rId39">
        <w:r w:rsidRPr="00D8299C">
          <w:rPr>
            <w:rStyle w:val="Hyperlink"/>
            <w:rFonts w:cstheme="minorHAnsi"/>
          </w:rPr>
          <w:t>Link</w:t>
        </w:r>
      </w:hyperlink>
      <w:r w:rsidRPr="00D8299C">
        <w:rPr>
          <w:rFonts w:cstheme="minorHAnsi"/>
        </w:rPr>
        <w:t xml:space="preserve">. </w:t>
      </w:r>
      <w:r w:rsidRPr="00D8299C">
        <w:rPr>
          <w:rFonts w:cstheme="minorHAnsi"/>
        </w:rPr>
        <w:br/>
      </w:r>
      <w:r w:rsidRPr="00D8299C">
        <w:rPr>
          <w:rFonts w:cstheme="minorHAnsi"/>
          <w:i/>
          <w:iCs/>
        </w:rPr>
        <w:t>This study utilizes a unique dataset of subnational economic output across 77 countries to estimate historic climate impacts on productivity. While no evidence supports permanent growth rate impacts, temperature notably affects productivity levels. A 3.5°C increase in global mean surface temperature by 2100 could reduce global output by 7–14%, with higher damages in tropical and poor regions. Updating the DICE damage function suggests a social cost of carbon of $73–142/tCO2 in 2020, rising to $92–181/tCO2 in 2030, excluding non-market damages and those from extreme weather events or sea-level rise.</w:t>
      </w:r>
    </w:p>
    <w:p w14:paraId="488DB89F" w14:textId="77777777" w:rsidR="00C45B04" w:rsidRPr="00D8299C" w:rsidRDefault="00C45B04" w:rsidP="00C45B04">
      <w:pPr>
        <w:spacing w:line="276" w:lineRule="auto"/>
        <w:ind w:left="720" w:hanging="720"/>
        <w:rPr>
          <w:rFonts w:cstheme="minorHAnsi"/>
        </w:rPr>
      </w:pPr>
    </w:p>
    <w:p w14:paraId="7FF0958F" w14:textId="77777777" w:rsidR="00C45B04" w:rsidRPr="00D8299C" w:rsidRDefault="00C45B04" w:rsidP="00C45B04">
      <w:pPr>
        <w:spacing w:line="276" w:lineRule="auto"/>
        <w:ind w:left="720" w:hanging="720"/>
        <w:rPr>
          <w:rFonts w:cstheme="minorHAnsi"/>
        </w:rPr>
      </w:pPr>
      <w:r w:rsidRPr="00D8299C">
        <w:rPr>
          <w:rFonts w:cstheme="minorHAnsi"/>
        </w:rPr>
        <w:t xml:space="preserve">Kotz, M., Levermann, A. &amp; Wenz, L. ‘The Economic Commitment of Climate Change,’ </w:t>
      </w:r>
      <w:r w:rsidRPr="00D8299C">
        <w:rPr>
          <w:rFonts w:cstheme="minorHAnsi"/>
          <w:i/>
          <w:iCs/>
        </w:rPr>
        <w:t xml:space="preserve">Nature </w:t>
      </w:r>
      <w:r w:rsidRPr="00D8299C">
        <w:rPr>
          <w:rFonts w:cstheme="minorHAnsi"/>
        </w:rPr>
        <w:t xml:space="preserve">628 (2024): 551-557. </w:t>
      </w:r>
      <w:hyperlink r:id="rId40">
        <w:r w:rsidRPr="00D8299C">
          <w:rPr>
            <w:rStyle w:val="Hyperlink"/>
            <w:rFonts w:cstheme="minorHAnsi"/>
          </w:rPr>
          <w:t>Link</w:t>
        </w:r>
      </w:hyperlink>
      <w:r w:rsidRPr="00D8299C">
        <w:rPr>
          <w:rFonts w:cstheme="minorHAnsi"/>
        </w:rPr>
        <w:t xml:space="preserve">. </w:t>
      </w:r>
      <w:r w:rsidRPr="00D8299C">
        <w:rPr>
          <w:rFonts w:cstheme="minorHAnsi"/>
        </w:rPr>
        <w:br/>
      </w:r>
      <w:r w:rsidRPr="00D8299C">
        <w:rPr>
          <w:rFonts w:cstheme="minorHAnsi"/>
          <w:i/>
          <w:iCs/>
        </w:rPr>
        <w:t>This study projects sub-national damages from temperature and precipitation using recent empirical findings from over 1,600 regions worldwide. It suggests the world economy is committed to a 19% income reduction within the next 26 years due to climate change, outweighing mitigation costs sixfold for limiting global warming to 2°C. Committed losses arise mainly from average temperature changes, but further climatic components raise estimates by 50%, showing strong regional variations. The focus on the near term aims to simplify communication and enhance credibility by addressing uncertainties in future emission trajectories and climate responses.</w:t>
      </w:r>
    </w:p>
    <w:p w14:paraId="4BA67B12" w14:textId="77777777" w:rsidR="00C45B04" w:rsidRPr="00D8299C" w:rsidRDefault="00C45B04" w:rsidP="00C45B04">
      <w:pPr>
        <w:spacing w:line="276" w:lineRule="auto"/>
        <w:ind w:left="720" w:hanging="720"/>
        <w:rPr>
          <w:rFonts w:cstheme="minorHAnsi"/>
        </w:rPr>
      </w:pPr>
      <w:r w:rsidRPr="00D8299C">
        <w:rPr>
          <w:rFonts w:cstheme="minorHAnsi"/>
        </w:rPr>
        <w:t xml:space="preserve"> </w:t>
      </w:r>
    </w:p>
    <w:p w14:paraId="4CCC3F93" w14:textId="77777777" w:rsidR="00C45B04" w:rsidRPr="00D8299C" w:rsidRDefault="00C45B04" w:rsidP="00C45B04">
      <w:pPr>
        <w:spacing w:line="276" w:lineRule="auto"/>
        <w:ind w:left="720" w:hanging="720"/>
        <w:rPr>
          <w:rFonts w:cstheme="minorHAnsi"/>
        </w:rPr>
      </w:pPr>
      <w:r w:rsidRPr="00D8299C">
        <w:rPr>
          <w:rFonts w:cstheme="minorHAnsi"/>
        </w:rPr>
        <w:t xml:space="preserve">Kotz, M., Levermann, A. &amp; Wenz, L. ‘The Effect of Rainfall Changes on Economic Production’. </w:t>
      </w:r>
      <w:r w:rsidRPr="00D8299C">
        <w:rPr>
          <w:rFonts w:cstheme="minorHAnsi"/>
          <w:i/>
          <w:iCs/>
        </w:rPr>
        <w:t xml:space="preserve">Nature </w:t>
      </w:r>
      <w:r w:rsidRPr="00D8299C">
        <w:rPr>
          <w:rFonts w:cstheme="minorHAnsi"/>
        </w:rPr>
        <w:t xml:space="preserve">601 (2022): 223-227. </w:t>
      </w:r>
      <w:hyperlink r:id="rId41">
        <w:r w:rsidRPr="00D8299C">
          <w:rPr>
            <w:rStyle w:val="Hyperlink"/>
            <w:rFonts w:cstheme="minorHAnsi"/>
          </w:rPr>
          <w:t>Link</w:t>
        </w:r>
      </w:hyperlink>
      <w:r w:rsidRPr="00D8299C">
        <w:rPr>
          <w:rFonts w:cstheme="minorHAnsi"/>
        </w:rPr>
        <w:t xml:space="preserve">. </w:t>
      </w:r>
      <w:r w:rsidRPr="00D8299C">
        <w:rPr>
          <w:rFonts w:cstheme="minorHAnsi"/>
        </w:rPr>
        <w:br/>
      </w:r>
      <w:r w:rsidRPr="00D8299C">
        <w:rPr>
          <w:rFonts w:cstheme="minorHAnsi"/>
          <w:i/>
          <w:iCs/>
        </w:rPr>
        <w:t xml:space="preserve">This study examines the impact of changes in the distribution of daily rainfall on economic growth rates using a global panel of subnational economic output over the past 40 years. It finds that increases in the number of wet days and extreme daily rainfall reduce economic growth rates, particularly affecting high-income nations and the services and manufacturing sectors. These results highlight the negative economic consequences of anthropogenic intensification of daily rainfall extremes, underscoring </w:t>
      </w:r>
      <w:r w:rsidRPr="00D8299C">
        <w:rPr>
          <w:rFonts w:cstheme="minorHAnsi"/>
          <w:i/>
          <w:iCs/>
        </w:rPr>
        <w:lastRenderedPageBreak/>
        <w:t>the need for further assessment when evaluating the costs of anthropogenic climate change.</w:t>
      </w:r>
    </w:p>
    <w:p w14:paraId="52AFC2AB" w14:textId="77777777" w:rsidR="00C45B04" w:rsidRPr="00D8299C" w:rsidRDefault="00C45B04" w:rsidP="00C45B04">
      <w:pPr>
        <w:spacing w:line="276" w:lineRule="auto"/>
        <w:ind w:left="720" w:hanging="720"/>
        <w:rPr>
          <w:rFonts w:cstheme="minorHAnsi"/>
        </w:rPr>
      </w:pPr>
    </w:p>
    <w:p w14:paraId="3BCBF2E9" w14:textId="77777777" w:rsidR="00C45B04" w:rsidRPr="00D8299C" w:rsidRDefault="00C45B04" w:rsidP="00C45B04">
      <w:pPr>
        <w:spacing w:line="276" w:lineRule="auto"/>
        <w:ind w:left="720" w:hanging="720"/>
        <w:rPr>
          <w:rFonts w:cstheme="minorHAnsi"/>
        </w:rPr>
      </w:pPr>
      <w:r w:rsidRPr="00D8299C">
        <w:rPr>
          <w:rFonts w:cstheme="minorHAnsi"/>
        </w:rPr>
        <w:t xml:space="preserve">Letta, M &amp; Tol, R. ‘Weather, Climate and Total Factor Productivity,’ </w:t>
      </w:r>
      <w:r w:rsidRPr="00D8299C">
        <w:rPr>
          <w:rFonts w:cstheme="minorHAnsi"/>
          <w:i/>
          <w:iCs/>
        </w:rPr>
        <w:t xml:space="preserve">Environmental &amp; Resource Economics </w:t>
      </w:r>
      <w:r w:rsidRPr="00D8299C">
        <w:rPr>
          <w:rFonts w:cstheme="minorHAnsi"/>
        </w:rPr>
        <w:t xml:space="preserve">73, no. 1 (2019): 283-305. </w:t>
      </w:r>
      <w:hyperlink r:id="rId42">
        <w:r w:rsidRPr="00D8299C">
          <w:rPr>
            <w:rStyle w:val="Hyperlink"/>
            <w:rFonts w:cstheme="minorHAnsi"/>
          </w:rPr>
          <w:t>Link</w:t>
        </w:r>
      </w:hyperlink>
      <w:r w:rsidRPr="00D8299C">
        <w:rPr>
          <w:rFonts w:cstheme="minorHAnsi"/>
        </w:rPr>
        <w:t xml:space="preserve">. </w:t>
      </w:r>
      <w:r w:rsidRPr="00D8299C">
        <w:rPr>
          <w:rFonts w:cstheme="minorHAnsi"/>
        </w:rPr>
        <w:br/>
      </w:r>
      <w:r w:rsidRPr="00D8299C">
        <w:rPr>
          <w:rFonts w:cstheme="minorHAnsi"/>
          <w:i/>
          <w:iCs/>
        </w:rPr>
        <w:t>This study investigates how annual temperature shocks impact total factor productivity (TFP) growth rates from 1960 to 2006. Results show a negative correlation in poor countries, with a 1°C temperature rise associated with a 1.1–1.8 percentage point decline in TFP growth. Rich countries show no significant impact. The findings suggest climate change may disproportionately affect productivity in poorer nations, emphasizing the importance of integrating climate and poverty reduction policies.</w:t>
      </w:r>
    </w:p>
    <w:p w14:paraId="1A32B7DA" w14:textId="77777777" w:rsidR="00C45B04" w:rsidRPr="00D8299C" w:rsidRDefault="00C45B04" w:rsidP="00C45B04">
      <w:pPr>
        <w:rPr>
          <w:rFonts w:cstheme="minorHAnsi"/>
          <w:color w:val="000000" w:themeColor="text1"/>
          <w:lang w:val="en-US"/>
        </w:rPr>
      </w:pPr>
      <w:r w:rsidRPr="00D8299C">
        <w:rPr>
          <w:rFonts w:cstheme="minorHAnsi"/>
          <w:color w:val="000000" w:themeColor="text1"/>
          <w:lang w:val="en-US"/>
        </w:rPr>
        <w:br w:type="page"/>
      </w:r>
    </w:p>
    <w:p w14:paraId="26C3EC8E" w14:textId="77777777" w:rsidR="00C45B04" w:rsidRPr="00D8299C" w:rsidRDefault="00C45B04" w:rsidP="00C45B04">
      <w:pPr>
        <w:pStyle w:val="Heading1"/>
        <w:rPr>
          <w:rFonts w:asciiTheme="minorHAnsi" w:hAnsiTheme="minorHAnsi" w:cstheme="minorHAnsi"/>
          <w:lang w:val="en-US"/>
        </w:rPr>
      </w:pPr>
      <w:bookmarkStart w:id="34" w:name="_Toc181734660"/>
      <w:bookmarkStart w:id="35" w:name="_Toc173177162"/>
      <w:bookmarkStart w:id="36" w:name="_Toc181734672"/>
      <w:r w:rsidRPr="00D8299C">
        <w:rPr>
          <w:rFonts w:asciiTheme="minorHAnsi" w:hAnsiTheme="minorHAnsi" w:cstheme="minorHAnsi"/>
        </w:rPr>
        <w:lastRenderedPageBreak/>
        <w:t xml:space="preserve">E National Climate Mitigation Policy </w:t>
      </w:r>
      <w:bookmarkEnd w:id="34"/>
    </w:p>
    <w:p w14:paraId="4556CC91" w14:textId="77777777" w:rsidR="00C45B04" w:rsidRPr="00D8299C" w:rsidRDefault="00C45B04" w:rsidP="00C45B04">
      <w:pPr>
        <w:pStyle w:val="Heading2"/>
        <w:rPr>
          <w:rFonts w:asciiTheme="minorHAnsi" w:hAnsiTheme="minorHAnsi" w:cstheme="minorHAnsi"/>
          <w:lang w:val="en-US"/>
        </w:rPr>
      </w:pPr>
      <w:bookmarkStart w:id="37" w:name="_Toc181734661"/>
      <w:r w:rsidRPr="00D8299C">
        <w:rPr>
          <w:rFonts w:asciiTheme="minorHAnsi" w:hAnsiTheme="minorHAnsi" w:cstheme="minorHAnsi"/>
          <w:lang w:val="en-US"/>
        </w:rPr>
        <w:t>Climate Mitigation Policy</w:t>
      </w:r>
      <w:bookmarkEnd w:id="37"/>
      <w:r w:rsidRPr="00D8299C">
        <w:rPr>
          <w:rFonts w:asciiTheme="minorHAnsi" w:hAnsiTheme="minorHAnsi" w:cstheme="minorHAnsi"/>
          <w:lang w:val="en-US"/>
        </w:rPr>
        <w:t xml:space="preserve"> </w:t>
      </w:r>
    </w:p>
    <w:p w14:paraId="2DF2AD5F"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IMF. (2019). ‘Fiscal Policies for Paris Climate Strategies - From Principle to Practice.’ Policy Paper No. 2019/010. </w:t>
      </w:r>
      <w:hyperlink r:id="rId43">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color w:val="000000" w:themeColor="text1"/>
          <w:lang w:val="en-US"/>
        </w:rPr>
        <w:t>The IMF paper provides guidance on fiscal policies for climate mitigation strategies from the 2015 Paris Agreement and addressing vulnerabilities in disaster-prone countries. It includes a tool to assess the impact of various instruments like carbon taxes and emissions trading on emissions, revenues, and welfare. The paper explores revenue uses, such as reducing other taxes or funding SDGs, and regional carbon price floors. For adaptation, it advocates holistic strategies, including contingency funds and regional insurance.</w:t>
      </w:r>
      <w:r w:rsidRPr="00D8299C">
        <w:rPr>
          <w:rFonts w:cstheme="minorHAnsi"/>
          <w:color w:val="000000" w:themeColor="text1"/>
          <w:lang w:val="en-US"/>
        </w:rPr>
        <w:t xml:space="preserve"> </w:t>
      </w:r>
    </w:p>
    <w:p w14:paraId="51F1CF0E" w14:textId="77777777" w:rsidR="00C45B04" w:rsidRPr="00D8299C" w:rsidRDefault="00C45B04" w:rsidP="00C45B04">
      <w:pPr>
        <w:spacing w:line="276" w:lineRule="auto"/>
        <w:rPr>
          <w:rFonts w:cstheme="minorHAnsi"/>
          <w:color w:val="000000" w:themeColor="text1"/>
          <w:lang w:val="en-US"/>
        </w:rPr>
      </w:pPr>
    </w:p>
    <w:p w14:paraId="44A1391B" w14:textId="77777777" w:rsidR="00C45B04" w:rsidRPr="00D8299C" w:rsidRDefault="00C45B04" w:rsidP="00C45B04">
      <w:pPr>
        <w:spacing w:line="276" w:lineRule="auto"/>
        <w:ind w:left="709" w:hanging="720"/>
        <w:rPr>
          <w:rFonts w:cstheme="minorHAnsi"/>
          <w:color w:val="000000" w:themeColor="text1"/>
          <w:lang w:val="en-US"/>
        </w:rPr>
      </w:pPr>
      <w:r w:rsidRPr="00D8299C">
        <w:rPr>
          <w:rFonts w:cstheme="minorHAnsi"/>
          <w:color w:val="000000" w:themeColor="text1"/>
          <w:lang w:val="en-US"/>
        </w:rPr>
        <w:t xml:space="preserve">Pahle, M., Tietjen, O., Osorio, S., Steffen, B., Schmidt, T. &amp; Edenhofer, O. ‘Safeguarding the Energy Transition Against Political Backlash to Carbon Markets.’ </w:t>
      </w:r>
      <w:r w:rsidRPr="00D8299C">
        <w:rPr>
          <w:rFonts w:cstheme="minorHAnsi"/>
          <w:i/>
          <w:iCs/>
          <w:color w:val="000000" w:themeColor="text1"/>
          <w:lang w:val="en-US"/>
        </w:rPr>
        <w:t xml:space="preserve">Pure Energy </w:t>
      </w:r>
      <w:r w:rsidRPr="00D8299C">
        <w:rPr>
          <w:rFonts w:cstheme="minorHAnsi"/>
          <w:color w:val="000000" w:themeColor="text1"/>
          <w:lang w:val="en-US"/>
        </w:rPr>
        <w:t xml:space="preserve">7 (2022): 290-296. </w:t>
      </w:r>
      <w:hyperlink r:id="rId44">
        <w:r w:rsidRPr="00D8299C">
          <w:rPr>
            <w:rStyle w:val="Hyperlink"/>
            <w:rFonts w:cstheme="minorHAnsi"/>
            <w:lang w:val="en-US"/>
          </w:rPr>
          <w:t>Link</w:t>
        </w:r>
      </w:hyperlink>
      <w:r w:rsidRPr="00D8299C">
        <w:rPr>
          <w:rFonts w:cstheme="minorHAnsi"/>
          <w:color w:val="000000" w:themeColor="text1"/>
          <w:lang w:val="en-US"/>
        </w:rPr>
        <w:t>.</w:t>
      </w:r>
      <w:r w:rsidRPr="00D8299C">
        <w:rPr>
          <w:rFonts w:cstheme="minorHAnsi"/>
        </w:rPr>
        <w:br/>
      </w:r>
      <w:r w:rsidRPr="00D8299C">
        <w:rPr>
          <w:rFonts w:cstheme="minorHAnsi"/>
          <w:i/>
          <w:iCs/>
          <w:color w:val="000000" w:themeColor="text1"/>
          <w:lang w:val="en-US"/>
        </w:rPr>
        <w:t>The prospect of a subsidy-free renewable energy (RE) era is promising but risks arise if RE is exposed to market volatility. Increased financing costs could elevate carbon prices, slow RE deployment, and boost profits for fossil fuels. This may trigger regulatory interventions, impeding RE expansion. Analyzing indicators for the European Union, we find that higher financing costs could double carbon prices long-term, halve RE capacity deployment over 15 years, and benefit fossil fuel plants. Policymakers must mitigate these risks to ensure a smooth transition.</w:t>
      </w:r>
    </w:p>
    <w:p w14:paraId="7818A5A9" w14:textId="77777777" w:rsidR="00C45B04" w:rsidRPr="00D8299C" w:rsidRDefault="00C45B04" w:rsidP="00C45B04">
      <w:pPr>
        <w:spacing w:line="276" w:lineRule="auto"/>
        <w:ind w:left="720" w:hanging="720"/>
        <w:rPr>
          <w:rFonts w:cstheme="minorHAnsi"/>
          <w:color w:val="000000" w:themeColor="text1"/>
          <w:lang w:val="en-US"/>
        </w:rPr>
      </w:pPr>
    </w:p>
    <w:p w14:paraId="649830F7" w14:textId="77777777" w:rsidR="00C45B04" w:rsidRPr="00D8299C" w:rsidRDefault="00C45B04" w:rsidP="00C45B04">
      <w:pPr>
        <w:spacing w:line="276" w:lineRule="auto"/>
        <w:ind w:left="720" w:hanging="720"/>
        <w:rPr>
          <w:rFonts w:cstheme="minorHAnsi"/>
          <w:color w:val="000000" w:themeColor="text1"/>
          <w:lang w:val="en-US"/>
        </w:rPr>
      </w:pPr>
      <w:r w:rsidRPr="00D8299C">
        <w:rPr>
          <w:rFonts w:cstheme="minorHAnsi"/>
          <w:color w:val="000000" w:themeColor="text1"/>
          <w:lang w:val="en-US"/>
        </w:rPr>
        <w:t xml:space="preserve">Vogt-Schilb, A., Meunier, G. Hallegate, S. ‘When Starting with the Most Expensive Option Makes Sense: Optimal Timing, Cost and Sectoral Allocation of Abatement Investment.’ </w:t>
      </w:r>
      <w:r w:rsidRPr="00D8299C">
        <w:rPr>
          <w:rFonts w:cstheme="minorHAnsi"/>
          <w:i/>
          <w:iCs/>
          <w:color w:val="000000" w:themeColor="text1"/>
          <w:lang w:val="en-US"/>
        </w:rPr>
        <w:t xml:space="preserve">Journal of Environmental Economics and Management </w:t>
      </w:r>
      <w:r w:rsidRPr="00D8299C">
        <w:rPr>
          <w:rFonts w:cstheme="minorHAnsi"/>
          <w:color w:val="000000" w:themeColor="text1"/>
          <w:lang w:val="en-US"/>
        </w:rPr>
        <w:t xml:space="preserve">88 (2018): 210 233. </w:t>
      </w:r>
      <w:hyperlink r:id="rId45">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color w:val="000000" w:themeColor="text1"/>
          <w:lang w:val="en-US"/>
        </w:rPr>
        <w:t>The paper provides empirical evidence that it is optimal to start a long-term emission-reduction strategy with significant short-term abatement investment, even if optimal carbon price starts at a lower amount and grows progressively over time.  There are many options to reduce greenhouse gas emissions, from renewable energy transition in the power sector to electric vehicles – all need some kind of investment.  This study thus answers whether emission reduction strategies should prioritize the cheaper options and progressively transition to a cleaner economy by increasing costs.</w:t>
      </w:r>
    </w:p>
    <w:p w14:paraId="3D9B5536" w14:textId="77777777" w:rsidR="00C45B04" w:rsidRPr="00D8299C" w:rsidRDefault="00C45B04" w:rsidP="00C45B04">
      <w:pPr>
        <w:rPr>
          <w:rFonts w:cstheme="minorHAnsi"/>
          <w:color w:val="000000" w:themeColor="text1"/>
          <w:lang w:val="en-US"/>
        </w:rPr>
      </w:pPr>
      <w:r w:rsidRPr="00D8299C">
        <w:rPr>
          <w:rFonts w:cstheme="minorHAnsi"/>
          <w:color w:val="000000" w:themeColor="text1"/>
          <w:lang w:val="en-US"/>
        </w:rPr>
        <w:br w:type="page"/>
      </w:r>
    </w:p>
    <w:p w14:paraId="0B20DE86" w14:textId="77777777" w:rsidR="00C45B04" w:rsidRPr="00D8299C" w:rsidRDefault="00C45B04" w:rsidP="00C45B04">
      <w:pPr>
        <w:pStyle w:val="Heading2"/>
        <w:rPr>
          <w:rFonts w:asciiTheme="minorHAnsi" w:hAnsiTheme="minorHAnsi" w:cstheme="minorHAnsi"/>
          <w:lang w:val="en-US"/>
        </w:rPr>
      </w:pPr>
      <w:bookmarkStart w:id="38" w:name="_Toc181734662"/>
      <w:r w:rsidRPr="00D8299C">
        <w:rPr>
          <w:rFonts w:asciiTheme="minorHAnsi" w:hAnsiTheme="minorHAnsi" w:cstheme="minorHAnsi"/>
          <w:lang w:val="en-US"/>
        </w:rPr>
        <w:lastRenderedPageBreak/>
        <w:t>Climate Adaptation Policy</w:t>
      </w:r>
      <w:bookmarkEnd w:id="38"/>
      <w:r w:rsidRPr="00D8299C">
        <w:rPr>
          <w:rFonts w:asciiTheme="minorHAnsi" w:hAnsiTheme="minorHAnsi" w:cstheme="minorHAnsi"/>
          <w:lang w:val="en-US"/>
        </w:rPr>
        <w:t xml:space="preserve"> </w:t>
      </w:r>
    </w:p>
    <w:p w14:paraId="07056F5C"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Bellon, M. &amp; Massetti, E. (2022). ‘Economic Principles for Integrating Adaptation to</w:t>
      </w:r>
      <w:r w:rsidRPr="00D8299C">
        <w:rPr>
          <w:rFonts w:cstheme="minorHAnsi"/>
          <w:color w:val="000000" w:themeColor="text1"/>
        </w:rPr>
        <w:t xml:space="preserve"> </w:t>
      </w:r>
      <w:r w:rsidRPr="00D8299C">
        <w:rPr>
          <w:rFonts w:cstheme="minorHAnsi"/>
          <w:color w:val="000000" w:themeColor="text1"/>
          <w:lang w:val="en-US"/>
        </w:rPr>
        <w:t xml:space="preserve">Climate Change into Fiscal Policy.’ Staff Climate Notes: International Monetary Fund. </w:t>
      </w:r>
      <w:hyperlink r:id="rId46" w:anchor=":~:text=Summary%3A,private%20and%20public%20sector%20responses.">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color w:val="000000" w:themeColor="text1"/>
          <w:lang w:val="en-US"/>
        </w:rPr>
        <w:t xml:space="preserve">In this Note from the IMF, the authors describe climate change adaptation economics and the theory behind it.  The Note argues that the principle of welfare economics can be used to guide policymakers on climate change adaptation. The Note puts an emphasis on Cost-Based Analysis (CBA) to help decision-makers maximize social welfare and avoid wasting any kind of scarce resources.  </w:t>
      </w:r>
    </w:p>
    <w:p w14:paraId="768DC422" w14:textId="77777777" w:rsidR="00C45B04" w:rsidRPr="00D8299C" w:rsidRDefault="00C45B04" w:rsidP="00C45B04">
      <w:pPr>
        <w:spacing w:before="240" w:after="240" w:line="276" w:lineRule="auto"/>
        <w:ind w:left="709" w:right="90" w:hanging="709"/>
        <w:rPr>
          <w:rFonts w:cstheme="minorHAnsi"/>
          <w:color w:val="000000" w:themeColor="text1"/>
          <w:lang w:val="en-US"/>
        </w:rPr>
      </w:pPr>
      <w:r w:rsidRPr="00D8299C">
        <w:rPr>
          <w:rFonts w:cstheme="minorHAnsi"/>
          <w:color w:val="000000" w:themeColor="text1"/>
        </w:rPr>
        <w:t xml:space="preserve">Economics of Climate Adaptation Working Group. (2009). ‘Shaping Climate-Resilient Development: A Framework for Decision Making’. </w:t>
      </w:r>
      <w:hyperlink r:id="rId47">
        <w:r w:rsidRPr="00D8299C">
          <w:rPr>
            <w:rStyle w:val="Hyperlink"/>
            <w:rFonts w:cstheme="minorHAnsi"/>
          </w:rPr>
          <w:t>Link</w:t>
        </w:r>
      </w:hyperlink>
      <w:r w:rsidRPr="00D8299C">
        <w:rPr>
          <w:rFonts w:cstheme="minorHAnsi"/>
          <w:color w:val="000000" w:themeColor="text1"/>
        </w:rPr>
        <w:t xml:space="preserve">. </w:t>
      </w:r>
      <w:r w:rsidRPr="00D8299C">
        <w:rPr>
          <w:rFonts w:cstheme="minorHAnsi"/>
        </w:rPr>
        <w:br/>
      </w:r>
      <w:r w:rsidRPr="00D8299C">
        <w:rPr>
          <w:rFonts w:cstheme="minorHAnsi"/>
          <w:i/>
          <w:iCs/>
          <w:color w:val="000000" w:themeColor="text1"/>
        </w:rPr>
        <w:t>The aim of the report is to provide decision-makers with a systematic way of answering key climate-related questions: What is the potential climate-related loss to our economies and societies? How much of this loss can we avert, with what measures? What investment will be required to fund those measures? Will the benefits of investment outweigh the costs?</w:t>
      </w:r>
    </w:p>
    <w:p w14:paraId="37AA3088"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Hallegatte, S., Rozenberg, J., Rentschler, J., Nicolas, C. &amp; Fox, C. (2019). ‘Strengthening New Infrastructure Assets: A Cost-Benefit Analysis.’ Policy Research Working Paper 8896. World Bank Group. </w:t>
      </w:r>
      <w:hyperlink r:id="rId48">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i/>
          <w:iCs/>
          <w:color w:val="000000" w:themeColor="text1"/>
          <w:lang w:val="en-US"/>
        </w:rPr>
        <w:t>This paper explores the benefits and the costs of strengthening infrastructure assets to make them more resilient, reducing the repair costs and infrastructure disruptions caused by natural hazards.</w:t>
      </w:r>
    </w:p>
    <w:p w14:paraId="1714A5B4" w14:textId="77777777" w:rsidR="00C45B04" w:rsidRPr="00D8299C" w:rsidRDefault="00C45B04" w:rsidP="00C45B04">
      <w:pPr>
        <w:spacing w:line="276" w:lineRule="auto"/>
        <w:ind w:left="709" w:hanging="709"/>
        <w:rPr>
          <w:rFonts w:cstheme="minorHAnsi"/>
          <w:color w:val="000000" w:themeColor="text1"/>
          <w:lang w:val="en-US"/>
        </w:rPr>
      </w:pPr>
    </w:p>
    <w:p w14:paraId="0E25AB22"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United Nations Environment Program (2022). ‘Adaptation Gap Report 2022.’ </w:t>
      </w:r>
      <w:hyperlink r:id="rId49">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color w:val="000000" w:themeColor="text1"/>
          <w:lang w:val="en-US"/>
        </w:rPr>
        <w:t>The report evaluates progress in adaptation planning, financing, and implementation, noting a rise in adaptation strategy implementation to 84% of UNFCCC Parties. Sectors like water, agriculture, and ecosystems show increased implementation, yet the adaptation gap widens. Estimated needs range from US$160-340 billion by 2030 and US$315-565 billion by 2050. Largescale non-climate factors must not sideline adaptation efforts. Despite incremental progress, global adaptation finance falls short, with the gap in developing countries widening. Integration of adaptation and mitigation actions can optimize co-benefits.</w:t>
      </w:r>
    </w:p>
    <w:p w14:paraId="5622E86E" w14:textId="77777777" w:rsidR="00C45B04" w:rsidRPr="00D8299C" w:rsidRDefault="00C45B04" w:rsidP="00C45B04">
      <w:pPr>
        <w:spacing w:line="276" w:lineRule="auto"/>
        <w:rPr>
          <w:rFonts w:cstheme="minorHAnsi"/>
          <w:color w:val="000000" w:themeColor="text1"/>
          <w:lang w:val="en-US"/>
        </w:rPr>
      </w:pPr>
    </w:p>
    <w:p w14:paraId="143B9CD4" w14:textId="77777777" w:rsidR="00C45B04" w:rsidRPr="00D8299C" w:rsidRDefault="00C45B04" w:rsidP="00C45B04">
      <w:pPr>
        <w:pStyle w:val="Heading2"/>
        <w:rPr>
          <w:rFonts w:asciiTheme="minorHAnsi" w:hAnsiTheme="minorHAnsi" w:cstheme="minorHAnsi"/>
          <w:lang w:val="en-US"/>
        </w:rPr>
      </w:pPr>
      <w:bookmarkStart w:id="39" w:name="_Toc181734663"/>
      <w:r w:rsidRPr="00D8299C">
        <w:rPr>
          <w:rFonts w:asciiTheme="minorHAnsi" w:hAnsiTheme="minorHAnsi" w:cstheme="minorHAnsi"/>
          <w:lang w:val="en-US"/>
        </w:rPr>
        <w:t>Related Country Reports (India)</w:t>
      </w:r>
      <w:bookmarkEnd w:id="39"/>
    </w:p>
    <w:p w14:paraId="4DFC34D3" w14:textId="77777777" w:rsidR="00C45B04" w:rsidRPr="00D8299C" w:rsidRDefault="00C45B04" w:rsidP="00C45B04">
      <w:pPr>
        <w:spacing w:line="276" w:lineRule="auto"/>
        <w:ind w:left="709" w:hanging="709"/>
        <w:rPr>
          <w:rFonts w:cstheme="minorHAnsi"/>
          <w:color w:val="000000" w:themeColor="text1"/>
          <w:lang w:val="en-US"/>
        </w:rPr>
      </w:pPr>
      <w:r w:rsidRPr="00D8299C">
        <w:rPr>
          <w:rStyle w:val="normaltextrun"/>
          <w:rFonts w:cstheme="minorHAnsi"/>
          <w:color w:val="000000" w:themeColor="text1"/>
          <w:lang w:val="en-US"/>
        </w:rPr>
        <w:t xml:space="preserve">Shrimali, G. “Making India’s Power System Clean: Retirement of Expensive Coal Plants.” </w:t>
      </w:r>
      <w:r w:rsidRPr="00D8299C">
        <w:rPr>
          <w:rStyle w:val="normaltextrun"/>
          <w:rFonts w:cstheme="minorHAnsi"/>
          <w:i/>
          <w:iCs/>
          <w:color w:val="000000" w:themeColor="text1"/>
          <w:lang w:val="en-US"/>
        </w:rPr>
        <w:t xml:space="preserve">Energy Policy </w:t>
      </w:r>
      <w:r w:rsidRPr="00D8299C">
        <w:rPr>
          <w:rStyle w:val="normaltextrun"/>
          <w:rFonts w:cstheme="minorHAnsi"/>
          <w:color w:val="000000" w:themeColor="text1"/>
          <w:lang w:val="en-US"/>
        </w:rPr>
        <w:t xml:space="preserve">139 (2020): 111305. </w:t>
      </w:r>
      <w:hyperlink r:id="rId50">
        <w:r w:rsidRPr="00D8299C">
          <w:rPr>
            <w:rStyle w:val="Hyperlink"/>
            <w:rFonts w:cstheme="minorHAnsi"/>
            <w:lang w:val="en-US"/>
          </w:rPr>
          <w:t>Link.</w:t>
        </w:r>
      </w:hyperlink>
      <w:r w:rsidRPr="00D8299C">
        <w:rPr>
          <w:rStyle w:val="normaltextrun"/>
          <w:rFonts w:cstheme="minorHAnsi"/>
          <w:color w:val="000000" w:themeColor="text1"/>
          <w:lang w:val="en-US"/>
        </w:rPr>
        <w:t xml:space="preserve"> </w:t>
      </w:r>
      <w:r w:rsidRPr="00D8299C">
        <w:rPr>
          <w:rFonts w:cstheme="minorHAnsi"/>
        </w:rPr>
        <w:br/>
      </w:r>
      <w:r w:rsidRPr="00D8299C">
        <w:rPr>
          <w:rFonts w:cstheme="minorHAnsi"/>
          <w:i/>
          <w:iCs/>
          <w:color w:val="000000" w:themeColor="text1"/>
        </w:rPr>
        <w:t xml:space="preserve">As India implements its NDC with a target of 175 GW of renewable energy by 2022, it </w:t>
      </w:r>
      <w:r w:rsidRPr="00D8299C">
        <w:rPr>
          <w:rFonts w:cstheme="minorHAnsi"/>
          <w:i/>
          <w:iCs/>
          <w:color w:val="000000" w:themeColor="text1"/>
        </w:rPr>
        <w:lastRenderedPageBreak/>
        <w:t>faces a significant opportunity to reduce greenhouse gas emissions. The average cost of solar and wind energy has fallen below the variable cost of power from many coal plants, making it economically viable to retire expensive coal plants in favour of renewable energy. For instance, switching from a 5-year-old coal plant to solar can yield 33.90% savings in net present value terms. Additionally, securitization could save 31.57% in fixed costs. The report also explores necessary regulatory changes to facilitate this transition.</w:t>
      </w:r>
    </w:p>
    <w:p w14:paraId="5F836B40" w14:textId="77777777" w:rsidR="00C45B04" w:rsidRPr="00D8299C" w:rsidRDefault="00C45B04" w:rsidP="00C45B04">
      <w:pPr>
        <w:spacing w:line="276" w:lineRule="auto"/>
        <w:rPr>
          <w:rFonts w:cstheme="minorHAnsi"/>
          <w:color w:val="000000" w:themeColor="text1"/>
          <w:lang w:val="en-US"/>
        </w:rPr>
      </w:pPr>
    </w:p>
    <w:p w14:paraId="4FB665F8" w14:textId="77777777" w:rsidR="00C45B04" w:rsidRPr="00D8299C" w:rsidRDefault="00C45B04" w:rsidP="00C45B04">
      <w:pPr>
        <w:spacing w:line="276" w:lineRule="auto"/>
        <w:ind w:left="709" w:hanging="709"/>
        <w:rPr>
          <w:rFonts w:cstheme="minorHAnsi"/>
          <w:color w:val="000000" w:themeColor="text1"/>
          <w:lang w:val="en-US"/>
        </w:rPr>
      </w:pPr>
      <w:r w:rsidRPr="00D8299C">
        <w:rPr>
          <w:rStyle w:val="normaltextrun"/>
          <w:rFonts w:cstheme="minorHAnsi"/>
          <w:color w:val="000000" w:themeColor="text1"/>
          <w:lang w:val="en-US"/>
        </w:rPr>
        <w:t xml:space="preserve">Singh Ahluwalia, M., &amp; Patel, U. "Towards a Strategy for India’s Decarbonization." Transcript from CSEP Seminar Series, CSEP Research Foundation, August 6, 2021. </w:t>
      </w:r>
      <w:hyperlink r:id="rId51">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Style w:val="normaltextrun"/>
          <w:rFonts w:cstheme="minorHAnsi"/>
          <w:i/>
          <w:iCs/>
          <w:color w:val="000000" w:themeColor="text1"/>
          <w:lang w:val="en-US"/>
        </w:rPr>
        <w:t>In the ninth Flagship Seminar of CSEP on "Trends Towards a Strategy for India's Decarbonization," the presentation addresses five key topics: global warming, the relationship between emissions reduction and development, India's potential emissions reduction timeline, challenges in transitioning to renewable energy, and strategies for CoP 26. As the fourth largest emitter, India faces pressure to reduce emissions. Technological advances allow for increased energy efficiency and a shift to renewable energy, enabling development while reducing emissions. The strategy focuses on enhancing energy efficiency, switching to renewable electricity, and removing atmospheric emissions to achieve net reductions.</w:t>
      </w:r>
    </w:p>
    <w:p w14:paraId="2372AE44" w14:textId="77777777" w:rsidR="00C45B04" w:rsidRPr="00D8299C" w:rsidRDefault="00C45B04" w:rsidP="00C45B04">
      <w:pPr>
        <w:spacing w:line="276" w:lineRule="auto"/>
        <w:rPr>
          <w:rFonts w:cstheme="minorHAnsi"/>
          <w:color w:val="000000" w:themeColor="text1"/>
          <w:lang w:val="en-US"/>
        </w:rPr>
      </w:pPr>
    </w:p>
    <w:p w14:paraId="01943203" w14:textId="77777777" w:rsidR="00C45B04" w:rsidRPr="00D8299C" w:rsidRDefault="00C45B04" w:rsidP="00C45B04">
      <w:pPr>
        <w:rPr>
          <w:rFonts w:cstheme="minorHAnsi"/>
          <w:color w:val="2F5496" w:themeColor="accent1" w:themeShade="BF"/>
          <w:sz w:val="40"/>
          <w:szCs w:val="40"/>
        </w:rPr>
      </w:pPr>
      <w:r w:rsidRPr="00D8299C">
        <w:rPr>
          <w:rFonts w:cstheme="minorHAnsi"/>
        </w:rPr>
        <w:br w:type="page"/>
      </w:r>
    </w:p>
    <w:p w14:paraId="2D4F3F42" w14:textId="77777777" w:rsidR="00C45B04" w:rsidRPr="00D8299C" w:rsidRDefault="00C45B04" w:rsidP="00C45B04">
      <w:pPr>
        <w:pStyle w:val="Heading1"/>
        <w:rPr>
          <w:rFonts w:asciiTheme="minorHAnsi" w:hAnsiTheme="minorHAnsi" w:cstheme="minorHAnsi"/>
        </w:rPr>
      </w:pPr>
      <w:bookmarkStart w:id="40" w:name="_Toc181734664"/>
      <w:r w:rsidRPr="00D8299C">
        <w:rPr>
          <w:rFonts w:asciiTheme="minorHAnsi" w:hAnsiTheme="minorHAnsi" w:cstheme="minorHAnsi"/>
        </w:rPr>
        <w:lastRenderedPageBreak/>
        <w:t>F Global: Climate and International Finance</w:t>
      </w:r>
      <w:bookmarkEnd w:id="40"/>
    </w:p>
    <w:p w14:paraId="543A9A39" w14:textId="77777777" w:rsidR="00C45B04" w:rsidRPr="00D8299C" w:rsidRDefault="00C45B04" w:rsidP="00C45B04">
      <w:pPr>
        <w:pStyle w:val="Heading2"/>
        <w:rPr>
          <w:rFonts w:asciiTheme="minorHAnsi" w:hAnsiTheme="minorHAnsi" w:cstheme="minorHAnsi"/>
          <w:lang w:val="en-US"/>
        </w:rPr>
      </w:pPr>
      <w:bookmarkStart w:id="41" w:name="_Toc181734665"/>
      <w:r w:rsidRPr="00D8299C">
        <w:rPr>
          <w:rFonts w:asciiTheme="minorHAnsi" w:hAnsiTheme="minorHAnsi" w:cstheme="minorHAnsi"/>
          <w:lang w:val="en-US"/>
        </w:rPr>
        <w:t>Reforms in Multilateral Development Banks (MDBs)</w:t>
      </w:r>
      <w:bookmarkEnd w:id="41"/>
    </w:p>
    <w:p w14:paraId="673B5A7A" w14:textId="77777777" w:rsidR="00C45B04" w:rsidRPr="00D8299C" w:rsidRDefault="00C45B04" w:rsidP="00C45B04">
      <w:pPr>
        <w:spacing w:line="276" w:lineRule="auto"/>
        <w:ind w:left="720" w:hanging="720"/>
        <w:rPr>
          <w:rFonts w:cstheme="minorHAnsi"/>
          <w:color w:val="000000" w:themeColor="text1"/>
          <w:lang w:val="en-US"/>
        </w:rPr>
      </w:pPr>
      <w:r w:rsidRPr="00D8299C">
        <w:rPr>
          <w:rFonts w:cstheme="minorHAnsi"/>
          <w:color w:val="000000" w:themeColor="text1"/>
        </w:rPr>
        <w:t xml:space="preserve">Bhattacharya, A., Stern, N., &amp; Songwe, V. (2022). ‘Finance for Climate Action Scaling up Investment for Climate and Development’. Report of the Independent High-Level Expert Group on Climate Finance. London. </w:t>
      </w:r>
      <w:hyperlink r:id="rId52">
        <w:r w:rsidRPr="00D8299C">
          <w:rPr>
            <w:rStyle w:val="Hyperlink"/>
            <w:rFonts w:cstheme="minorHAnsi"/>
            <w:color w:val="000000" w:themeColor="text1"/>
          </w:rPr>
          <w:t>Link</w:t>
        </w:r>
      </w:hyperlink>
      <w:r w:rsidRPr="00D8299C">
        <w:rPr>
          <w:rFonts w:cstheme="minorHAnsi"/>
          <w:color w:val="000000" w:themeColor="text1"/>
        </w:rPr>
        <w:t xml:space="preserve">. </w:t>
      </w:r>
      <w:r w:rsidRPr="00D8299C">
        <w:rPr>
          <w:rFonts w:cstheme="minorHAnsi"/>
        </w:rPr>
        <w:br/>
      </w:r>
      <w:r w:rsidRPr="00D8299C">
        <w:rPr>
          <w:rFonts w:cstheme="minorHAnsi"/>
          <w:i/>
          <w:iCs/>
          <w:color w:val="000000" w:themeColor="text1"/>
        </w:rPr>
        <w:t xml:space="preserve">This paper outlines a comprehensive framework for financing climate action, aligned with the Paris Agreement and Glasgow Pact goals. The first sections discuss necessary investments and actions, while the middle sections address the various forms of finance required. It emphasizes the urgency of immediate action driven by strong country leadership and well-articulated investment programs, especially in EMDEs. The paper projects that EMDCs, excluding China, will need to invest around $1 trillion annually by 2025 and $2.4 trillion by 2030 to meet climate goals, necessitating both domestic and international finance strategies. </w:t>
      </w:r>
      <w:r w:rsidRPr="00D8299C">
        <w:rPr>
          <w:rFonts w:cstheme="minorHAnsi"/>
        </w:rPr>
        <w:tab/>
      </w:r>
    </w:p>
    <w:p w14:paraId="6B0AF3B4" w14:textId="77777777" w:rsidR="00C45B04" w:rsidRPr="00D8299C" w:rsidRDefault="00C45B04" w:rsidP="00C45B04">
      <w:pPr>
        <w:tabs>
          <w:tab w:val="left" w:pos="90"/>
        </w:tabs>
        <w:spacing w:line="276" w:lineRule="auto"/>
        <w:ind w:left="720" w:hanging="720"/>
        <w:rPr>
          <w:rFonts w:cstheme="minorHAnsi"/>
          <w:color w:val="000000" w:themeColor="text1"/>
          <w:lang w:val="en-US"/>
        </w:rPr>
      </w:pPr>
    </w:p>
    <w:p w14:paraId="1E34241F" w14:textId="77777777" w:rsidR="00C45B04" w:rsidRPr="00D8299C" w:rsidRDefault="00C45B04" w:rsidP="00C45B04">
      <w:pPr>
        <w:tabs>
          <w:tab w:val="left" w:pos="90"/>
        </w:tabs>
        <w:spacing w:line="276" w:lineRule="auto"/>
        <w:ind w:left="720" w:hanging="720"/>
        <w:rPr>
          <w:rFonts w:cstheme="minorHAnsi"/>
          <w:color w:val="000000" w:themeColor="text1"/>
          <w:lang w:val="en-US"/>
        </w:rPr>
      </w:pPr>
      <w:r w:rsidRPr="00D8299C">
        <w:rPr>
          <w:rFonts w:cstheme="minorHAnsi"/>
          <w:color w:val="000000" w:themeColor="text1"/>
          <w:lang w:val="en-US"/>
        </w:rPr>
        <w:t xml:space="preserve">Byrne, L. (2023). “Bridegtown Agenda,” Memo GPF 2023. A Briefing Note for the Parliamentary Network’s Global Parliamentary Forum at the IMF / World Bank Spring Meetings, Washington DC, Spring 2023. </w:t>
      </w:r>
      <w:hyperlink r:id="rId53">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color w:val="000000" w:themeColor="text1"/>
          <w:lang w:val="en-US"/>
        </w:rPr>
        <w:t>The Chair’s note advocates for: (1) An expanded capacity, with improved concessional lending terms, of MDBs with improved Capital Adequacy Frameworks; (2) Building a bigger World Bank; (3) More creative use of IMF Special Drawing Rights - and new SDRs; (4) Clarification of 'Debt Sustainability' and adoption of the Common Framework; (5) Funding loss and damage; (6) Making the financial system more shock absorbent.</w:t>
      </w:r>
    </w:p>
    <w:p w14:paraId="515A8A1C" w14:textId="77777777" w:rsidR="00C45B04" w:rsidRPr="00D8299C" w:rsidRDefault="00C45B04" w:rsidP="00C45B04">
      <w:pPr>
        <w:tabs>
          <w:tab w:val="left" w:pos="90"/>
        </w:tabs>
        <w:spacing w:line="276" w:lineRule="auto"/>
        <w:ind w:left="720" w:hanging="720"/>
        <w:rPr>
          <w:rFonts w:cstheme="minorHAnsi"/>
          <w:color w:val="000000" w:themeColor="text1"/>
          <w:lang w:val="en-US"/>
        </w:rPr>
      </w:pPr>
    </w:p>
    <w:p w14:paraId="19712DA4" w14:textId="77777777" w:rsidR="00C45B04" w:rsidRPr="00D8299C" w:rsidRDefault="00C45B04" w:rsidP="00C45B04">
      <w:pPr>
        <w:tabs>
          <w:tab w:val="left" w:pos="90"/>
        </w:tabs>
        <w:spacing w:line="276" w:lineRule="auto"/>
        <w:ind w:left="720" w:hanging="720"/>
        <w:rPr>
          <w:rFonts w:cstheme="minorHAnsi"/>
          <w:color w:val="000000" w:themeColor="text1"/>
          <w:lang w:val="en-US"/>
        </w:rPr>
      </w:pPr>
      <w:r w:rsidRPr="00D8299C">
        <w:rPr>
          <w:rFonts w:cstheme="minorHAnsi"/>
          <w:color w:val="000000" w:themeColor="text1"/>
          <w:lang w:val="en-US"/>
        </w:rPr>
        <w:t>Gregory, N. (2023). ‘</w:t>
      </w:r>
      <w:r w:rsidRPr="00D8299C">
        <w:rPr>
          <w:rFonts w:cstheme="minorHAnsi"/>
          <w:color w:val="000000" w:themeColor="text1"/>
        </w:rPr>
        <w:t xml:space="preserve">Taking Stock of MDB and DFI Innovations for Mobilizing Private Capital for Development.’ Center for Global Development. </w:t>
      </w:r>
      <w:hyperlink r:id="rId54">
        <w:r w:rsidRPr="00D8299C">
          <w:rPr>
            <w:rStyle w:val="Hyperlink"/>
            <w:rFonts w:cstheme="minorHAnsi"/>
          </w:rPr>
          <w:t>Link</w:t>
        </w:r>
      </w:hyperlink>
      <w:r w:rsidRPr="00D8299C">
        <w:rPr>
          <w:rFonts w:cstheme="minorHAnsi"/>
          <w:color w:val="000000" w:themeColor="text1"/>
        </w:rPr>
        <w:t xml:space="preserve">. </w:t>
      </w:r>
      <w:r w:rsidRPr="00D8299C">
        <w:rPr>
          <w:rFonts w:cstheme="minorHAnsi"/>
        </w:rPr>
        <w:br/>
      </w:r>
      <w:r w:rsidRPr="00D8299C">
        <w:rPr>
          <w:rFonts w:cstheme="minorHAnsi"/>
          <w:i/>
          <w:iCs/>
          <w:color w:val="000000" w:themeColor="text1"/>
        </w:rPr>
        <w:t>From an historic focus on transaction-level mobilization from commercial banks, and issuing bonds to institutional investors, MDBs have broadened the range of financial structures they use, and broadened the range of investors that they mobilize capital from, including institutional investors. Innovation and experimentation have occurred both at the level of individual transactions and at the level of portfolios of assets. Scaling up multi-asset mobilization involves a shift in business model from “originate to hold” to “originate to share.” To further implement this model, MDBs need to increase their capacity to originate assets, standardize asset terms and documents, pool assets in shared vehicles, share risk data, and be more strategic about selling assets.</w:t>
      </w:r>
    </w:p>
    <w:p w14:paraId="25F09B69" w14:textId="77777777" w:rsidR="00C45B04" w:rsidRPr="00D8299C" w:rsidRDefault="00C45B04" w:rsidP="00C45B04">
      <w:pPr>
        <w:tabs>
          <w:tab w:val="left" w:pos="90"/>
        </w:tabs>
        <w:spacing w:line="276" w:lineRule="auto"/>
        <w:ind w:left="720" w:hanging="720"/>
        <w:rPr>
          <w:rFonts w:cstheme="minorHAnsi"/>
          <w:color w:val="000000" w:themeColor="text1"/>
          <w:lang w:val="en-US"/>
        </w:rPr>
      </w:pPr>
    </w:p>
    <w:p w14:paraId="1A86D2C7" w14:textId="77777777" w:rsidR="00C45B04" w:rsidRPr="00D8299C" w:rsidRDefault="00C45B04" w:rsidP="00C45B04">
      <w:pPr>
        <w:tabs>
          <w:tab w:val="left" w:pos="90"/>
        </w:tabs>
        <w:spacing w:line="276" w:lineRule="auto"/>
        <w:ind w:left="720" w:hanging="720"/>
        <w:rPr>
          <w:rFonts w:cstheme="minorHAnsi"/>
          <w:color w:val="000000" w:themeColor="text1"/>
          <w:lang w:val="en-US"/>
        </w:rPr>
      </w:pPr>
      <w:r w:rsidRPr="00D8299C">
        <w:rPr>
          <w:rFonts w:cstheme="minorHAnsi"/>
          <w:color w:val="000000" w:themeColor="text1"/>
          <w:lang w:val="en-US"/>
        </w:rPr>
        <w:lastRenderedPageBreak/>
        <w:t xml:space="preserve">Lee, N., Laxton, L &amp; Matthews, S. (2023). ‘What would the Ideal Development and Climate MDB Look Like?’ Center for Global Development. </w:t>
      </w:r>
      <w:hyperlink r:id="rId55">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color w:val="000000" w:themeColor="text1"/>
          <w:lang w:val="en-US"/>
        </w:rPr>
        <w:t>This paper advocates that countries should chart their own low-carbon climate resilient development and growth paths, with robust analytical support from MDBs that integrates climate and development challenges, including cross-border challenges, and helps countries set priorities for investments and policies. The paper advocates putting the mobilization of private capital at the center of MDB institutional strategies, setting ambitious mobilization targets, and implementing institutional changes needed to achieve those targets.</w:t>
      </w:r>
    </w:p>
    <w:p w14:paraId="4150E8A5" w14:textId="77777777" w:rsidR="00C45B04" w:rsidRPr="00D8299C" w:rsidRDefault="00C45B04" w:rsidP="00C45B04">
      <w:pPr>
        <w:tabs>
          <w:tab w:val="left" w:pos="90"/>
        </w:tabs>
        <w:spacing w:line="276" w:lineRule="auto"/>
        <w:ind w:left="720" w:hanging="720"/>
        <w:rPr>
          <w:rFonts w:cstheme="minorHAnsi"/>
          <w:color w:val="000000" w:themeColor="text1"/>
          <w:lang w:val="en-US"/>
        </w:rPr>
      </w:pPr>
    </w:p>
    <w:p w14:paraId="57F9DF4D" w14:textId="77777777" w:rsidR="00C45B04" w:rsidRPr="00D8299C" w:rsidRDefault="00C45B04" w:rsidP="00C45B04">
      <w:pPr>
        <w:tabs>
          <w:tab w:val="left" w:pos="90"/>
        </w:tabs>
        <w:spacing w:line="276" w:lineRule="auto"/>
        <w:ind w:left="720" w:hanging="720"/>
        <w:rPr>
          <w:rFonts w:cstheme="minorHAnsi"/>
          <w:color w:val="000000" w:themeColor="text1"/>
          <w:lang w:val="en-US"/>
        </w:rPr>
      </w:pPr>
      <w:r w:rsidRPr="00D8299C">
        <w:rPr>
          <w:rFonts w:cstheme="minorHAnsi"/>
          <w:color w:val="000000" w:themeColor="text1"/>
          <w:lang w:val="en-US"/>
        </w:rPr>
        <w:t>Steffen, B., Egli, F., &amp;amp; Schmidt, T. S. (2020). ‘The Role of Public Banks in Catalyzing Private Renewable Energy Finance’ pp. 197-215 (Chapter 8). In R</w:t>
      </w:r>
      <w:r w:rsidRPr="00D8299C">
        <w:rPr>
          <w:rFonts w:cstheme="minorHAnsi"/>
          <w:i/>
          <w:iCs/>
          <w:color w:val="000000" w:themeColor="text1"/>
          <w:lang w:val="en-US"/>
        </w:rPr>
        <w:t>enewable Energy Finance: Funding the Future of Energy</w:t>
      </w:r>
      <w:r w:rsidRPr="00D8299C">
        <w:rPr>
          <w:rFonts w:cstheme="minorHAnsi"/>
          <w:color w:val="000000" w:themeColor="text1"/>
          <w:lang w:val="en-US"/>
        </w:rPr>
        <w:t xml:space="preserve">. </w:t>
      </w:r>
      <w:hyperlink r:id="rId56">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color w:val="000000" w:themeColor="text1"/>
          <w:lang w:val="en-US"/>
        </w:rPr>
        <w:t>This report examines the roles of "Green" State Investment Banks in financing renewable energy (RE) projects in high-income countries and the roles of Multilateral Development Banks in supporting RE finance in low- and middle-income countries.</w:t>
      </w:r>
    </w:p>
    <w:p w14:paraId="27F87340" w14:textId="77777777" w:rsidR="00C45B04" w:rsidRPr="00D8299C" w:rsidRDefault="00C45B04" w:rsidP="00C45B04">
      <w:pPr>
        <w:tabs>
          <w:tab w:val="left" w:pos="90"/>
        </w:tabs>
        <w:spacing w:line="276" w:lineRule="auto"/>
        <w:ind w:left="720" w:hanging="720"/>
        <w:rPr>
          <w:rFonts w:cstheme="minorHAnsi"/>
          <w:color w:val="000000" w:themeColor="text1"/>
          <w:lang w:val="en-US"/>
        </w:rPr>
      </w:pPr>
    </w:p>
    <w:p w14:paraId="016A35C5" w14:textId="77777777" w:rsidR="00C45B04" w:rsidRPr="00D8299C" w:rsidRDefault="00C45B04" w:rsidP="00C45B04">
      <w:pPr>
        <w:tabs>
          <w:tab w:val="left" w:pos="90"/>
        </w:tabs>
        <w:spacing w:line="276" w:lineRule="auto"/>
        <w:ind w:left="720" w:hanging="720"/>
        <w:rPr>
          <w:rFonts w:cstheme="minorHAnsi"/>
          <w:color w:val="000000" w:themeColor="text1"/>
          <w:lang w:val="en-US"/>
        </w:rPr>
      </w:pPr>
      <w:r w:rsidRPr="00D8299C">
        <w:rPr>
          <w:rFonts w:cstheme="minorHAnsi"/>
          <w:color w:val="000000" w:themeColor="text1"/>
        </w:rPr>
        <w:t xml:space="preserve">V, U., Akhtar, S., Gallagher, K., Griffith-Jones, S., Haas, J. &amp; Kraemer, M. (2021). ‘Debt Relief for a Green and Inclusive Recovery: Securing Private-Sector Participation and Creating Policy Space for Sustainable Development.’ Global Development Policy Center. </w:t>
      </w:r>
      <w:hyperlink r:id="rId57">
        <w:r w:rsidRPr="00D8299C">
          <w:rPr>
            <w:rStyle w:val="Hyperlink"/>
            <w:rFonts w:cstheme="minorHAnsi"/>
          </w:rPr>
          <w:t>Link</w:t>
        </w:r>
      </w:hyperlink>
      <w:r w:rsidRPr="00D8299C">
        <w:rPr>
          <w:rFonts w:cstheme="minorHAnsi"/>
          <w:color w:val="000000" w:themeColor="text1"/>
        </w:rPr>
        <w:t xml:space="preserve">. </w:t>
      </w:r>
      <w:r w:rsidRPr="00D8299C">
        <w:rPr>
          <w:rFonts w:cstheme="minorHAnsi"/>
        </w:rPr>
        <w:br/>
      </w:r>
      <w:r w:rsidRPr="00D8299C">
        <w:rPr>
          <w:rFonts w:cstheme="minorHAnsi"/>
          <w:i/>
          <w:iCs/>
          <w:color w:val="000000" w:themeColor="text1"/>
        </w:rPr>
        <w:t>The report underscores the necessity for a restructuring framework with effective incentives for private creditor participation and outlines measures to safeguard multilateral institutions' preferred creditor status.</w:t>
      </w:r>
    </w:p>
    <w:p w14:paraId="629D8009" w14:textId="77777777" w:rsidR="00C45B04" w:rsidRPr="00D8299C" w:rsidRDefault="00C45B04" w:rsidP="00C45B04">
      <w:pPr>
        <w:spacing w:line="276" w:lineRule="auto"/>
        <w:ind w:left="720"/>
        <w:rPr>
          <w:rFonts w:cstheme="minorHAnsi"/>
          <w:color w:val="0070C0"/>
          <w:lang w:val="en-US"/>
        </w:rPr>
      </w:pPr>
    </w:p>
    <w:p w14:paraId="4F45BF53" w14:textId="77777777" w:rsidR="00C45B04" w:rsidRPr="00D8299C" w:rsidRDefault="00C45B04" w:rsidP="00C45B04">
      <w:pPr>
        <w:pStyle w:val="Heading2"/>
        <w:rPr>
          <w:rFonts w:asciiTheme="minorHAnsi" w:hAnsiTheme="minorHAnsi" w:cstheme="minorHAnsi"/>
          <w:lang w:val="en-US"/>
        </w:rPr>
      </w:pPr>
      <w:bookmarkStart w:id="42" w:name="_Toc181734666"/>
      <w:r w:rsidRPr="00D8299C">
        <w:rPr>
          <w:rFonts w:asciiTheme="minorHAnsi" w:hAnsiTheme="minorHAnsi" w:cstheme="minorHAnsi"/>
          <w:lang w:val="en-US"/>
        </w:rPr>
        <w:t>Derisking &amp; Mobilizing Private Sector Investment</w:t>
      </w:r>
      <w:bookmarkEnd w:id="42"/>
      <w:r w:rsidRPr="00D8299C">
        <w:rPr>
          <w:rFonts w:asciiTheme="minorHAnsi" w:hAnsiTheme="minorHAnsi" w:cstheme="minorHAnsi"/>
          <w:lang w:val="en-US"/>
        </w:rPr>
        <w:t xml:space="preserve"> </w:t>
      </w:r>
    </w:p>
    <w:p w14:paraId="41C9A13A"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Naran, B., Connolly, J., Rosane, P., Wignarajah, D., Wakaba, G., &amp; Buchner, B. (2022). ‘Global Landscape of Climate Finance, A Decade of Data: 2011-2020'. Climate Policy Initiative. </w:t>
      </w:r>
      <w:hyperlink r:id="rId58">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color w:val="000000" w:themeColor="text1"/>
          <w:lang w:val="en-US"/>
        </w:rPr>
        <w:t xml:space="preserve">Global climate finance nearly doubled in the last decade, reaching USD 4.8 trillion between 2011-2020. However, a significant increase to USD 4.3 trillion annually by 2030 is needed to meet climate goals. Private sector investment is growing but not fast enough, while public sector funding remains crucial, especially for high-risk sectors. Renewable energy finance progressed well, but adaptation finance lags. Fossil fuel subsidies hinder progress. Concessional finance is essential for managing risks, but debt </w:t>
      </w:r>
      <w:r w:rsidRPr="00D8299C">
        <w:rPr>
          <w:rFonts w:cstheme="minorHAnsi"/>
          <w:i/>
          <w:iCs/>
          <w:color w:val="000000" w:themeColor="text1"/>
          <w:lang w:val="en-US"/>
        </w:rPr>
        <w:lastRenderedPageBreak/>
        <w:t>is the dominant instrument. Most finance is raised domestically, especially in East Asia &amp; Pacific. Data on finance flows is improving, but impact assessment remains insufficient.</w:t>
      </w:r>
    </w:p>
    <w:p w14:paraId="6F3B123F" w14:textId="77777777" w:rsidR="00C45B04" w:rsidRPr="00D8299C" w:rsidRDefault="00C45B04" w:rsidP="00C45B04">
      <w:pPr>
        <w:spacing w:line="276" w:lineRule="auto"/>
        <w:ind w:left="709" w:hanging="709"/>
        <w:rPr>
          <w:rFonts w:cstheme="minorHAnsi"/>
          <w:color w:val="000000" w:themeColor="text1"/>
          <w:lang w:val="en-US"/>
        </w:rPr>
      </w:pPr>
    </w:p>
    <w:p w14:paraId="4837F578"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International Renewable Energy Agency. “Sovereign Guarantees - Renewable Energy Finance Brief 01,” no. 1, January 2020. </w:t>
      </w:r>
      <w:hyperlink r:id="rId59">
        <w:r w:rsidRPr="00D8299C">
          <w:rPr>
            <w:rStyle w:val="Hyperlink"/>
            <w:rFonts w:cstheme="minorHAnsi"/>
            <w:lang w:val="en-US"/>
          </w:rPr>
          <w:t>Link</w:t>
        </w:r>
      </w:hyperlink>
      <w:r w:rsidRPr="00D8299C">
        <w:rPr>
          <w:rFonts w:cstheme="minorHAnsi"/>
          <w:color w:val="000000" w:themeColor="text1"/>
          <w:lang w:val="en-US"/>
        </w:rPr>
        <w:t>.</w:t>
      </w:r>
      <w:r w:rsidRPr="00D8299C">
        <w:rPr>
          <w:rFonts w:cstheme="minorHAnsi"/>
        </w:rPr>
        <w:br/>
      </w:r>
      <w:r w:rsidRPr="00D8299C">
        <w:rPr>
          <w:rFonts w:cstheme="minorHAnsi"/>
          <w:i/>
          <w:iCs/>
          <w:color w:val="000000" w:themeColor="text1"/>
          <w:lang w:val="en-US"/>
        </w:rPr>
        <w:t>Sovereign guarantees, once essential for renewable projects, are harder to obtain, but alternative risk mitigation instruments offer viable options. While public funds alone are insufficient for climate goals, private investment is crucial and available. However, private capital inflows are hindered by complex investment logic. IRENA's finance briefs clarify key concepts and obstacles preventing private sector investment in renewables. In less-developed countries, investors demand higher risk premiums or additional safeguards not needed in mature economies.</w:t>
      </w:r>
    </w:p>
    <w:p w14:paraId="25D0DCBB" w14:textId="77777777" w:rsidR="00C45B04" w:rsidRPr="00D8299C" w:rsidRDefault="00C45B04" w:rsidP="00C45B04">
      <w:pPr>
        <w:spacing w:line="276" w:lineRule="auto"/>
        <w:ind w:left="720" w:hanging="720"/>
        <w:rPr>
          <w:rFonts w:cstheme="minorHAnsi"/>
          <w:color w:val="222222"/>
          <w:lang w:val="en-US"/>
        </w:rPr>
      </w:pPr>
    </w:p>
    <w:p w14:paraId="58B0A722" w14:textId="77777777" w:rsidR="00C45B04" w:rsidRPr="00D8299C" w:rsidRDefault="00C45B04" w:rsidP="00C45B04">
      <w:pPr>
        <w:spacing w:line="276" w:lineRule="auto"/>
        <w:ind w:left="720" w:hanging="720"/>
        <w:rPr>
          <w:rFonts w:cstheme="minorHAnsi"/>
          <w:color w:val="222222"/>
          <w:lang w:val="en-US"/>
        </w:rPr>
      </w:pPr>
      <w:r w:rsidRPr="00D8299C">
        <w:rPr>
          <w:rFonts w:cstheme="minorHAnsi"/>
          <w:color w:val="222222"/>
          <w:lang w:val="en-US"/>
        </w:rPr>
        <w:t xml:space="preserve">Komendantova, N., Schinko, T., &amp; Patt, A. ‘De-risking Policies as a Substantial Determinant of Climate Change Mitigation Costs in Developing Countries: Case Study of the Middle East and North African region’. </w:t>
      </w:r>
      <w:r w:rsidRPr="00D8299C">
        <w:rPr>
          <w:rFonts w:cstheme="minorHAnsi"/>
          <w:i/>
          <w:iCs/>
          <w:color w:val="222222"/>
          <w:lang w:val="en-US"/>
        </w:rPr>
        <w:t xml:space="preserve">Energy policy </w:t>
      </w:r>
      <w:r w:rsidRPr="00D8299C">
        <w:rPr>
          <w:rFonts w:cstheme="minorHAnsi"/>
          <w:color w:val="222222"/>
          <w:lang w:val="en-US"/>
        </w:rPr>
        <w:t xml:space="preserve">127 (2019): 404-411. </w:t>
      </w:r>
      <w:hyperlink r:id="rId60">
        <w:r w:rsidRPr="00D8299C">
          <w:rPr>
            <w:rStyle w:val="Hyperlink"/>
            <w:rFonts w:cstheme="minorHAnsi"/>
            <w:lang w:val="en-US"/>
          </w:rPr>
          <w:t>Link</w:t>
        </w:r>
      </w:hyperlink>
      <w:r w:rsidRPr="00D8299C">
        <w:rPr>
          <w:rFonts w:cstheme="minorHAnsi"/>
          <w:color w:val="222222"/>
          <w:lang w:val="en-US"/>
        </w:rPr>
        <w:t xml:space="preserve">. </w:t>
      </w:r>
      <w:r w:rsidRPr="00D8299C">
        <w:rPr>
          <w:rFonts w:cstheme="minorHAnsi"/>
          <w:i/>
          <w:iCs/>
          <w:color w:val="222222"/>
          <w:lang w:val="en-US"/>
        </w:rPr>
        <w:t>Risk perceptions impact renewable energy projects in the Middle East and North Africa (MENA). This paper explores a de-risking approach to address these perceptions and uses a Computable General Equilibrium model to assess its macroeconomic effects on concentrated solar power (CSP). The findings indicate that de-risking reduces deployment costs and subsidies needed for CSP, making it more competitive with fossil fuels. This leads to positive GDP and welfare effects in the MENA region. The paper suggests that implementing a de-risking approach could be a feasible policy option to lower climate change mitigation costs and attract FDI.</w:t>
      </w:r>
    </w:p>
    <w:p w14:paraId="0C089BD8" w14:textId="77777777" w:rsidR="00C45B04" w:rsidRPr="00D8299C" w:rsidRDefault="00C45B04" w:rsidP="00C45B04">
      <w:pPr>
        <w:spacing w:line="276" w:lineRule="auto"/>
        <w:ind w:left="720" w:hanging="720"/>
        <w:rPr>
          <w:rFonts w:cstheme="minorHAnsi"/>
          <w:color w:val="000000" w:themeColor="text1"/>
          <w:lang w:val="en-US"/>
        </w:rPr>
      </w:pPr>
    </w:p>
    <w:p w14:paraId="414F74CD" w14:textId="77777777" w:rsidR="00C45B04" w:rsidRPr="00D8299C" w:rsidRDefault="00C45B04" w:rsidP="00C45B04">
      <w:pPr>
        <w:spacing w:line="276" w:lineRule="auto"/>
        <w:ind w:left="720" w:hanging="720"/>
        <w:rPr>
          <w:rFonts w:cstheme="minorHAnsi"/>
          <w:color w:val="222222"/>
          <w:lang w:val="en-US"/>
        </w:rPr>
      </w:pPr>
      <w:r w:rsidRPr="00D8299C">
        <w:rPr>
          <w:rFonts w:cstheme="minorHAnsi"/>
          <w:color w:val="222222"/>
          <w:lang w:val="en-US"/>
        </w:rPr>
        <w:t xml:space="preserve">Malhotra, A., Schmidt, T. S., Haelg, L., &amp; Waissbein, O. ‘Scaling up Finance for Off-Grid Renewable Energy: The Role of Aggregation and Spatial Diversification in Derisking Investments in Mini-Grids for Rural Electrification in India.’ </w:t>
      </w:r>
      <w:r w:rsidRPr="00D8299C">
        <w:rPr>
          <w:rFonts w:cstheme="minorHAnsi"/>
          <w:i/>
          <w:iCs/>
          <w:color w:val="222222"/>
          <w:lang w:val="en-US"/>
        </w:rPr>
        <w:t xml:space="preserve">Energy Policy </w:t>
      </w:r>
      <w:r w:rsidRPr="00D8299C">
        <w:rPr>
          <w:rFonts w:cstheme="minorHAnsi"/>
          <w:color w:val="222222"/>
          <w:lang w:val="en-US"/>
        </w:rPr>
        <w:t xml:space="preserve">108 (2017): 657-672. </w:t>
      </w:r>
      <w:hyperlink r:id="rId61">
        <w:r w:rsidRPr="00D8299C">
          <w:rPr>
            <w:rStyle w:val="Hyperlink"/>
            <w:rFonts w:cstheme="minorHAnsi"/>
            <w:lang w:val="en-US"/>
          </w:rPr>
          <w:t>Link</w:t>
        </w:r>
      </w:hyperlink>
      <w:r w:rsidRPr="00D8299C">
        <w:rPr>
          <w:rFonts w:cstheme="minorHAnsi"/>
          <w:color w:val="222222"/>
          <w:lang w:val="en-US"/>
        </w:rPr>
        <w:t xml:space="preserve">. </w:t>
      </w:r>
      <w:r w:rsidRPr="00D8299C">
        <w:rPr>
          <w:rFonts w:cstheme="minorHAnsi"/>
        </w:rPr>
        <w:br/>
      </w:r>
      <w:r w:rsidRPr="00D8299C">
        <w:rPr>
          <w:rFonts w:cstheme="minorHAnsi"/>
          <w:i/>
          <w:iCs/>
          <w:color w:val="222222"/>
          <w:lang w:val="en-US"/>
        </w:rPr>
        <w:t xml:space="preserve">This paper systematically assesses risks for solar PV mini-grid investments, analyzing risk correlations across distances and jurisdictions. It estimates the derisking effect of spatial diversification and its implications for mini-grid deployment policies. Despite the need for $48 billion annually to achieve universal electricity access by 2030, small-scale projects remain unattractive to private investors due to high risk and low investment volumes. Aggregating projects into diversified portfolios can address these issues. The study uses a </w:t>
      </w:r>
      <w:r w:rsidRPr="00D8299C">
        <w:rPr>
          <w:rFonts w:cstheme="minorHAnsi"/>
          <w:i/>
          <w:iCs/>
          <w:color w:val="222222"/>
          <w:lang w:val="en-US"/>
        </w:rPr>
        <w:lastRenderedPageBreak/>
        <w:t>mixed-method approach, identifying investment risks, analyzing risk correlations, and estimating derisking effects in an experimental portfolio in India. It provides insights for policymakers to facilitate private investment in rural electrification.</w:t>
      </w:r>
    </w:p>
    <w:p w14:paraId="2040B351" w14:textId="77777777" w:rsidR="00C45B04" w:rsidRPr="00D8299C" w:rsidRDefault="00C45B04" w:rsidP="00C45B04">
      <w:pPr>
        <w:spacing w:line="276" w:lineRule="auto"/>
        <w:ind w:left="720" w:hanging="720"/>
        <w:rPr>
          <w:rFonts w:cstheme="minorHAnsi"/>
          <w:color w:val="000000" w:themeColor="text1"/>
          <w:lang w:val="en-US"/>
        </w:rPr>
      </w:pPr>
    </w:p>
    <w:p w14:paraId="6D2BF1E8" w14:textId="77777777" w:rsidR="00C45B04" w:rsidRPr="00D8299C" w:rsidRDefault="00C45B04" w:rsidP="00C45B04">
      <w:pPr>
        <w:spacing w:line="276" w:lineRule="auto"/>
        <w:ind w:left="720" w:hanging="720"/>
        <w:rPr>
          <w:rFonts w:cstheme="minorHAnsi"/>
          <w:color w:val="000000" w:themeColor="text1"/>
          <w:lang w:val="en-US"/>
        </w:rPr>
      </w:pPr>
      <w:r w:rsidRPr="00D8299C">
        <w:rPr>
          <w:rFonts w:cstheme="minorHAnsi"/>
          <w:color w:val="000000" w:themeColor="text1"/>
          <w:lang w:val="en-US"/>
        </w:rPr>
        <w:t xml:space="preserve">Mohaddes, K., Kraemer, M., Burke, M., Klusak, P., &amp; Agarwala, M. (2021). ‘Rising Temperatures, Melting Ratings’. Vox EU. </w:t>
      </w:r>
      <w:hyperlink r:id="rId62">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rPr>
        <w:br/>
      </w:r>
      <w:r w:rsidRPr="00D8299C">
        <w:rPr>
          <w:rFonts w:cstheme="minorHAnsi"/>
          <w:i/>
          <w:iCs/>
          <w:color w:val="000000" w:themeColor="text1"/>
          <w:lang w:val="en-US"/>
        </w:rPr>
        <w:t>Enthusiasm for "greening the financial system" faces a major challenge: financial decision-makers lack credible, digestible information on how climate change translates into material risks. Current ESG ratings and voluntary corporate climate disclosures are often inconsistent and unscientific. To address this, this report bridges climate science and financial indicators by simulating the impact of climate change on sovereign credit ratings for 108 countries using machine learning and economic models. The findings show significant climate-induced downgrades under high emissions scenarios, with substantial increases in the cost of sovereign and corporate debt. Stringent climate policies could minimize these impacts.</w:t>
      </w:r>
    </w:p>
    <w:p w14:paraId="49EC360F" w14:textId="77777777" w:rsidR="00C45B04" w:rsidRPr="00D8299C" w:rsidRDefault="00C45B04" w:rsidP="00C45B04">
      <w:pPr>
        <w:spacing w:line="276" w:lineRule="auto"/>
        <w:ind w:left="720" w:hanging="720"/>
        <w:rPr>
          <w:rFonts w:cstheme="minorHAnsi"/>
          <w:color w:val="000000" w:themeColor="text1"/>
          <w:lang w:val="en-US"/>
        </w:rPr>
      </w:pPr>
    </w:p>
    <w:p w14:paraId="05E2C321" w14:textId="77777777" w:rsidR="00C45B04" w:rsidRPr="00D8299C" w:rsidRDefault="00C45B04" w:rsidP="00C45B04">
      <w:pPr>
        <w:spacing w:line="276" w:lineRule="auto"/>
        <w:ind w:left="720" w:hanging="720"/>
        <w:rPr>
          <w:rFonts w:cstheme="minorHAnsi"/>
          <w:color w:val="000000" w:themeColor="text1"/>
          <w:lang w:val="en-US"/>
        </w:rPr>
      </w:pPr>
      <w:r w:rsidRPr="00D8299C">
        <w:rPr>
          <w:rFonts w:cstheme="minorHAnsi"/>
          <w:color w:val="222222"/>
          <w:lang w:val="en-US"/>
        </w:rPr>
        <w:t xml:space="preserve">Polzin, F., Sanders, M., Steffen, B., Egli, F., Schmidt, T. S., Karkatsoulis, P., ... &amp; Paroussos, L. ‘The Effect of Differentiating Costs of Capital by Country and Technology on the European Energy Transition. </w:t>
      </w:r>
      <w:r w:rsidRPr="00D8299C">
        <w:rPr>
          <w:rFonts w:cstheme="minorHAnsi"/>
          <w:i/>
          <w:iCs/>
          <w:color w:val="222222"/>
          <w:lang w:val="en-US"/>
        </w:rPr>
        <w:t>Climatic Change</w:t>
      </w:r>
      <w:r w:rsidRPr="00D8299C">
        <w:rPr>
          <w:rFonts w:cstheme="minorHAnsi"/>
          <w:color w:val="222222"/>
          <w:lang w:val="en-US"/>
        </w:rPr>
        <w:t xml:space="preserve">, 167, no. 1 (2021): 1-21. </w:t>
      </w:r>
      <w:hyperlink r:id="rId63">
        <w:r w:rsidRPr="00D8299C">
          <w:rPr>
            <w:rStyle w:val="Hyperlink"/>
            <w:rFonts w:cstheme="minorHAnsi"/>
            <w:lang w:val="en-US"/>
          </w:rPr>
          <w:t>Link</w:t>
        </w:r>
      </w:hyperlink>
      <w:r w:rsidRPr="00D8299C">
        <w:rPr>
          <w:rFonts w:cstheme="minorHAnsi"/>
          <w:color w:val="222222"/>
          <w:lang w:val="en-US"/>
        </w:rPr>
        <w:t>.</w:t>
      </w:r>
      <w:r w:rsidRPr="00D8299C">
        <w:rPr>
          <w:rFonts w:cstheme="minorHAnsi"/>
          <w:color w:val="000000" w:themeColor="text1"/>
        </w:rPr>
        <w:t xml:space="preserve"> </w:t>
      </w:r>
      <w:r w:rsidRPr="00D8299C">
        <w:rPr>
          <w:rFonts w:cstheme="minorHAnsi"/>
        </w:rPr>
        <w:br/>
      </w:r>
      <w:r w:rsidRPr="00D8299C">
        <w:rPr>
          <w:rFonts w:cstheme="minorHAnsi"/>
          <w:i/>
          <w:iCs/>
          <w:color w:val="222222"/>
          <w:lang w:val="en-US"/>
        </w:rPr>
        <w:t>This paper addresses the importance of considering country and technology-specific cost of capital in energy transition investment decisions, particularly in the EU. By incorporating empirical data, significant variations in capital costs across countries and energy technologies are identified. Integrating these differentiated costs into energy models reveals substantial implications for technology deployment, emissions, and system costs. The findings underscore the need for accurate cost projections to inform policymakers and optimize the energy transition process efficiently.</w:t>
      </w:r>
      <w:r w:rsidRPr="00D8299C">
        <w:rPr>
          <w:rFonts w:cstheme="minorHAnsi"/>
        </w:rPr>
        <w:tab/>
      </w:r>
      <w:r w:rsidRPr="00D8299C">
        <w:rPr>
          <w:rStyle w:val="normaltextrun"/>
          <w:rFonts w:cstheme="minorHAnsi"/>
          <w:i/>
          <w:iCs/>
          <w:color w:val="000000" w:themeColor="text1"/>
          <w:lang w:val="en-US"/>
        </w:rPr>
        <w:t xml:space="preserve"> </w:t>
      </w:r>
    </w:p>
    <w:p w14:paraId="67648F1E" w14:textId="77777777" w:rsidR="00C45B04" w:rsidRPr="00D8299C" w:rsidRDefault="00C45B04" w:rsidP="00C45B04">
      <w:pPr>
        <w:spacing w:line="276" w:lineRule="auto"/>
        <w:ind w:left="720" w:hanging="720"/>
        <w:rPr>
          <w:rFonts w:cstheme="minorHAnsi"/>
          <w:color w:val="222222"/>
          <w:lang w:val="en-US"/>
        </w:rPr>
      </w:pPr>
    </w:p>
    <w:p w14:paraId="17D372B4" w14:textId="77777777" w:rsidR="00C45B04" w:rsidRPr="00D8299C" w:rsidRDefault="00C45B04" w:rsidP="00C45B04">
      <w:pPr>
        <w:spacing w:line="276" w:lineRule="auto"/>
        <w:ind w:left="720" w:hanging="720"/>
        <w:rPr>
          <w:rFonts w:cstheme="minorHAnsi"/>
          <w:color w:val="222222"/>
          <w:lang w:val="en-US"/>
        </w:rPr>
      </w:pPr>
      <w:r w:rsidRPr="00D8299C">
        <w:rPr>
          <w:rFonts w:cstheme="minorHAnsi"/>
          <w:color w:val="222222"/>
          <w:lang w:val="en-US"/>
        </w:rPr>
        <w:t>Schinko, T., &amp; Komendantova, N. ‘De-risking Investment into Concentrated Solar</w:t>
      </w:r>
      <w:r w:rsidRPr="00D8299C">
        <w:rPr>
          <w:rFonts w:cstheme="minorHAnsi"/>
          <w:color w:val="000000" w:themeColor="text1"/>
        </w:rPr>
        <w:t xml:space="preserve"> </w:t>
      </w:r>
      <w:r w:rsidRPr="00D8299C">
        <w:rPr>
          <w:rFonts w:cstheme="minorHAnsi"/>
          <w:color w:val="222222"/>
        </w:rPr>
        <w:t xml:space="preserve">Power in North Africa: Impacts on the Costs of Electricity Generation’. </w:t>
      </w:r>
      <w:r w:rsidRPr="00D8299C">
        <w:rPr>
          <w:rFonts w:cstheme="minorHAnsi"/>
          <w:i/>
          <w:iCs/>
          <w:color w:val="222222"/>
        </w:rPr>
        <w:t>Renewable Energy</w:t>
      </w:r>
      <w:r w:rsidRPr="00D8299C">
        <w:rPr>
          <w:rFonts w:cstheme="minorHAnsi"/>
          <w:color w:val="222222"/>
        </w:rPr>
        <w:t xml:space="preserve"> 92 (2016): 262-272. </w:t>
      </w:r>
      <w:hyperlink r:id="rId64">
        <w:r w:rsidRPr="00D8299C">
          <w:rPr>
            <w:rStyle w:val="Hyperlink"/>
            <w:rFonts w:cstheme="minorHAnsi"/>
          </w:rPr>
          <w:t>Link</w:t>
        </w:r>
      </w:hyperlink>
      <w:r w:rsidRPr="00D8299C">
        <w:rPr>
          <w:rFonts w:cstheme="minorHAnsi"/>
          <w:color w:val="222222"/>
        </w:rPr>
        <w:t xml:space="preserve">. </w:t>
      </w:r>
      <w:r w:rsidRPr="00D8299C">
        <w:rPr>
          <w:rFonts w:cstheme="minorHAnsi"/>
        </w:rPr>
        <w:br/>
      </w:r>
      <w:r w:rsidRPr="00D8299C">
        <w:rPr>
          <w:rFonts w:cstheme="minorHAnsi"/>
          <w:i/>
          <w:iCs/>
          <w:color w:val="222222"/>
        </w:rPr>
        <w:t xml:space="preserve">The study investigates financing costs for CSP in North Africa, influenced by investor risk perceptions. De-risking strategies could reduce costs by nearly a third, but alone, may not ensure CSP's economic viability. Additional policies supporting renewable energy sources (RES) are crucial, including reconsidering fossil fuel subsidies. Despite a 39% reduction in CSP costs from de-risking, it remains economically uncompetitive with highly </w:t>
      </w:r>
      <w:r w:rsidRPr="00D8299C">
        <w:rPr>
          <w:rFonts w:cstheme="minorHAnsi"/>
          <w:i/>
          <w:iCs/>
          <w:color w:val="222222"/>
        </w:rPr>
        <w:lastRenderedPageBreak/>
        <w:t>subsidized conventional fossil fuel electricity in North Africa. The findings underscore the importance of comprehensive strategies to promote CSP deployment in the region and highlight the need for broader policy adjustments to support RES competitiveness.</w:t>
      </w:r>
    </w:p>
    <w:p w14:paraId="25E42016" w14:textId="77777777" w:rsidR="00C45B04" w:rsidRPr="00D8299C" w:rsidRDefault="00C45B04" w:rsidP="00C45B04">
      <w:pPr>
        <w:rPr>
          <w:rFonts w:eastAsia="Calibri" w:cstheme="minorHAnsi"/>
          <w:color w:val="000000" w:themeColor="text1"/>
          <w:lang w:val="en-US"/>
        </w:rPr>
      </w:pPr>
    </w:p>
    <w:p w14:paraId="3BAFA46A" w14:textId="77777777" w:rsidR="00C45B04" w:rsidRPr="00D8299C" w:rsidRDefault="00C45B04" w:rsidP="00C45B04">
      <w:pPr>
        <w:spacing w:line="276" w:lineRule="auto"/>
        <w:ind w:left="720"/>
        <w:rPr>
          <w:rFonts w:cstheme="minorHAnsi"/>
          <w:color w:val="000000" w:themeColor="text1"/>
          <w:lang w:val="en-US"/>
        </w:rPr>
      </w:pPr>
    </w:p>
    <w:p w14:paraId="5C4347BB" w14:textId="77777777" w:rsidR="00C45B04" w:rsidRPr="00D8299C" w:rsidRDefault="00C45B04" w:rsidP="00C45B04">
      <w:pPr>
        <w:rPr>
          <w:rFonts w:cstheme="minorHAnsi"/>
          <w:i/>
          <w:iCs/>
          <w:color w:val="000000" w:themeColor="text1"/>
          <w:lang w:val="en-US"/>
        </w:rPr>
      </w:pPr>
      <w:r w:rsidRPr="00D8299C">
        <w:rPr>
          <w:rFonts w:cstheme="minorHAnsi"/>
          <w:i/>
          <w:iCs/>
          <w:color w:val="000000" w:themeColor="text1"/>
          <w:lang w:val="en-US"/>
        </w:rPr>
        <w:br w:type="page"/>
      </w:r>
    </w:p>
    <w:p w14:paraId="1C23A6E1" w14:textId="77777777" w:rsidR="00C45B04" w:rsidRPr="00D8299C" w:rsidRDefault="00C45B04" w:rsidP="00C45B04">
      <w:pPr>
        <w:pStyle w:val="Heading1"/>
        <w:rPr>
          <w:rFonts w:asciiTheme="minorHAnsi" w:hAnsiTheme="minorHAnsi" w:cstheme="minorHAnsi"/>
          <w:b/>
          <w:bCs/>
        </w:rPr>
      </w:pPr>
      <w:r w:rsidRPr="00D8299C">
        <w:rPr>
          <w:rFonts w:asciiTheme="minorHAnsi" w:hAnsiTheme="minorHAnsi" w:cstheme="minorHAnsi"/>
        </w:rPr>
        <w:lastRenderedPageBreak/>
        <w:t xml:space="preserve">G: Climate </w:t>
      </w:r>
      <w:bookmarkEnd w:id="35"/>
      <w:r w:rsidRPr="00D8299C">
        <w:rPr>
          <w:rFonts w:asciiTheme="minorHAnsi" w:hAnsiTheme="minorHAnsi" w:cstheme="minorHAnsi"/>
        </w:rPr>
        <w:t>PFM</w:t>
      </w:r>
      <w:bookmarkEnd w:id="36"/>
    </w:p>
    <w:p w14:paraId="1EC5C654" w14:textId="77777777" w:rsidR="00C45B04" w:rsidRPr="00D8299C" w:rsidRDefault="00C45B04" w:rsidP="00C45B04">
      <w:pPr>
        <w:pStyle w:val="Heading2"/>
        <w:rPr>
          <w:rFonts w:asciiTheme="minorHAnsi" w:hAnsiTheme="minorHAnsi" w:cstheme="minorHAnsi"/>
          <w:b/>
          <w:bCs/>
        </w:rPr>
      </w:pPr>
      <w:bookmarkStart w:id="43" w:name="_Toc173177164"/>
      <w:bookmarkStart w:id="44" w:name="_Toc181734673"/>
      <w:bookmarkStart w:id="45" w:name="_Toc173177163"/>
      <w:bookmarkStart w:id="46" w:name="_Toc1879912691"/>
      <w:bookmarkStart w:id="47" w:name="_Toc1514111917"/>
      <w:bookmarkStart w:id="48" w:name="_Toc541428913"/>
      <w:bookmarkStart w:id="49" w:name="_Toc99511442"/>
      <w:r w:rsidRPr="00D8299C">
        <w:rPr>
          <w:rStyle w:val="Heading2Char"/>
          <w:rFonts w:asciiTheme="minorHAnsi" w:hAnsiTheme="minorHAnsi" w:cstheme="minorHAnsi"/>
        </w:rPr>
        <w:t>Climate Public Financial Management (PFM) and Public Investment Management</w:t>
      </w:r>
      <w:r w:rsidRPr="00D8299C">
        <w:rPr>
          <w:rFonts w:asciiTheme="minorHAnsi" w:hAnsiTheme="minorHAnsi" w:cstheme="minorHAnsi"/>
          <w:lang w:val="en-US"/>
        </w:rPr>
        <w:t xml:space="preserve"> (PIM</w:t>
      </w:r>
      <w:bookmarkEnd w:id="43"/>
      <w:r w:rsidRPr="00D8299C">
        <w:rPr>
          <w:rFonts w:asciiTheme="minorHAnsi" w:hAnsiTheme="minorHAnsi" w:cstheme="minorHAnsi"/>
          <w:lang w:val="en-US"/>
        </w:rPr>
        <w:t>)</w:t>
      </w:r>
      <w:bookmarkEnd w:id="44"/>
    </w:p>
    <w:p w14:paraId="24564E06"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Cameron, S., Lelong, M. &amp; von Trapp, L. ‘More than Words: Potential Roles for Independent Fiscal Institutions (IFIs) in Green Budgeting.’ </w:t>
      </w:r>
      <w:r w:rsidRPr="00D8299C">
        <w:rPr>
          <w:rFonts w:cstheme="minorHAnsi"/>
          <w:i/>
          <w:iCs/>
          <w:color w:val="000000" w:themeColor="text1"/>
          <w:lang w:val="en-US"/>
        </w:rPr>
        <w:t xml:space="preserve">OECD Journal of Budgeting </w:t>
      </w:r>
      <w:r w:rsidRPr="00D8299C">
        <w:rPr>
          <w:rFonts w:cstheme="minorHAnsi"/>
          <w:color w:val="000000" w:themeColor="text1"/>
          <w:lang w:val="en-US"/>
        </w:rPr>
        <w:t xml:space="preserve">22, no. 3 (2022). </w:t>
      </w:r>
      <w:hyperlink r:id="rId65">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color w:val="000000" w:themeColor="text1"/>
          <w:lang w:val="en-US"/>
        </w:rPr>
        <w:br/>
      </w:r>
      <w:r w:rsidRPr="00D8299C">
        <w:rPr>
          <w:rFonts w:cstheme="minorHAnsi"/>
          <w:i/>
          <w:iCs/>
          <w:color w:val="000000" w:themeColor="text1"/>
          <w:lang w:val="en-US"/>
        </w:rPr>
        <w:t>In this article, the authors propose new roles for Independent Fiscal Institutions (IFIs) regarding green budgeting.  IFIs’ aims are to monitor fiscal rules and advise on fiscal policy matters to ensure sustainability in public finances.  IFIs have a reputation for being impartial and invaluable for public debate and public finance matters.  Cameron and colleagues make the case for IFIs in OECD-affiliated countries to verify compliance with environmental disclosures and budget plans are consistent with achieving climate, ecological and environmental targets and mandates.</w:t>
      </w:r>
    </w:p>
    <w:p w14:paraId="1DFBF6ED" w14:textId="77777777" w:rsidR="00C45B04" w:rsidRPr="00D8299C" w:rsidRDefault="00C45B04" w:rsidP="00C45B04">
      <w:pPr>
        <w:spacing w:line="276" w:lineRule="auto"/>
        <w:ind w:left="709" w:hanging="709"/>
        <w:rPr>
          <w:rFonts w:cstheme="minorHAnsi"/>
          <w:color w:val="000000" w:themeColor="text1"/>
          <w:lang w:val="en-US"/>
        </w:rPr>
      </w:pPr>
    </w:p>
    <w:p w14:paraId="663CA528" w14:textId="77777777" w:rsidR="00C45B04" w:rsidRPr="00D8299C" w:rsidRDefault="00C45B04" w:rsidP="00C45B04">
      <w:pPr>
        <w:spacing w:line="276" w:lineRule="auto"/>
        <w:ind w:left="709" w:hanging="709"/>
        <w:rPr>
          <w:rFonts w:cstheme="minorHAnsi"/>
          <w:i/>
          <w:iCs/>
          <w:color w:val="000000" w:themeColor="text1"/>
          <w:lang w:val="en-US"/>
        </w:rPr>
      </w:pPr>
      <w:r w:rsidRPr="00D8299C">
        <w:rPr>
          <w:rFonts w:cstheme="minorHAnsi"/>
          <w:color w:val="000000" w:themeColor="text1"/>
          <w:lang w:val="en-US"/>
        </w:rPr>
        <w:t>Gonguet, F., Wendling, C.P., Aydin, O.S., Battersby, B. (2021). ‘Climate-Sensitive</w:t>
      </w:r>
      <w:r w:rsidRPr="00D8299C">
        <w:rPr>
          <w:rFonts w:cstheme="minorHAnsi"/>
        </w:rPr>
        <w:t xml:space="preserve"> </w:t>
      </w:r>
      <w:r w:rsidRPr="00D8299C">
        <w:rPr>
          <w:rFonts w:cstheme="minorHAnsi"/>
          <w:color w:val="000000" w:themeColor="text1"/>
          <w:lang w:val="en-US"/>
        </w:rPr>
        <w:t xml:space="preserve">Management of Public Finances—Green PFM.’  Staff Climate Notes, International Monetary Fund, Washington DC. </w:t>
      </w:r>
      <w:hyperlink r:id="rId66" w:anchor=":~:text=Climate%2DSensitive%20Management%20of%20Public%20Finances%E2%80%94%22Green%20PFM%E2%80%9D,-August%2011%2C%202021&amp;text=With%20the%20cross%2Dcutting%20nature,strategy%20to%20combat%20climate%20change.">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color w:val="000000" w:themeColor="text1"/>
        </w:rPr>
        <w:br/>
      </w:r>
      <w:r w:rsidRPr="00D8299C">
        <w:rPr>
          <w:rFonts w:cstheme="minorHAnsi"/>
          <w:i/>
          <w:iCs/>
          <w:color w:val="000000" w:themeColor="text1"/>
          <w:lang w:val="en-US"/>
        </w:rPr>
        <w:t>This IMF “climate note” provides a framework for green PFM and emphasizes various entry points within, across, and beyond the budget cycle.  This includes components such as fiscal transparency and oversight and proper coordination with state-owned agencies and regional and local governments.  The report also identifies key conditions for a functional green PFM which are: strong leadership of respective ministries and agencies, smart sequencing of reforms, real political ownership, and good communication with stakeholders.</w:t>
      </w:r>
    </w:p>
    <w:p w14:paraId="3F98DF2D" w14:textId="77777777" w:rsidR="00C45B04" w:rsidRPr="00D8299C" w:rsidRDefault="00C45B04" w:rsidP="00C45B04">
      <w:pPr>
        <w:spacing w:line="276" w:lineRule="auto"/>
        <w:ind w:left="709" w:hanging="709"/>
        <w:rPr>
          <w:rFonts w:cstheme="minorHAnsi"/>
          <w:i/>
          <w:iCs/>
          <w:color w:val="000000" w:themeColor="text1"/>
          <w:lang w:val="en-US"/>
        </w:rPr>
      </w:pPr>
    </w:p>
    <w:p w14:paraId="66B68D8C"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Gonguet, F., Gores, L., Hengy, N., Makiadi, E. G., Roumegas, P., &amp; Selim, H. (2023). ‘Democratic Republic of the Congo: Technical Assistance Report on Public Investment Management Assessment - PIMA and Climate PIMA’ (pp. 55-64) International Monetary Fund, Washington DC. </w:t>
      </w:r>
      <w:hyperlink r:id="rId67">
        <w:r w:rsidRPr="00D8299C">
          <w:rPr>
            <w:rFonts w:cstheme="minorHAnsi"/>
            <w:color w:val="000000" w:themeColor="text1"/>
          </w:rPr>
          <w:t>Link</w:t>
        </w:r>
      </w:hyperlink>
      <w:r w:rsidRPr="00D8299C">
        <w:rPr>
          <w:rFonts w:cstheme="minorHAnsi"/>
          <w:color w:val="000000" w:themeColor="text1"/>
          <w:lang w:val="en-US"/>
        </w:rPr>
        <w:t xml:space="preserve">. </w:t>
      </w:r>
      <w:r w:rsidRPr="00D8299C">
        <w:rPr>
          <w:rFonts w:cstheme="minorHAnsi"/>
          <w:color w:val="000000" w:themeColor="text1"/>
          <w:lang w:val="en-US"/>
        </w:rPr>
        <w:br/>
      </w:r>
      <w:r w:rsidRPr="00D8299C">
        <w:rPr>
          <w:rFonts w:cstheme="minorHAnsi"/>
          <w:i/>
          <w:iCs/>
          <w:color w:val="000000" w:themeColor="text1"/>
          <w:lang w:val="en-US"/>
        </w:rPr>
        <w:t xml:space="preserve">The March 2022 Public Investment Management Assessment (PIMA) of the Democratic Republic of Congo reveals critical weaknesses in public investment efficiency and infrastructure quality. The report underscores emerging practices in integrating climate considerations, highlighting the Ministry of Environment's role in coordinating investment decisions and the new framework for natural disaster risk management. However, significant gaps remain in aligning climate considerations with national strategies, legal frameworks, and methodologies for assessing climate risks and impacts </w:t>
      </w:r>
      <w:r w:rsidRPr="00D8299C">
        <w:rPr>
          <w:rFonts w:cstheme="minorHAnsi"/>
          <w:i/>
          <w:iCs/>
          <w:color w:val="000000" w:themeColor="text1"/>
          <w:lang w:val="en-US"/>
        </w:rPr>
        <w:lastRenderedPageBreak/>
        <w:t>on infrastructure. The PIMA climate module evaluates these aspects within the broader PIMA framework.</w:t>
      </w:r>
    </w:p>
    <w:p w14:paraId="046129A7" w14:textId="77777777" w:rsidR="00C45B04" w:rsidRPr="00D8299C" w:rsidRDefault="00C45B04" w:rsidP="00C45B04">
      <w:pPr>
        <w:spacing w:line="276" w:lineRule="auto"/>
        <w:ind w:left="709" w:hanging="709"/>
        <w:rPr>
          <w:rFonts w:cstheme="minorHAnsi"/>
          <w:color w:val="000000" w:themeColor="text1"/>
          <w:lang w:val="en-US"/>
        </w:rPr>
      </w:pPr>
    </w:p>
    <w:p w14:paraId="1E878D77"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OECD (2012). ‘Greening Development: Enhancing Capacity for Environmental</w:t>
      </w:r>
      <w:r w:rsidRPr="00D8299C">
        <w:rPr>
          <w:rFonts w:cstheme="minorHAnsi"/>
        </w:rPr>
        <w:t xml:space="preserve"> </w:t>
      </w:r>
      <w:r w:rsidRPr="00D8299C">
        <w:rPr>
          <w:rFonts w:cstheme="minorHAnsi"/>
          <w:color w:val="000000" w:themeColor="text1"/>
        </w:rPr>
        <w:t xml:space="preserve">Management and Governance’. Paris. </w:t>
      </w:r>
      <w:hyperlink r:id="rId68">
        <w:r w:rsidRPr="00D8299C">
          <w:rPr>
            <w:rStyle w:val="Hyperlink"/>
            <w:rFonts w:cstheme="minorHAnsi"/>
          </w:rPr>
          <w:t>Link</w:t>
        </w:r>
      </w:hyperlink>
      <w:r w:rsidRPr="00D8299C">
        <w:rPr>
          <w:rFonts w:cstheme="minorHAnsi"/>
          <w:color w:val="000000" w:themeColor="text1"/>
        </w:rPr>
        <w:t xml:space="preserve">. </w:t>
      </w:r>
      <w:r w:rsidRPr="00D8299C">
        <w:rPr>
          <w:rFonts w:cstheme="minorHAnsi"/>
          <w:color w:val="000000" w:themeColor="text1"/>
          <w:lang w:val="en-US"/>
        </w:rPr>
        <w:br/>
      </w:r>
      <w:r w:rsidRPr="00D8299C">
        <w:rPr>
          <w:rFonts w:cstheme="minorHAnsi"/>
          <w:i/>
          <w:iCs/>
          <w:color w:val="000000" w:themeColor="text1"/>
          <w:lang w:val="en-US"/>
        </w:rPr>
        <w:t>The report provides recommendations and key strategies for building capacity for greener development and integrating environmental concerns into national policymaking, economic sectors and budgetary processes.  It identifies actors to participate in decision-making processes, capacity gaps, and ways to overcome them. The report proposes a five-step framework to respond to capacity needs at individual and organizational levels and the enabling environment for execution.</w:t>
      </w:r>
    </w:p>
    <w:p w14:paraId="514ABEA2" w14:textId="77777777" w:rsidR="00C45B04" w:rsidRPr="00D8299C" w:rsidRDefault="00C45B04" w:rsidP="00C45B04">
      <w:pPr>
        <w:spacing w:line="276" w:lineRule="auto"/>
        <w:ind w:left="709" w:hanging="709"/>
        <w:rPr>
          <w:rFonts w:cstheme="minorHAnsi"/>
          <w:color w:val="000000" w:themeColor="text1"/>
          <w:lang w:val="en-US"/>
        </w:rPr>
      </w:pPr>
    </w:p>
    <w:p w14:paraId="3B8033BB"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UNDP (2015). ‘Climate Public Expenditure and Institutional Review: A</w:t>
      </w:r>
      <w:r w:rsidRPr="00D8299C">
        <w:rPr>
          <w:rFonts w:cstheme="minorHAnsi"/>
        </w:rPr>
        <w:t xml:space="preserve"> </w:t>
      </w:r>
      <w:r w:rsidRPr="00D8299C">
        <w:rPr>
          <w:rFonts w:cstheme="minorHAnsi"/>
          <w:color w:val="000000" w:themeColor="text1"/>
          <w:lang w:val="en-US"/>
        </w:rPr>
        <w:t xml:space="preserve">Methodological Note.’ New York. </w:t>
      </w:r>
      <w:hyperlink r:id="rId69">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color w:val="000000" w:themeColor="text1"/>
          <w:lang w:val="en-US"/>
        </w:rPr>
        <w:br/>
      </w:r>
      <w:r w:rsidRPr="00D8299C">
        <w:rPr>
          <w:rFonts w:cstheme="minorHAnsi"/>
          <w:i/>
          <w:iCs/>
          <w:color w:val="000000" w:themeColor="text1"/>
          <w:lang w:val="en-US"/>
        </w:rPr>
        <w:t>The report describes a new methodology to inform the integration of climate change policies and programs into national budgets through the Climate Public Expenditure and Institutional Review (CPEIR).  It examines three areas of the CPEIR which are the national climate change policy, the institutional processes through which the policy is channeled, and the public funding allocation process for the implementation of the policies.  The report proposes three CPEIR methodologies which are the Public Expenditure Reviews (PERs), Public Expenditure and Institutional Reviews (PEIRs) and the Public Environmental Expenditure Reviews (PEERs).</w:t>
      </w:r>
    </w:p>
    <w:p w14:paraId="404D4F78" w14:textId="77777777" w:rsidR="00C45B04" w:rsidRPr="00D8299C" w:rsidRDefault="00C45B04" w:rsidP="00C45B04">
      <w:pPr>
        <w:spacing w:line="276" w:lineRule="auto"/>
        <w:ind w:left="709" w:hanging="709"/>
        <w:rPr>
          <w:rFonts w:cstheme="minorHAnsi"/>
          <w:color w:val="000000" w:themeColor="text1"/>
        </w:rPr>
      </w:pPr>
    </w:p>
    <w:p w14:paraId="70EE93D2"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rPr>
        <w:t xml:space="preserve">UNDP (2022). ‘UNDP Global Climate Public Finance Review’. New York. </w:t>
      </w:r>
      <w:hyperlink r:id="rId70">
        <w:r w:rsidRPr="00D8299C">
          <w:rPr>
            <w:rStyle w:val="Hyperlink"/>
            <w:rFonts w:cstheme="minorHAnsi"/>
          </w:rPr>
          <w:t>Link</w:t>
        </w:r>
      </w:hyperlink>
      <w:r w:rsidRPr="00D8299C">
        <w:rPr>
          <w:rFonts w:cstheme="minorHAnsi"/>
          <w:color w:val="000000" w:themeColor="text1"/>
        </w:rPr>
        <w:t xml:space="preserve">. </w:t>
      </w:r>
      <w:r w:rsidRPr="00D8299C">
        <w:rPr>
          <w:rFonts w:cstheme="minorHAnsi"/>
          <w:color w:val="000000" w:themeColor="text1"/>
        </w:rPr>
        <w:br/>
      </w:r>
      <w:r w:rsidRPr="00D8299C">
        <w:rPr>
          <w:rFonts w:cstheme="minorHAnsi"/>
          <w:i/>
          <w:iCs/>
          <w:color w:val="000000" w:themeColor="text1"/>
          <w:lang w:val="en-US"/>
        </w:rPr>
        <w:t>The report provides a stock-take of the approaches, methods, and tools to integrate climate change into PFM systems by making use of an adapted ‘green PFM’ framework originally proposed by the IMF. The report finds that there is great diversity in country-level climate budgeting responses, and many are in terms of national climate policies and strategies and NDCs.  The report also finds that the effectiveness of the climate budgeting reforms is unclear, yet leadership from central ministry, agencies and appropriate planning agencies was found to be key in the report. This report is the most comprehensive review on climate public financing and budgeting to date.</w:t>
      </w:r>
    </w:p>
    <w:p w14:paraId="0BA9C858" w14:textId="77777777" w:rsidR="00C45B04" w:rsidRPr="00D8299C" w:rsidRDefault="00C45B04" w:rsidP="00C45B04">
      <w:pPr>
        <w:pStyle w:val="Heading2"/>
        <w:rPr>
          <w:rFonts w:asciiTheme="minorHAnsi" w:hAnsiTheme="minorHAnsi" w:cstheme="minorHAnsi"/>
          <w:lang w:val="en-US"/>
        </w:rPr>
      </w:pPr>
      <w:bookmarkStart w:id="50" w:name="_Toc181734674"/>
      <w:r w:rsidRPr="00D8299C">
        <w:rPr>
          <w:rFonts w:asciiTheme="minorHAnsi" w:hAnsiTheme="minorHAnsi" w:cstheme="minorHAnsi"/>
          <w:lang w:val="en-US"/>
        </w:rPr>
        <w:t>Green Budgeting/Tagging</w:t>
      </w:r>
      <w:bookmarkEnd w:id="45"/>
      <w:bookmarkEnd w:id="50"/>
    </w:p>
    <w:p w14:paraId="0B777E8F"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Allan, S. (2021). ‘Inclusive Budgeting and Financing for Climate Change in Africa – The Integration of Climate Change into Budgeting and Finance.’ Collaborative Africa Budget </w:t>
      </w:r>
      <w:r w:rsidRPr="00D8299C">
        <w:rPr>
          <w:rFonts w:cstheme="minorHAnsi"/>
          <w:color w:val="000000" w:themeColor="text1"/>
          <w:lang w:val="en-US"/>
        </w:rPr>
        <w:lastRenderedPageBreak/>
        <w:t xml:space="preserve">Reform Initiative. </w:t>
      </w:r>
      <w:hyperlink r:id="rId71" w:anchor=":~:text=The%20Inclusive%20Budgeting%20and%20Financing,aim%20of%20promoting%20climate%20resilience.">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i/>
          <w:iCs/>
          <w:color w:val="000000" w:themeColor="text1"/>
          <w:lang w:val="en-US"/>
        </w:rPr>
        <w:t>The report aims to integrate climate change reforms in public finance management in African countries.  It reviews climate integration budget reforms in nine African countries and identifies entry points into their budget cycles.  The report finds that all studied countries are implementing some form of climate measure in their budgeting and finance.  While these measures are diverse, many countries have climate change featured on their budget circulars to encourage different sectors to mainstream climate change actions in their budgets (existence of climate planning).  Citizens’ climate change budget, climate-informed audits and legislative engagement over climate-related public expenditure are areas that are receiving less attention.</w:t>
      </w:r>
    </w:p>
    <w:p w14:paraId="023EFC56" w14:textId="77777777" w:rsidR="00C45B04" w:rsidRPr="00D8299C" w:rsidRDefault="00C45B04" w:rsidP="00C45B04">
      <w:pPr>
        <w:spacing w:line="276" w:lineRule="auto"/>
        <w:ind w:left="709" w:hanging="709"/>
        <w:rPr>
          <w:rFonts w:cstheme="minorHAnsi"/>
          <w:color w:val="000000" w:themeColor="text1"/>
          <w:lang w:val="en-US"/>
        </w:rPr>
      </w:pPr>
    </w:p>
    <w:p w14:paraId="45630E30"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Association of Chartered Certified Accountants (2022). ‘Green Budgeting: A Toolkit for Public Sector Finance Professionals.’ London. </w:t>
      </w:r>
      <w:hyperlink r:id="rId72">
        <w:r w:rsidRPr="00D8299C">
          <w:rPr>
            <w:rStyle w:val="Hyperlink"/>
            <w:rFonts w:cstheme="minorHAnsi"/>
            <w:lang w:val="en-US"/>
          </w:rPr>
          <w:t>Link</w:t>
        </w:r>
      </w:hyperlink>
      <w:r w:rsidRPr="00D8299C">
        <w:rPr>
          <w:rFonts w:cstheme="minorHAnsi"/>
          <w:color w:val="000000" w:themeColor="text1"/>
          <w:lang w:val="en-US"/>
        </w:rPr>
        <w:t>. </w:t>
      </w:r>
      <w:r w:rsidRPr="00D8299C">
        <w:rPr>
          <w:rFonts w:cstheme="minorHAnsi"/>
        </w:rPr>
        <w:br/>
      </w:r>
      <w:r w:rsidRPr="00D8299C">
        <w:rPr>
          <w:rFonts w:cstheme="minorHAnsi"/>
          <w:i/>
          <w:iCs/>
          <w:color w:val="000000" w:themeColor="text1"/>
          <w:lang w:val="en-US"/>
        </w:rPr>
        <w:t xml:space="preserve">In this report, the ACCA presents a simplified systematic procedure – a toolkit for finance professionals to implement green budgeting.  Their toolkit comprises five steps based on two widely used practices in the field which are: climate change tagging (or green budget tagging) and evaluation approaches (environmental impact assessments and environmental cost-benefit analysis).  Insights from multiple public sector organizations in several countries and cities are produced to illustrate the diverse approaches, strategies, and motivations behind green budgeting. </w:t>
      </w:r>
    </w:p>
    <w:p w14:paraId="042421F5" w14:textId="77777777" w:rsidR="00C45B04" w:rsidRPr="00D8299C" w:rsidRDefault="00C45B04" w:rsidP="00C45B04">
      <w:pPr>
        <w:spacing w:line="276" w:lineRule="auto"/>
        <w:ind w:left="709" w:hanging="709"/>
        <w:rPr>
          <w:rFonts w:cstheme="minorHAnsi"/>
          <w:color w:val="000000" w:themeColor="text1"/>
          <w:lang w:val="en-US"/>
        </w:rPr>
      </w:pPr>
    </w:p>
    <w:p w14:paraId="7937684D"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Bova, E. (2021). ‘Green Budgeting Practices in the EU: A First Review.’ European Economy Discussion Paper 140, European Commission. </w:t>
      </w:r>
      <w:hyperlink r:id="rId73">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i/>
          <w:iCs/>
          <w:color w:val="000000" w:themeColor="text1"/>
          <w:lang w:val="en-US"/>
        </w:rPr>
        <w:t xml:space="preserve">This discussion paper presents green budgeting experiences in European Union Member States and compares the coverage, methodology and governance of green budget practices, including accountability and transparency aspects of these practices.  Despite green budgeting being in its early stages in many EU member states, the study highlights the heterogeneity in green budget practices, which can be explained by divergent concepts and definitions concerning environmental objectives and the budget’s contribution towards them.  The paper recommends a redefinition of what warrants a green budgetary measure and a structured approach to assessing the inputs and outcomes of budgetary measures. </w:t>
      </w:r>
    </w:p>
    <w:p w14:paraId="5DA949EE" w14:textId="77777777" w:rsidR="00C45B04" w:rsidRPr="00D8299C" w:rsidRDefault="00C45B04" w:rsidP="00C45B04">
      <w:pPr>
        <w:spacing w:line="276" w:lineRule="auto"/>
        <w:ind w:left="709" w:hanging="709"/>
        <w:rPr>
          <w:rFonts w:cstheme="minorHAnsi"/>
          <w:color w:val="000000" w:themeColor="text1"/>
          <w:lang w:val="en-US"/>
        </w:rPr>
      </w:pPr>
    </w:p>
    <w:p w14:paraId="42862852" w14:textId="77777777" w:rsidR="00C45B04" w:rsidRPr="00D8299C" w:rsidRDefault="00C45B04" w:rsidP="00C45B04">
      <w:pPr>
        <w:spacing w:line="276" w:lineRule="auto"/>
        <w:ind w:left="709" w:hanging="709"/>
        <w:rPr>
          <w:rStyle w:val="eop"/>
          <w:rFonts w:cstheme="minorHAnsi"/>
          <w:color w:val="000000" w:themeColor="text1"/>
          <w:lang w:val="en-US"/>
        </w:rPr>
      </w:pPr>
      <w:r w:rsidRPr="00D8299C">
        <w:rPr>
          <w:rFonts w:cstheme="minorHAnsi"/>
        </w:rPr>
        <w:t xml:space="preserve">Government of France. (2020). ‘Report on the Environmental Impact of the Central Government Budget’. Paris. </w:t>
      </w:r>
      <w:hyperlink r:id="rId74">
        <w:r w:rsidRPr="00D8299C">
          <w:rPr>
            <w:rFonts w:cstheme="minorHAnsi"/>
            <w:color w:val="000000" w:themeColor="text1"/>
          </w:rPr>
          <w:t>Link</w:t>
        </w:r>
      </w:hyperlink>
      <w:r w:rsidRPr="00D8299C">
        <w:rPr>
          <w:rFonts w:cstheme="minorHAnsi"/>
        </w:rPr>
        <w:t xml:space="preserve">. </w:t>
      </w:r>
      <w:r w:rsidRPr="00D8299C">
        <w:rPr>
          <w:rFonts w:cstheme="minorHAnsi"/>
          <w:color w:val="000000" w:themeColor="text1"/>
          <w:lang w:val="en-US"/>
        </w:rPr>
        <w:br/>
      </w:r>
      <w:r w:rsidRPr="00D8299C">
        <w:rPr>
          <w:rStyle w:val="eop"/>
          <w:rFonts w:cstheme="minorHAnsi"/>
          <w:i/>
          <w:iCs/>
          <w:color w:val="000000" w:themeColor="text1"/>
        </w:rPr>
        <w:t xml:space="preserve">This report by the Sustainable Development Agency and various financial directorates assesses the environmental impact of France's budget. Part I details the inaugural green </w:t>
      </w:r>
      <w:r w:rsidRPr="00D8299C">
        <w:rPr>
          <w:rStyle w:val="eop"/>
          <w:rFonts w:cstheme="minorHAnsi"/>
          <w:i/>
          <w:iCs/>
          <w:color w:val="000000" w:themeColor="text1"/>
        </w:rPr>
        <w:lastRenderedPageBreak/>
        <w:t>budgeting exercise, tagging appropriations and tax expenditures</w:t>
      </w:r>
      <w:r w:rsidRPr="00D8299C">
        <w:rPr>
          <w:rStyle w:val="eop"/>
          <w:rFonts w:cstheme="minorHAnsi"/>
          <w:color w:val="000000" w:themeColor="text1"/>
          <w:lang w:val="en-US"/>
        </w:rPr>
        <w:t xml:space="preserve"> </w:t>
      </w:r>
      <w:r w:rsidRPr="00D8299C">
        <w:rPr>
          <w:rStyle w:val="eop"/>
          <w:rFonts w:cstheme="minorHAnsi"/>
          <w:i/>
          <w:iCs/>
          <w:color w:val="000000" w:themeColor="text1"/>
        </w:rPr>
        <w:t>against environmental commitments. Part II updates the ecological transition financing report, consolidating public and private funding. Part III reviews environmentally motivated resources and tax measures, including the effects of energy taxes on households and businesses using CGDD models.</w:t>
      </w:r>
    </w:p>
    <w:p w14:paraId="2FC5AB1B" w14:textId="77777777" w:rsidR="00C45B04" w:rsidRPr="00D8299C" w:rsidRDefault="00C45B04" w:rsidP="00C45B04">
      <w:pPr>
        <w:spacing w:line="276" w:lineRule="auto"/>
        <w:ind w:left="709" w:hanging="709"/>
        <w:rPr>
          <w:rFonts w:cstheme="minorHAnsi"/>
          <w:color w:val="000000" w:themeColor="text1"/>
        </w:rPr>
      </w:pPr>
    </w:p>
    <w:p w14:paraId="4D41F211"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rPr>
        <w:t xml:space="preserve">OECD (2011). ‘Greening Public Budgets in Eastern Europe, Caucasus and Central Asia.’ Paris. </w:t>
      </w:r>
      <w:hyperlink r:id="rId75">
        <w:r w:rsidRPr="00D8299C">
          <w:rPr>
            <w:rFonts w:cstheme="minorHAnsi"/>
            <w:color w:val="000000" w:themeColor="text1"/>
          </w:rPr>
          <w:t>Link</w:t>
        </w:r>
      </w:hyperlink>
      <w:r w:rsidRPr="00D8299C">
        <w:rPr>
          <w:rFonts w:cstheme="minorHAnsi"/>
          <w:color w:val="000000" w:themeColor="text1"/>
        </w:rPr>
        <w:t xml:space="preserve">. </w:t>
      </w:r>
      <w:r w:rsidRPr="00D8299C">
        <w:rPr>
          <w:rFonts w:cstheme="minorHAnsi"/>
          <w:color w:val="000000" w:themeColor="text1"/>
        </w:rPr>
        <w:br/>
      </w:r>
      <w:r w:rsidRPr="00D8299C">
        <w:rPr>
          <w:rFonts w:cstheme="minorHAnsi"/>
          <w:i/>
          <w:iCs/>
          <w:color w:val="000000" w:themeColor="text1"/>
          <w:lang w:val="en-US"/>
        </w:rPr>
        <w:t>This report aims to prepare and inform environmental administrations in 10 Eastern Europe, Caucasus, and Central Asia (EECCA) countries on how to harness ongoing public finance reforms and integrate environmental matters into medium-term budgetary processes.</w:t>
      </w:r>
    </w:p>
    <w:p w14:paraId="75F0460C" w14:textId="77777777" w:rsidR="00C45B04" w:rsidRPr="00D8299C" w:rsidRDefault="00C45B04" w:rsidP="00C45B04">
      <w:pPr>
        <w:spacing w:line="276" w:lineRule="auto"/>
        <w:ind w:left="709" w:hanging="709"/>
        <w:contextualSpacing/>
        <w:rPr>
          <w:rFonts w:cstheme="minorHAnsi"/>
          <w:color w:val="000000" w:themeColor="text1"/>
        </w:rPr>
      </w:pPr>
    </w:p>
    <w:p w14:paraId="1DBC2C54" w14:textId="77777777" w:rsidR="00C45B04" w:rsidRPr="00D8299C" w:rsidRDefault="00C45B04" w:rsidP="00C45B04">
      <w:pPr>
        <w:spacing w:line="276" w:lineRule="auto"/>
        <w:ind w:left="709" w:hanging="709"/>
        <w:contextualSpacing/>
        <w:rPr>
          <w:rFonts w:cstheme="minorHAnsi"/>
          <w:i/>
          <w:iCs/>
          <w:color w:val="000000" w:themeColor="text1"/>
        </w:rPr>
      </w:pPr>
      <w:r w:rsidRPr="00D8299C">
        <w:rPr>
          <w:rFonts w:cstheme="minorHAnsi"/>
          <w:color w:val="000000" w:themeColor="text1"/>
        </w:rPr>
        <w:t xml:space="preserve">OECD (2021). ‘Green budgeting in OECD Countries’. Paris. </w:t>
      </w:r>
      <w:hyperlink r:id="rId76">
        <w:r w:rsidRPr="00D8299C">
          <w:rPr>
            <w:rStyle w:val="Hyperlink"/>
            <w:rFonts w:cstheme="minorHAnsi"/>
          </w:rPr>
          <w:t>Link</w:t>
        </w:r>
      </w:hyperlink>
      <w:r w:rsidRPr="00D8299C">
        <w:rPr>
          <w:rFonts w:cstheme="minorHAnsi"/>
          <w:color w:val="000000" w:themeColor="text1"/>
        </w:rPr>
        <w:t xml:space="preserve">. </w:t>
      </w:r>
      <w:r w:rsidRPr="00D8299C">
        <w:rPr>
          <w:rFonts w:cstheme="minorHAnsi"/>
          <w:i/>
          <w:iCs/>
          <w:color w:val="000000" w:themeColor="text1"/>
        </w:rPr>
        <w:br/>
      </w:r>
      <w:r w:rsidRPr="00D8299C">
        <w:rPr>
          <w:rFonts w:cstheme="minorHAnsi"/>
          <w:i/>
          <w:iCs/>
          <w:color w:val="000000" w:themeColor="text1"/>
          <w:lang w:val="en-US"/>
        </w:rPr>
        <w:t>The report provides the results of the 2020 OECD and European Commission – Joint Survey on Emerging Green Budgeting Practices (green budgeting practices under implementation or planned by June 2020 in a group of OECD-affiliated countries) and discusses the extent these practices are congruent to the OECD Green Budgeting Framework.  The report finds that green budgeting practices are dependent on country-level commitment and leadership in achieving national and international goals.  The lack of common and comparable methodologies, however, gives rise to a variety of green budgeting practices. Two common tools applied in many cases are environmental impact assessments and environmental cost-benefit analysis.</w:t>
      </w:r>
      <w:r w:rsidRPr="00D8299C">
        <w:rPr>
          <w:rFonts w:cstheme="minorHAnsi"/>
          <w:color w:val="000000" w:themeColor="text1"/>
          <w:lang w:val="en-US"/>
        </w:rPr>
        <w:t xml:space="preserve"> </w:t>
      </w:r>
    </w:p>
    <w:p w14:paraId="56FD50A1" w14:textId="77777777" w:rsidR="00C45B04" w:rsidRPr="00D8299C" w:rsidRDefault="00C45B04" w:rsidP="00C45B04">
      <w:pPr>
        <w:spacing w:line="276" w:lineRule="auto"/>
        <w:ind w:left="709" w:hanging="709"/>
        <w:contextualSpacing/>
        <w:rPr>
          <w:rFonts w:cstheme="minorHAnsi"/>
          <w:color w:val="000000" w:themeColor="text1"/>
          <w:lang w:val="en-US"/>
        </w:rPr>
      </w:pPr>
    </w:p>
    <w:p w14:paraId="4F0B2095" w14:textId="77777777" w:rsidR="00C45B04" w:rsidRPr="00D8299C" w:rsidRDefault="00C45B04" w:rsidP="00C45B04">
      <w:pPr>
        <w:spacing w:line="276" w:lineRule="auto"/>
        <w:ind w:left="709" w:hanging="709"/>
        <w:contextualSpacing/>
        <w:rPr>
          <w:rFonts w:cstheme="minorHAnsi"/>
          <w:i/>
          <w:iCs/>
          <w:color w:val="000000" w:themeColor="text1"/>
        </w:rPr>
      </w:pPr>
      <w:r w:rsidRPr="00D8299C">
        <w:rPr>
          <w:rFonts w:cstheme="minorHAnsi"/>
          <w:color w:val="000000" w:themeColor="text1"/>
          <w:lang w:val="en-US"/>
        </w:rPr>
        <w:t>UNDP &amp; Government of Vietnam (2022). ‘Climate Public Expenditure and Investment</w:t>
      </w:r>
      <w:r w:rsidRPr="00D8299C">
        <w:rPr>
          <w:rFonts w:cstheme="minorHAnsi"/>
        </w:rPr>
        <w:t xml:space="preserve"> </w:t>
      </w:r>
      <w:r w:rsidRPr="00D8299C">
        <w:rPr>
          <w:rFonts w:cstheme="minorHAnsi"/>
          <w:color w:val="000000" w:themeColor="text1"/>
          <w:lang w:val="en-US"/>
        </w:rPr>
        <w:t xml:space="preserve">Review of Viet Nam.’ Hanoi. </w:t>
      </w:r>
      <w:hyperlink r:id="rId77" w:anchor=":~:text=March%2011%2C%202022&amp;text=It%20reviews%20relevant%20national%2C%20sectoral,climate%20change%20planning%20and%20budgeting.">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i/>
          <w:iCs/>
          <w:color w:val="000000" w:themeColor="text1"/>
        </w:rPr>
        <w:br/>
      </w:r>
      <w:r w:rsidRPr="00D8299C">
        <w:rPr>
          <w:rFonts w:cstheme="minorHAnsi"/>
          <w:i/>
          <w:iCs/>
          <w:color w:val="000000" w:themeColor="text1"/>
          <w:lang w:val="en-US"/>
        </w:rPr>
        <w:t>This collaborative report is the Climate Public Expenditure and Investment Review (CPEIR) of Viet Nam.  It covers national, provincial and city-level climate policies and green growth spending in the country and makes recommendations on climate change finance and budgeting.  The review includes domestic financial resources as well as Official Development Assistance (ODA).  Recommendations include tracking of climate change-related expenditures, climate change responsiveness to public finance management and information on climate change policy.</w:t>
      </w:r>
    </w:p>
    <w:p w14:paraId="78EDC3C6" w14:textId="77777777" w:rsidR="00C45B04" w:rsidRPr="00D8299C" w:rsidRDefault="00C45B04" w:rsidP="00C45B04">
      <w:pPr>
        <w:spacing w:line="276" w:lineRule="auto"/>
        <w:ind w:left="709" w:hanging="709"/>
        <w:contextualSpacing/>
        <w:rPr>
          <w:rFonts w:cstheme="minorHAnsi"/>
          <w:color w:val="000000" w:themeColor="text1"/>
          <w:lang w:val="en-US"/>
        </w:rPr>
      </w:pPr>
    </w:p>
    <w:p w14:paraId="547C865A" w14:textId="77777777" w:rsidR="00C45B04" w:rsidRPr="00D8299C" w:rsidRDefault="00C45B04" w:rsidP="00C45B04">
      <w:pPr>
        <w:spacing w:line="276" w:lineRule="auto"/>
        <w:ind w:left="709" w:hanging="709"/>
        <w:contextualSpacing/>
        <w:rPr>
          <w:rFonts w:cstheme="minorHAnsi"/>
          <w:lang w:val="en-US"/>
        </w:rPr>
      </w:pPr>
      <w:r w:rsidRPr="00D8299C">
        <w:rPr>
          <w:rFonts w:cstheme="minorHAnsi"/>
          <w:color w:val="000000" w:themeColor="text1"/>
          <w:lang w:val="en-US"/>
        </w:rPr>
        <w:t>World Bank (2021)</w:t>
      </w:r>
      <w:r w:rsidRPr="00D8299C">
        <w:rPr>
          <w:rFonts w:cstheme="minorHAnsi"/>
          <w:color w:val="1F3763"/>
          <w:lang w:val="en-US"/>
        </w:rPr>
        <w:t>.</w:t>
      </w:r>
      <w:r w:rsidRPr="00D8299C">
        <w:rPr>
          <w:rFonts w:cstheme="minorHAnsi"/>
          <w:lang w:val="en-US"/>
        </w:rPr>
        <w:t xml:space="preserve"> ‘Climate Change Budget Tagging: A Review of International</w:t>
      </w:r>
      <w:r w:rsidRPr="00D8299C">
        <w:rPr>
          <w:rFonts w:cstheme="minorHAnsi"/>
        </w:rPr>
        <w:t xml:space="preserve"> </w:t>
      </w:r>
      <w:r w:rsidRPr="00D8299C">
        <w:rPr>
          <w:rFonts w:cstheme="minorHAnsi"/>
          <w:lang w:val="en-US"/>
        </w:rPr>
        <w:t xml:space="preserve">Experience.’ EFI-Insight Governance: World Bank, Washington DC. </w:t>
      </w:r>
      <w:hyperlink r:id="rId78">
        <w:r w:rsidRPr="00D8299C">
          <w:rPr>
            <w:rStyle w:val="Hyperlink"/>
            <w:rFonts w:cstheme="minorHAnsi"/>
            <w:lang w:val="en-US"/>
          </w:rPr>
          <w:t>Link</w:t>
        </w:r>
      </w:hyperlink>
      <w:r w:rsidRPr="00D8299C">
        <w:rPr>
          <w:rFonts w:cstheme="minorHAnsi"/>
          <w:lang w:val="en-US"/>
        </w:rPr>
        <w:t xml:space="preserve">. </w:t>
      </w:r>
      <w:r w:rsidRPr="00D8299C">
        <w:rPr>
          <w:rFonts w:cstheme="minorHAnsi"/>
          <w:lang w:val="en-US"/>
        </w:rPr>
        <w:br/>
      </w:r>
      <w:r w:rsidRPr="00D8299C">
        <w:rPr>
          <w:rFonts w:cstheme="minorHAnsi"/>
          <w:i/>
          <w:iCs/>
          <w:lang w:val="en-US"/>
        </w:rPr>
        <w:t xml:space="preserve">The report assesses 19 climate change budget tagging methodologies, discussing their </w:t>
      </w:r>
      <w:r w:rsidRPr="00D8299C">
        <w:rPr>
          <w:rFonts w:cstheme="minorHAnsi"/>
          <w:i/>
          <w:iCs/>
          <w:lang w:val="en-US"/>
        </w:rPr>
        <w:lastRenderedPageBreak/>
        <w:t>merits and challenges. It also examines the connection between green sovereign bond frameworks and climate tagging. Three design considerations are proposed: defining climate-relevant spending, ensuring comprehensive coverage, and estimating such expenditures. Three approaches for estimation include tagging all climate-related expenses, identifying climate activities within development programs, or using a weighing method for budget allocation.</w:t>
      </w:r>
    </w:p>
    <w:p w14:paraId="483B1B9D" w14:textId="77777777" w:rsidR="00C45B04" w:rsidRPr="00D8299C" w:rsidRDefault="00C45B04" w:rsidP="00C45B04">
      <w:pPr>
        <w:spacing w:line="276" w:lineRule="auto"/>
        <w:ind w:left="720"/>
        <w:rPr>
          <w:rFonts w:cstheme="minorHAnsi"/>
          <w:i/>
          <w:iCs/>
          <w:color w:val="000000" w:themeColor="text1"/>
          <w:lang w:val="en-US"/>
        </w:rPr>
      </w:pPr>
    </w:p>
    <w:p w14:paraId="1E9F259D" w14:textId="77777777" w:rsidR="00C45B04" w:rsidRPr="00D8299C" w:rsidRDefault="00C45B04" w:rsidP="00C45B04">
      <w:pPr>
        <w:pStyle w:val="Heading2"/>
        <w:rPr>
          <w:rFonts w:asciiTheme="minorHAnsi" w:hAnsiTheme="minorHAnsi" w:cstheme="minorHAnsi"/>
          <w:lang w:val="en-US"/>
        </w:rPr>
      </w:pPr>
      <w:bookmarkStart w:id="51" w:name="_Toc173177165"/>
      <w:bookmarkStart w:id="52" w:name="_Toc181734675"/>
      <w:bookmarkEnd w:id="46"/>
      <w:bookmarkEnd w:id="47"/>
      <w:bookmarkEnd w:id="48"/>
      <w:bookmarkEnd w:id="49"/>
      <w:r w:rsidRPr="00D8299C">
        <w:rPr>
          <w:rFonts w:asciiTheme="minorHAnsi" w:hAnsiTheme="minorHAnsi" w:cstheme="minorHAnsi"/>
          <w:lang w:val="en-US"/>
        </w:rPr>
        <w:t>Green Procurement</w:t>
      </w:r>
      <w:bookmarkEnd w:id="51"/>
      <w:bookmarkEnd w:id="52"/>
    </w:p>
    <w:p w14:paraId="5A72A7C3"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Alvarez, S., &amp; Rubicon, A. ‘Carbon footprint in Green Public Procurement: A Case Study in The Services Sector.’</w:t>
      </w:r>
      <w:r w:rsidRPr="00D8299C">
        <w:rPr>
          <w:rFonts w:cstheme="minorHAnsi"/>
          <w:i/>
          <w:iCs/>
          <w:color w:val="000000" w:themeColor="text1"/>
          <w:lang w:val="en-US"/>
        </w:rPr>
        <w:t xml:space="preserve"> Journal of Cleaner Production </w:t>
      </w:r>
      <w:r w:rsidRPr="00D8299C">
        <w:rPr>
          <w:rFonts w:cstheme="minorHAnsi"/>
          <w:color w:val="000000" w:themeColor="text1"/>
          <w:lang w:val="en-US"/>
        </w:rPr>
        <w:t xml:space="preserve">93 (2015): 159–166. </w:t>
      </w:r>
      <w:hyperlink r:id="rId79">
        <w:r w:rsidRPr="00D8299C">
          <w:rPr>
            <w:rStyle w:val="Hyperlink"/>
            <w:rFonts w:cstheme="minorHAnsi"/>
            <w:lang w:val="en-US"/>
          </w:rPr>
          <w:t>Link</w:t>
        </w:r>
      </w:hyperlink>
      <w:r w:rsidRPr="00D8299C">
        <w:rPr>
          <w:rFonts w:cstheme="minorHAnsi"/>
          <w:color w:val="000000" w:themeColor="text1"/>
          <w:lang w:val="en-US"/>
        </w:rPr>
        <w:t xml:space="preserve">. </w:t>
      </w:r>
      <w:r w:rsidRPr="00D8299C">
        <w:rPr>
          <w:rFonts w:cstheme="minorHAnsi"/>
          <w:color w:val="000000" w:themeColor="text1"/>
          <w:lang w:val="en-US"/>
        </w:rPr>
        <w:br/>
        <w:t>This study examines carbon footprint (CF) assessment in service activities, highlighting challenges in reporting "other indirect emissions." The research calculates CF for a conservation and maintenance service over two years, revealing a 41% rise in emissions and increased expenses. Recommendations focus on integrating CF into Green Public Procurement to incentivize eco-innovation. This initiative can drive sustainable practices in service sectors, promoting a low-carbon economy and aligning with climate action goals.</w:t>
      </w:r>
    </w:p>
    <w:p w14:paraId="7B9AD8BA" w14:textId="77777777" w:rsidR="00C45B04" w:rsidRPr="00D8299C" w:rsidRDefault="00C45B04" w:rsidP="00C45B04">
      <w:pPr>
        <w:spacing w:line="276" w:lineRule="auto"/>
        <w:ind w:left="709" w:hanging="709"/>
        <w:rPr>
          <w:rFonts w:cstheme="minorHAnsi"/>
          <w:color w:val="000000" w:themeColor="text1"/>
          <w:lang w:val="en-US"/>
        </w:rPr>
      </w:pPr>
    </w:p>
    <w:p w14:paraId="7E793F31"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 xml:space="preserve">Lindfors, A. &amp; Ammenberg, J. ‘Using National Environmental Objectives in Green Public Procurement: Method Development and Application on Transport Procurement in Sweden.’ </w:t>
      </w:r>
      <w:r w:rsidRPr="00D8299C">
        <w:rPr>
          <w:rFonts w:cstheme="minorHAnsi"/>
          <w:i/>
          <w:iCs/>
          <w:color w:val="000000" w:themeColor="text1"/>
          <w:lang w:val="en-US"/>
        </w:rPr>
        <w:t xml:space="preserve">Journal of Cleaner Production </w:t>
      </w:r>
      <w:r w:rsidRPr="00D8299C">
        <w:rPr>
          <w:rFonts w:cstheme="minorHAnsi"/>
          <w:color w:val="000000" w:themeColor="text1"/>
          <w:lang w:val="en-US"/>
        </w:rPr>
        <w:t xml:space="preserve">280, no. 124821 (2021). </w:t>
      </w:r>
      <w:hyperlink r:id="rId80">
        <w:r w:rsidRPr="00D8299C">
          <w:rPr>
            <w:rStyle w:val="Hyperlink"/>
            <w:rFonts w:cstheme="minorHAnsi"/>
            <w:lang w:val="en-US"/>
          </w:rPr>
          <w:t>Link</w:t>
        </w:r>
      </w:hyperlink>
      <w:r w:rsidRPr="00D8299C">
        <w:rPr>
          <w:rFonts w:cstheme="minorHAnsi"/>
          <w:color w:val="000000" w:themeColor="text1"/>
          <w:lang w:val="en-US"/>
        </w:rPr>
        <w:t>.</w:t>
      </w:r>
      <w:r w:rsidRPr="00D8299C">
        <w:rPr>
          <w:rFonts w:cstheme="minorHAnsi"/>
          <w:color w:val="000000" w:themeColor="text1"/>
          <w:lang w:val="en-US"/>
        </w:rPr>
        <w:br/>
      </w:r>
      <w:r w:rsidRPr="00D8299C">
        <w:rPr>
          <w:rFonts w:cstheme="minorHAnsi"/>
          <w:i/>
          <w:iCs/>
          <w:color w:val="000000" w:themeColor="text1"/>
          <w:lang w:val="en-US"/>
        </w:rPr>
        <w:t>This article presents a novel standardized method used to develop green public procurement tools by considering life-cycle assessment data and national environmental objectives. The authors proceed to test the proposed tool for green procurement in Swedish transportation services. The proposed tool is a six-step framework that includes the identification of alternatives to meet the required need from the procurement process and defining criteria and indicators as well as a quantitative method to assess the alternatives and select the best option to meet national environmental quality goals through public procurement. The method can be used in different geographic and political contexts and can be adapted for other sectors besides transportation.</w:t>
      </w:r>
    </w:p>
    <w:p w14:paraId="0C7A4319" w14:textId="77777777" w:rsidR="00C45B04" w:rsidRPr="00D8299C" w:rsidRDefault="00C45B04" w:rsidP="00C45B04">
      <w:pPr>
        <w:spacing w:line="276" w:lineRule="auto"/>
        <w:ind w:left="709" w:hanging="709"/>
        <w:rPr>
          <w:rFonts w:cstheme="minorHAnsi"/>
          <w:color w:val="000000" w:themeColor="text1"/>
          <w:lang w:val="en-US"/>
        </w:rPr>
      </w:pPr>
    </w:p>
    <w:p w14:paraId="496CD925"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Rosell, J. ‘Getting the Green Light on Green Public Procurement: Macro and</w:t>
      </w:r>
      <w:r w:rsidRPr="00D8299C">
        <w:rPr>
          <w:rFonts w:cstheme="minorHAnsi"/>
        </w:rPr>
        <w:t xml:space="preserve"> </w:t>
      </w:r>
      <w:r w:rsidRPr="00D8299C">
        <w:rPr>
          <w:rFonts w:cstheme="minorHAnsi"/>
          <w:color w:val="000000" w:themeColor="text1"/>
          <w:lang w:val="en-US"/>
        </w:rPr>
        <w:t xml:space="preserve">Meso Determinants.’ </w:t>
      </w:r>
      <w:r w:rsidRPr="00D8299C">
        <w:rPr>
          <w:rFonts w:cstheme="minorHAnsi"/>
          <w:i/>
          <w:iCs/>
          <w:color w:val="000000" w:themeColor="text1"/>
          <w:lang w:val="en-US"/>
        </w:rPr>
        <w:t>Journal of Cleaner Production</w:t>
      </w:r>
      <w:r w:rsidRPr="00D8299C">
        <w:rPr>
          <w:rFonts w:cstheme="minorHAnsi"/>
          <w:color w:val="000000" w:themeColor="text1"/>
          <w:lang w:val="en-US"/>
        </w:rPr>
        <w:t xml:space="preserve"> 279, no. 123710 (2021). </w:t>
      </w:r>
      <w:hyperlink r:id="rId81">
        <w:r w:rsidRPr="00D8299C">
          <w:rPr>
            <w:rStyle w:val="Hyperlink"/>
            <w:rFonts w:cstheme="minorHAnsi"/>
            <w:lang w:val="en-US"/>
          </w:rPr>
          <w:t>Link</w:t>
        </w:r>
      </w:hyperlink>
      <w:r w:rsidRPr="00D8299C">
        <w:rPr>
          <w:rFonts w:cstheme="minorHAnsi"/>
          <w:color w:val="000000" w:themeColor="text1"/>
          <w:lang w:val="en-US"/>
        </w:rPr>
        <w:t>.</w:t>
      </w:r>
      <w:r w:rsidRPr="00D8299C">
        <w:rPr>
          <w:rFonts w:cstheme="minorHAnsi"/>
          <w:color w:val="000000" w:themeColor="text1"/>
        </w:rPr>
        <w:br/>
      </w:r>
      <w:r w:rsidRPr="00D8299C">
        <w:rPr>
          <w:rFonts w:cstheme="minorHAnsi"/>
          <w:i/>
          <w:iCs/>
          <w:color w:val="000000" w:themeColor="text1"/>
          <w:lang w:val="en-US"/>
        </w:rPr>
        <w:t xml:space="preserve">In this article, Jordi Rosell analyzes award criteria for 25 European countries as recorded in the Tenders Electronic Daily database for the period 2006 to 2017.  The results show that there are different cross-country differences in green procurement uptake among </w:t>
      </w:r>
      <w:r w:rsidRPr="00D8299C">
        <w:rPr>
          <w:rFonts w:cstheme="minorHAnsi"/>
          <w:i/>
          <w:iCs/>
          <w:color w:val="000000" w:themeColor="text1"/>
          <w:lang w:val="en-US"/>
        </w:rPr>
        <w:lastRenderedPageBreak/>
        <w:t>European countries, despite a favorable evolution over the years.  Regional and local administrations show a preference for green public procurement over national governments and EU authorities.  Another key finding of this paper is the positive link between governance and contract size with green public procurement. Larger contract size is more likely to adopt green public procurement.</w:t>
      </w:r>
    </w:p>
    <w:p w14:paraId="6FD329B8" w14:textId="77777777" w:rsidR="00C45B04" w:rsidRPr="00D8299C" w:rsidRDefault="00C45B04" w:rsidP="00C45B04">
      <w:pPr>
        <w:spacing w:line="276" w:lineRule="auto"/>
        <w:ind w:left="709" w:hanging="709"/>
        <w:rPr>
          <w:rFonts w:cstheme="minorHAnsi"/>
          <w:color w:val="000000" w:themeColor="text1"/>
          <w:lang w:val="en-US"/>
        </w:rPr>
      </w:pPr>
    </w:p>
    <w:p w14:paraId="12F46A6A" w14:textId="77777777" w:rsidR="00C45B04" w:rsidRPr="00D8299C" w:rsidRDefault="00C45B04" w:rsidP="00C45B04">
      <w:pPr>
        <w:spacing w:line="276" w:lineRule="auto"/>
        <w:ind w:left="709" w:hanging="709"/>
        <w:rPr>
          <w:rFonts w:cstheme="minorHAnsi"/>
          <w:color w:val="000000" w:themeColor="text1"/>
          <w:lang w:val="en-US"/>
        </w:rPr>
      </w:pPr>
      <w:r w:rsidRPr="00D8299C">
        <w:rPr>
          <w:rFonts w:cstheme="minorHAnsi"/>
          <w:color w:val="000000" w:themeColor="text1"/>
          <w:lang w:val="en-US"/>
        </w:rPr>
        <w:t>Wang, C., Qiao, Y. &amp; Li, X. ‘A Systems Approach for Green Public Procurement</w:t>
      </w:r>
      <w:r w:rsidRPr="00D8299C">
        <w:rPr>
          <w:rFonts w:cstheme="minorHAnsi"/>
        </w:rPr>
        <w:t xml:space="preserve"> </w:t>
      </w:r>
      <w:r w:rsidRPr="00D8299C">
        <w:rPr>
          <w:rFonts w:cstheme="minorHAnsi"/>
          <w:color w:val="000000" w:themeColor="text1"/>
          <w:lang w:val="en-US"/>
        </w:rPr>
        <w:t xml:space="preserve">Implementation.’ </w:t>
      </w:r>
      <w:r w:rsidRPr="00D8299C">
        <w:rPr>
          <w:rFonts w:cstheme="minorHAnsi"/>
          <w:i/>
          <w:iCs/>
          <w:color w:val="000000" w:themeColor="text1"/>
          <w:lang w:val="en-US"/>
        </w:rPr>
        <w:t>Journal of Public Procurement</w:t>
      </w:r>
      <w:r w:rsidRPr="00D8299C">
        <w:rPr>
          <w:rFonts w:cstheme="minorHAnsi"/>
          <w:color w:val="000000" w:themeColor="text1"/>
          <w:lang w:val="en-US"/>
        </w:rPr>
        <w:t xml:space="preserve">, 20 (2020): 287-311. </w:t>
      </w:r>
      <w:hyperlink r:id="rId82">
        <w:r w:rsidRPr="00D8299C">
          <w:rPr>
            <w:rStyle w:val="Hyperlink"/>
            <w:rFonts w:cstheme="minorHAnsi"/>
            <w:lang w:val="en-US"/>
          </w:rPr>
          <w:t>Link</w:t>
        </w:r>
      </w:hyperlink>
      <w:r w:rsidRPr="00D8299C">
        <w:rPr>
          <w:rFonts w:cstheme="minorHAnsi"/>
          <w:color w:val="000000" w:themeColor="text1"/>
          <w:lang w:val="en-US"/>
        </w:rPr>
        <w:t>.</w:t>
      </w:r>
      <w:r w:rsidRPr="00D8299C">
        <w:rPr>
          <w:rFonts w:cstheme="minorHAnsi"/>
        </w:rPr>
        <w:br/>
      </w:r>
      <w:r w:rsidRPr="00D8299C">
        <w:rPr>
          <w:rFonts w:cstheme="minorHAnsi"/>
          <w:i/>
          <w:iCs/>
          <w:color w:val="000000" w:themeColor="text1"/>
          <w:lang w:val="en-US"/>
        </w:rPr>
        <w:t>In this article, the authors use the Delphi method combined with a case study analysis of 18 procurement centers in China to identify factors that promote the adoption and implementation of green public procurement.  The factors that were found to promote public procurement can be grouped into four clusters: a clear consistent and operational policy goal, a nationwide green procurement campaign, capacity building and knowledge sharing, and establishing checks and balances among organizations within the entire procurement process.  The authors find that, despite green procurement policies and regulations, China’s efforts to implement green procurement are subpar.</w:t>
      </w:r>
    </w:p>
    <w:p w14:paraId="45A30DA5" w14:textId="77777777" w:rsidR="00C45B04" w:rsidRPr="00D8299C" w:rsidRDefault="00C45B04" w:rsidP="00C45B04">
      <w:pPr>
        <w:spacing w:line="276" w:lineRule="auto"/>
        <w:ind w:left="709" w:hanging="709"/>
        <w:rPr>
          <w:rFonts w:cstheme="minorHAnsi"/>
          <w:i/>
          <w:iCs/>
          <w:color w:val="000000" w:themeColor="text1"/>
          <w:lang w:val="en-US"/>
        </w:rPr>
      </w:pPr>
    </w:p>
    <w:p w14:paraId="1B4F4211" w14:textId="77777777" w:rsidR="00C45B04" w:rsidRPr="00D8299C" w:rsidRDefault="00C45B04" w:rsidP="00C45B04">
      <w:pPr>
        <w:spacing w:line="276" w:lineRule="auto"/>
        <w:ind w:left="709" w:hanging="709"/>
        <w:rPr>
          <w:rFonts w:cstheme="minorHAnsi"/>
          <w:i/>
          <w:iCs/>
          <w:color w:val="000000" w:themeColor="text1"/>
          <w:lang w:val="en-US"/>
        </w:rPr>
      </w:pPr>
    </w:p>
    <w:p w14:paraId="4AA658D2" w14:textId="77777777" w:rsidR="00C45B04" w:rsidRPr="00D8299C" w:rsidRDefault="00C45B04" w:rsidP="00C45B04">
      <w:pPr>
        <w:spacing w:line="276" w:lineRule="auto"/>
        <w:rPr>
          <w:rFonts w:cstheme="minorHAnsi"/>
          <w:color w:val="000000" w:themeColor="text1"/>
          <w:lang w:val="en-US"/>
        </w:rPr>
      </w:pPr>
    </w:p>
    <w:p w14:paraId="6AAA578A" w14:textId="77777777" w:rsidR="00C45B04" w:rsidRPr="00D8299C" w:rsidRDefault="00C45B04" w:rsidP="00C45B04">
      <w:pPr>
        <w:spacing w:line="276" w:lineRule="auto"/>
        <w:ind w:left="709" w:hanging="709"/>
        <w:rPr>
          <w:rFonts w:cstheme="minorHAnsi"/>
          <w:i/>
          <w:iCs/>
          <w:color w:val="000000" w:themeColor="text1"/>
          <w:lang w:val="en-US"/>
        </w:rPr>
      </w:pPr>
    </w:p>
    <w:p w14:paraId="251B28B9" w14:textId="77777777" w:rsidR="002C04A5" w:rsidRPr="00D8299C" w:rsidRDefault="002C04A5" w:rsidP="4921E166">
      <w:pPr>
        <w:spacing w:line="259" w:lineRule="auto"/>
        <w:rPr>
          <w:rFonts w:eastAsia="Times New Roman" w:cstheme="minorHAnsi"/>
        </w:rPr>
      </w:pPr>
    </w:p>
    <w:sectPr w:rsidR="002C04A5" w:rsidRPr="00D8299C">
      <w:footerReference w:type="even" r:id="rId83"/>
      <w:footerReference w:type="default" r:id="rId84"/>
      <w:footerReference w:type="first" r:id="rI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82D8E" w14:textId="77777777" w:rsidR="00E5281B" w:rsidRDefault="00E5281B" w:rsidP="00AC4A4D">
      <w:pPr>
        <w:spacing w:after="0" w:line="240" w:lineRule="auto"/>
      </w:pPr>
      <w:r>
        <w:separator/>
      </w:r>
    </w:p>
  </w:endnote>
  <w:endnote w:type="continuationSeparator" w:id="0">
    <w:p w14:paraId="08934991" w14:textId="77777777" w:rsidR="00E5281B" w:rsidRDefault="00E5281B" w:rsidP="00AC4A4D">
      <w:pPr>
        <w:spacing w:after="0" w:line="240" w:lineRule="auto"/>
      </w:pPr>
      <w:r>
        <w:continuationSeparator/>
      </w:r>
    </w:p>
  </w:endnote>
  <w:endnote w:type="continuationNotice" w:id="1">
    <w:p w14:paraId="05744E2F" w14:textId="77777777" w:rsidR="00E5281B" w:rsidRDefault="00E528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4DEA" w14:textId="4E7EF3E8" w:rsidR="00C45B04" w:rsidRDefault="00C45B04">
    <w:pPr>
      <w:pStyle w:val="Footer"/>
    </w:pPr>
    <w:r>
      <w:rPr>
        <w:noProof/>
      </w:rPr>
      <mc:AlternateContent>
        <mc:Choice Requires="wps">
          <w:drawing>
            <wp:anchor distT="0" distB="0" distL="0" distR="0" simplePos="0" relativeHeight="251659264" behindDoc="0" locked="0" layoutInCell="1" allowOverlap="1" wp14:anchorId="775FFAEC" wp14:editId="3497C424">
              <wp:simplePos x="635" y="635"/>
              <wp:positionH relativeFrom="page">
                <wp:align>right</wp:align>
              </wp:positionH>
              <wp:positionV relativeFrom="page">
                <wp:align>bottom</wp:align>
              </wp:positionV>
              <wp:extent cx="1170305" cy="370205"/>
              <wp:effectExtent l="0" t="0" r="0" b="0"/>
              <wp:wrapNone/>
              <wp:docPr id="417285543"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225BF815" w14:textId="3D491046" w:rsidR="00C45B04" w:rsidRPr="00C45B04" w:rsidRDefault="00C45B04" w:rsidP="00C45B04">
                          <w:pPr>
                            <w:spacing w:after="0"/>
                            <w:rPr>
                              <w:rFonts w:ascii="Aptos" w:eastAsia="Aptos" w:hAnsi="Aptos" w:cs="Aptos"/>
                              <w:noProof/>
                              <w:color w:val="000000"/>
                              <w:sz w:val="20"/>
                              <w:szCs w:val="20"/>
                            </w:rPr>
                          </w:pPr>
                          <w:r w:rsidRPr="00C45B0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5FFAEC"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fill o:detectmouseclick="t"/>
              <v:textbox style="mso-fit-shape-to-text:t" inset="0,0,20pt,15pt">
                <w:txbxContent>
                  <w:p w14:paraId="225BF815" w14:textId="3D491046" w:rsidR="00C45B04" w:rsidRPr="00C45B04" w:rsidRDefault="00C45B04" w:rsidP="00C45B04">
                    <w:pPr>
                      <w:spacing w:after="0"/>
                      <w:rPr>
                        <w:rFonts w:ascii="Aptos" w:eastAsia="Aptos" w:hAnsi="Aptos" w:cs="Aptos"/>
                        <w:noProof/>
                        <w:color w:val="000000"/>
                        <w:sz w:val="20"/>
                        <w:szCs w:val="20"/>
                      </w:rPr>
                    </w:pPr>
                    <w:r w:rsidRPr="00C45B04">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F521B" w14:textId="34D9257F" w:rsidR="00C45B04" w:rsidRDefault="00C45B04">
    <w:pPr>
      <w:pStyle w:val="Footer"/>
    </w:pPr>
    <w:r>
      <w:rPr>
        <w:noProof/>
      </w:rPr>
      <mc:AlternateContent>
        <mc:Choice Requires="wps">
          <w:drawing>
            <wp:anchor distT="0" distB="0" distL="0" distR="0" simplePos="0" relativeHeight="251660288" behindDoc="0" locked="0" layoutInCell="1" allowOverlap="1" wp14:anchorId="0980565A" wp14:editId="79722DF7">
              <wp:simplePos x="635" y="635"/>
              <wp:positionH relativeFrom="page">
                <wp:align>right</wp:align>
              </wp:positionH>
              <wp:positionV relativeFrom="page">
                <wp:align>bottom</wp:align>
              </wp:positionV>
              <wp:extent cx="1170305" cy="370205"/>
              <wp:effectExtent l="0" t="0" r="0" b="0"/>
              <wp:wrapNone/>
              <wp:docPr id="1067463513"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6FA439B" w14:textId="7A007E67" w:rsidR="00C45B04" w:rsidRPr="00C45B04" w:rsidRDefault="00C45B04" w:rsidP="00C45B04">
                          <w:pPr>
                            <w:spacing w:after="0"/>
                            <w:rPr>
                              <w:rFonts w:ascii="Aptos" w:eastAsia="Aptos" w:hAnsi="Aptos" w:cs="Aptos"/>
                              <w:noProof/>
                              <w:color w:val="000000"/>
                              <w:sz w:val="20"/>
                              <w:szCs w:val="20"/>
                            </w:rPr>
                          </w:pPr>
                          <w:r w:rsidRPr="00C45B0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980565A"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fill o:detectmouseclick="t"/>
              <v:textbox style="mso-fit-shape-to-text:t" inset="0,0,20pt,15pt">
                <w:txbxContent>
                  <w:p w14:paraId="76FA439B" w14:textId="7A007E67" w:rsidR="00C45B04" w:rsidRPr="00C45B04" w:rsidRDefault="00C45B04" w:rsidP="00C45B04">
                    <w:pPr>
                      <w:spacing w:after="0"/>
                      <w:rPr>
                        <w:rFonts w:ascii="Aptos" w:eastAsia="Aptos" w:hAnsi="Aptos" w:cs="Aptos"/>
                        <w:noProof/>
                        <w:color w:val="000000"/>
                        <w:sz w:val="20"/>
                        <w:szCs w:val="20"/>
                      </w:rPr>
                    </w:pPr>
                    <w:r w:rsidRPr="00C45B04">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C9AC" w14:textId="23A38C82" w:rsidR="00C45B04" w:rsidRDefault="00C45B04">
    <w:pPr>
      <w:pStyle w:val="Footer"/>
    </w:pPr>
    <w:r>
      <w:rPr>
        <w:noProof/>
      </w:rPr>
      <mc:AlternateContent>
        <mc:Choice Requires="wps">
          <w:drawing>
            <wp:anchor distT="0" distB="0" distL="0" distR="0" simplePos="0" relativeHeight="251658240" behindDoc="0" locked="0" layoutInCell="1" allowOverlap="1" wp14:anchorId="54522A3F" wp14:editId="4BC686C5">
              <wp:simplePos x="635" y="635"/>
              <wp:positionH relativeFrom="page">
                <wp:align>right</wp:align>
              </wp:positionH>
              <wp:positionV relativeFrom="page">
                <wp:align>bottom</wp:align>
              </wp:positionV>
              <wp:extent cx="1170305" cy="370205"/>
              <wp:effectExtent l="0" t="0" r="0" b="0"/>
              <wp:wrapNone/>
              <wp:docPr id="1688516702"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42FFF6A1" w14:textId="70A565D0" w:rsidR="00C45B04" w:rsidRPr="00C45B04" w:rsidRDefault="00C45B04" w:rsidP="00C45B04">
                          <w:pPr>
                            <w:spacing w:after="0"/>
                            <w:rPr>
                              <w:rFonts w:ascii="Aptos" w:eastAsia="Aptos" w:hAnsi="Aptos" w:cs="Aptos"/>
                              <w:noProof/>
                              <w:color w:val="000000"/>
                              <w:sz w:val="20"/>
                              <w:szCs w:val="20"/>
                            </w:rPr>
                          </w:pPr>
                          <w:r w:rsidRPr="00C45B0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522A3F"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fill o:detectmouseclick="t"/>
              <v:textbox style="mso-fit-shape-to-text:t" inset="0,0,20pt,15pt">
                <w:txbxContent>
                  <w:p w14:paraId="42FFF6A1" w14:textId="70A565D0" w:rsidR="00C45B04" w:rsidRPr="00C45B04" w:rsidRDefault="00C45B04" w:rsidP="00C45B04">
                    <w:pPr>
                      <w:spacing w:after="0"/>
                      <w:rPr>
                        <w:rFonts w:ascii="Aptos" w:eastAsia="Aptos" w:hAnsi="Aptos" w:cs="Aptos"/>
                        <w:noProof/>
                        <w:color w:val="000000"/>
                        <w:sz w:val="20"/>
                        <w:szCs w:val="20"/>
                      </w:rPr>
                    </w:pPr>
                    <w:r w:rsidRPr="00C45B04">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65EF0" w14:textId="77777777" w:rsidR="00E5281B" w:rsidRDefault="00E5281B" w:rsidP="00AC4A4D">
      <w:pPr>
        <w:spacing w:after="0" w:line="240" w:lineRule="auto"/>
      </w:pPr>
      <w:r>
        <w:separator/>
      </w:r>
    </w:p>
  </w:footnote>
  <w:footnote w:type="continuationSeparator" w:id="0">
    <w:p w14:paraId="392C4750" w14:textId="77777777" w:rsidR="00E5281B" w:rsidRDefault="00E5281B" w:rsidP="00AC4A4D">
      <w:pPr>
        <w:spacing w:after="0" w:line="240" w:lineRule="auto"/>
      </w:pPr>
      <w:r>
        <w:continuationSeparator/>
      </w:r>
    </w:p>
  </w:footnote>
  <w:footnote w:type="continuationNotice" w:id="1">
    <w:p w14:paraId="2E6A60A3" w14:textId="77777777" w:rsidR="00E5281B" w:rsidRDefault="00E5281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F8C"/>
    <w:multiLevelType w:val="hybridMultilevel"/>
    <w:tmpl w:val="10780D0C"/>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2A7DDA"/>
    <w:multiLevelType w:val="hybridMultilevel"/>
    <w:tmpl w:val="FFFFFFFF"/>
    <w:lvl w:ilvl="0" w:tplc="6DFCDFBE">
      <w:start w:val="1"/>
      <w:numFmt w:val="bullet"/>
      <w:lvlText w:val=""/>
      <w:lvlJc w:val="left"/>
      <w:pPr>
        <w:ind w:left="720" w:hanging="360"/>
      </w:pPr>
      <w:rPr>
        <w:rFonts w:ascii="Symbol" w:hAnsi="Symbol" w:hint="default"/>
      </w:rPr>
    </w:lvl>
    <w:lvl w:ilvl="1" w:tplc="1E201C64">
      <w:start w:val="1"/>
      <w:numFmt w:val="bullet"/>
      <w:lvlText w:val="o"/>
      <w:lvlJc w:val="left"/>
      <w:pPr>
        <w:ind w:left="1440" w:hanging="360"/>
      </w:pPr>
      <w:rPr>
        <w:rFonts w:ascii="Courier New" w:hAnsi="Courier New" w:hint="default"/>
      </w:rPr>
    </w:lvl>
    <w:lvl w:ilvl="2" w:tplc="AC9C6C82">
      <w:start w:val="1"/>
      <w:numFmt w:val="bullet"/>
      <w:lvlText w:val=""/>
      <w:lvlJc w:val="left"/>
      <w:pPr>
        <w:ind w:left="2160" w:hanging="360"/>
      </w:pPr>
      <w:rPr>
        <w:rFonts w:ascii="Wingdings" w:hAnsi="Wingdings" w:hint="default"/>
      </w:rPr>
    </w:lvl>
    <w:lvl w:ilvl="3" w:tplc="0EA29932">
      <w:start w:val="1"/>
      <w:numFmt w:val="bullet"/>
      <w:lvlText w:val=""/>
      <w:lvlJc w:val="left"/>
      <w:pPr>
        <w:ind w:left="2880" w:hanging="360"/>
      </w:pPr>
      <w:rPr>
        <w:rFonts w:ascii="Symbol" w:hAnsi="Symbol" w:hint="default"/>
      </w:rPr>
    </w:lvl>
    <w:lvl w:ilvl="4" w:tplc="A3BCF9DA">
      <w:start w:val="1"/>
      <w:numFmt w:val="bullet"/>
      <w:lvlText w:val="o"/>
      <w:lvlJc w:val="left"/>
      <w:pPr>
        <w:ind w:left="3600" w:hanging="360"/>
      </w:pPr>
      <w:rPr>
        <w:rFonts w:ascii="Courier New" w:hAnsi="Courier New" w:hint="default"/>
      </w:rPr>
    </w:lvl>
    <w:lvl w:ilvl="5" w:tplc="DFCAC21E">
      <w:start w:val="1"/>
      <w:numFmt w:val="bullet"/>
      <w:lvlText w:val=""/>
      <w:lvlJc w:val="left"/>
      <w:pPr>
        <w:ind w:left="4320" w:hanging="360"/>
      </w:pPr>
      <w:rPr>
        <w:rFonts w:ascii="Wingdings" w:hAnsi="Wingdings" w:hint="default"/>
      </w:rPr>
    </w:lvl>
    <w:lvl w:ilvl="6" w:tplc="9C586F0A">
      <w:start w:val="1"/>
      <w:numFmt w:val="bullet"/>
      <w:lvlText w:val=""/>
      <w:lvlJc w:val="left"/>
      <w:pPr>
        <w:ind w:left="5040" w:hanging="360"/>
      </w:pPr>
      <w:rPr>
        <w:rFonts w:ascii="Symbol" w:hAnsi="Symbol" w:hint="default"/>
      </w:rPr>
    </w:lvl>
    <w:lvl w:ilvl="7" w:tplc="54C20102">
      <w:start w:val="1"/>
      <w:numFmt w:val="bullet"/>
      <w:lvlText w:val="o"/>
      <w:lvlJc w:val="left"/>
      <w:pPr>
        <w:ind w:left="5760" w:hanging="360"/>
      </w:pPr>
      <w:rPr>
        <w:rFonts w:ascii="Courier New" w:hAnsi="Courier New" w:hint="default"/>
      </w:rPr>
    </w:lvl>
    <w:lvl w:ilvl="8" w:tplc="E196D0D6">
      <w:start w:val="1"/>
      <w:numFmt w:val="bullet"/>
      <w:lvlText w:val=""/>
      <w:lvlJc w:val="left"/>
      <w:pPr>
        <w:ind w:left="6480" w:hanging="360"/>
      </w:pPr>
      <w:rPr>
        <w:rFonts w:ascii="Wingdings" w:hAnsi="Wingdings" w:hint="default"/>
      </w:rPr>
    </w:lvl>
  </w:abstractNum>
  <w:abstractNum w:abstractNumId="2" w15:restartNumberingAfterBreak="0">
    <w:nsid w:val="173723D7"/>
    <w:multiLevelType w:val="hybridMultilevel"/>
    <w:tmpl w:val="FEA4A5B6"/>
    <w:lvl w:ilvl="0" w:tplc="CA0A654A">
      <w:start w:val="1"/>
      <w:numFmt w:val="bullet"/>
      <w:lvlText w:val=""/>
      <w:lvlJc w:val="left"/>
      <w:pPr>
        <w:ind w:left="720" w:hanging="360"/>
      </w:pPr>
      <w:rPr>
        <w:rFonts w:ascii="Symbol" w:hAnsi="Symbol" w:hint="default"/>
      </w:rPr>
    </w:lvl>
    <w:lvl w:ilvl="1" w:tplc="631479B4">
      <w:start w:val="1"/>
      <w:numFmt w:val="bullet"/>
      <w:lvlText w:val="o"/>
      <w:lvlJc w:val="left"/>
      <w:pPr>
        <w:ind w:left="1440" w:hanging="360"/>
      </w:pPr>
      <w:rPr>
        <w:rFonts w:ascii="Courier New" w:hAnsi="Courier New" w:hint="default"/>
      </w:rPr>
    </w:lvl>
    <w:lvl w:ilvl="2" w:tplc="83E6A1C8">
      <w:start w:val="1"/>
      <w:numFmt w:val="bullet"/>
      <w:lvlText w:val=""/>
      <w:lvlJc w:val="left"/>
      <w:pPr>
        <w:ind w:left="2160" w:hanging="360"/>
      </w:pPr>
      <w:rPr>
        <w:rFonts w:ascii="Wingdings" w:hAnsi="Wingdings" w:hint="default"/>
      </w:rPr>
    </w:lvl>
    <w:lvl w:ilvl="3" w:tplc="04FCB01E">
      <w:start w:val="1"/>
      <w:numFmt w:val="bullet"/>
      <w:lvlText w:val=""/>
      <w:lvlJc w:val="left"/>
      <w:pPr>
        <w:ind w:left="2880" w:hanging="360"/>
      </w:pPr>
      <w:rPr>
        <w:rFonts w:ascii="Symbol" w:hAnsi="Symbol" w:hint="default"/>
      </w:rPr>
    </w:lvl>
    <w:lvl w:ilvl="4" w:tplc="E0746248">
      <w:start w:val="1"/>
      <w:numFmt w:val="bullet"/>
      <w:lvlText w:val="o"/>
      <w:lvlJc w:val="left"/>
      <w:pPr>
        <w:ind w:left="3600" w:hanging="360"/>
      </w:pPr>
      <w:rPr>
        <w:rFonts w:ascii="Courier New" w:hAnsi="Courier New" w:hint="default"/>
      </w:rPr>
    </w:lvl>
    <w:lvl w:ilvl="5" w:tplc="C012FB56">
      <w:start w:val="1"/>
      <w:numFmt w:val="bullet"/>
      <w:lvlText w:val=""/>
      <w:lvlJc w:val="left"/>
      <w:pPr>
        <w:ind w:left="4320" w:hanging="360"/>
      </w:pPr>
      <w:rPr>
        <w:rFonts w:ascii="Wingdings" w:hAnsi="Wingdings" w:hint="default"/>
      </w:rPr>
    </w:lvl>
    <w:lvl w:ilvl="6" w:tplc="C99E5562">
      <w:start w:val="1"/>
      <w:numFmt w:val="bullet"/>
      <w:lvlText w:val=""/>
      <w:lvlJc w:val="left"/>
      <w:pPr>
        <w:ind w:left="5040" w:hanging="360"/>
      </w:pPr>
      <w:rPr>
        <w:rFonts w:ascii="Symbol" w:hAnsi="Symbol" w:hint="default"/>
      </w:rPr>
    </w:lvl>
    <w:lvl w:ilvl="7" w:tplc="F634C65E">
      <w:start w:val="1"/>
      <w:numFmt w:val="bullet"/>
      <w:lvlText w:val="o"/>
      <w:lvlJc w:val="left"/>
      <w:pPr>
        <w:ind w:left="5760" w:hanging="360"/>
      </w:pPr>
      <w:rPr>
        <w:rFonts w:ascii="Courier New" w:hAnsi="Courier New" w:hint="default"/>
      </w:rPr>
    </w:lvl>
    <w:lvl w:ilvl="8" w:tplc="7C4A7FEA">
      <w:start w:val="1"/>
      <w:numFmt w:val="bullet"/>
      <w:lvlText w:val=""/>
      <w:lvlJc w:val="left"/>
      <w:pPr>
        <w:ind w:left="6480" w:hanging="360"/>
      </w:pPr>
      <w:rPr>
        <w:rFonts w:ascii="Wingdings" w:hAnsi="Wingdings" w:hint="default"/>
      </w:rPr>
    </w:lvl>
  </w:abstractNum>
  <w:abstractNum w:abstractNumId="3" w15:restartNumberingAfterBreak="0">
    <w:nsid w:val="1B5493C8"/>
    <w:multiLevelType w:val="hybridMultilevel"/>
    <w:tmpl w:val="F4EE0684"/>
    <w:lvl w:ilvl="0" w:tplc="6804FBE8">
      <w:start w:val="1"/>
      <w:numFmt w:val="upperRoman"/>
      <w:lvlText w:val="%1."/>
      <w:lvlJc w:val="right"/>
      <w:pPr>
        <w:ind w:left="720" w:hanging="360"/>
      </w:pPr>
    </w:lvl>
    <w:lvl w:ilvl="1" w:tplc="7D1AC0BA">
      <w:start w:val="1"/>
      <w:numFmt w:val="lowerLetter"/>
      <w:lvlText w:val="%2."/>
      <w:lvlJc w:val="left"/>
      <w:pPr>
        <w:ind w:left="1440" w:hanging="360"/>
      </w:pPr>
    </w:lvl>
    <w:lvl w:ilvl="2" w:tplc="51DCBFA2">
      <w:start w:val="1"/>
      <w:numFmt w:val="lowerRoman"/>
      <w:lvlText w:val="%3."/>
      <w:lvlJc w:val="right"/>
      <w:pPr>
        <w:ind w:left="2160" w:hanging="180"/>
      </w:pPr>
    </w:lvl>
    <w:lvl w:ilvl="3" w:tplc="2C1C9508">
      <w:start w:val="1"/>
      <w:numFmt w:val="decimal"/>
      <w:lvlText w:val="%4."/>
      <w:lvlJc w:val="left"/>
      <w:pPr>
        <w:ind w:left="2880" w:hanging="360"/>
      </w:pPr>
    </w:lvl>
    <w:lvl w:ilvl="4" w:tplc="CE2C221A">
      <w:start w:val="1"/>
      <w:numFmt w:val="lowerLetter"/>
      <w:lvlText w:val="%5."/>
      <w:lvlJc w:val="left"/>
      <w:pPr>
        <w:ind w:left="3600" w:hanging="360"/>
      </w:pPr>
    </w:lvl>
    <w:lvl w:ilvl="5" w:tplc="A31AC830">
      <w:start w:val="1"/>
      <w:numFmt w:val="lowerRoman"/>
      <w:lvlText w:val="%6."/>
      <w:lvlJc w:val="right"/>
      <w:pPr>
        <w:ind w:left="4320" w:hanging="180"/>
      </w:pPr>
    </w:lvl>
    <w:lvl w:ilvl="6" w:tplc="876CB3BA">
      <w:start w:val="1"/>
      <w:numFmt w:val="decimal"/>
      <w:lvlText w:val="%7."/>
      <w:lvlJc w:val="left"/>
      <w:pPr>
        <w:ind w:left="5040" w:hanging="360"/>
      </w:pPr>
    </w:lvl>
    <w:lvl w:ilvl="7" w:tplc="823805C4">
      <w:start w:val="1"/>
      <w:numFmt w:val="lowerLetter"/>
      <w:lvlText w:val="%8."/>
      <w:lvlJc w:val="left"/>
      <w:pPr>
        <w:ind w:left="5760" w:hanging="360"/>
      </w:pPr>
    </w:lvl>
    <w:lvl w:ilvl="8" w:tplc="84508578">
      <w:start w:val="1"/>
      <w:numFmt w:val="lowerRoman"/>
      <w:lvlText w:val="%9."/>
      <w:lvlJc w:val="right"/>
      <w:pPr>
        <w:ind w:left="6480" w:hanging="180"/>
      </w:pPr>
    </w:lvl>
  </w:abstractNum>
  <w:abstractNum w:abstractNumId="4" w15:restartNumberingAfterBreak="0">
    <w:nsid w:val="1E743A55"/>
    <w:multiLevelType w:val="hybridMultilevel"/>
    <w:tmpl w:val="5F580D8C"/>
    <w:lvl w:ilvl="0" w:tplc="FE886BA6">
      <w:start w:val="1"/>
      <w:numFmt w:val="bullet"/>
      <w:lvlText w:val=""/>
      <w:lvlJc w:val="left"/>
      <w:pPr>
        <w:ind w:left="720" w:hanging="360"/>
      </w:pPr>
      <w:rPr>
        <w:rFonts w:ascii="Symbol" w:hAnsi="Symbol" w:hint="default"/>
      </w:rPr>
    </w:lvl>
    <w:lvl w:ilvl="1" w:tplc="5E7AD3AC">
      <w:start w:val="1"/>
      <w:numFmt w:val="bullet"/>
      <w:lvlText w:val="o"/>
      <w:lvlJc w:val="left"/>
      <w:pPr>
        <w:ind w:left="1440" w:hanging="360"/>
      </w:pPr>
      <w:rPr>
        <w:rFonts w:ascii="Courier New" w:hAnsi="Courier New" w:hint="default"/>
      </w:rPr>
    </w:lvl>
    <w:lvl w:ilvl="2" w:tplc="21505D6A">
      <w:start w:val="1"/>
      <w:numFmt w:val="bullet"/>
      <w:lvlText w:val=""/>
      <w:lvlJc w:val="left"/>
      <w:pPr>
        <w:ind w:left="2160" w:hanging="360"/>
      </w:pPr>
      <w:rPr>
        <w:rFonts w:ascii="Wingdings" w:hAnsi="Wingdings" w:hint="default"/>
      </w:rPr>
    </w:lvl>
    <w:lvl w:ilvl="3" w:tplc="26D4ECDA">
      <w:start w:val="1"/>
      <w:numFmt w:val="bullet"/>
      <w:lvlText w:val=""/>
      <w:lvlJc w:val="left"/>
      <w:pPr>
        <w:ind w:left="2880" w:hanging="360"/>
      </w:pPr>
      <w:rPr>
        <w:rFonts w:ascii="Symbol" w:hAnsi="Symbol" w:hint="default"/>
      </w:rPr>
    </w:lvl>
    <w:lvl w:ilvl="4" w:tplc="E946BE42">
      <w:start w:val="1"/>
      <w:numFmt w:val="bullet"/>
      <w:lvlText w:val="o"/>
      <w:lvlJc w:val="left"/>
      <w:pPr>
        <w:ind w:left="3600" w:hanging="360"/>
      </w:pPr>
      <w:rPr>
        <w:rFonts w:ascii="Courier New" w:hAnsi="Courier New" w:hint="default"/>
      </w:rPr>
    </w:lvl>
    <w:lvl w:ilvl="5" w:tplc="8186736C">
      <w:start w:val="1"/>
      <w:numFmt w:val="bullet"/>
      <w:lvlText w:val=""/>
      <w:lvlJc w:val="left"/>
      <w:pPr>
        <w:ind w:left="4320" w:hanging="360"/>
      </w:pPr>
      <w:rPr>
        <w:rFonts w:ascii="Wingdings" w:hAnsi="Wingdings" w:hint="default"/>
      </w:rPr>
    </w:lvl>
    <w:lvl w:ilvl="6" w:tplc="6B5E76AE">
      <w:start w:val="1"/>
      <w:numFmt w:val="bullet"/>
      <w:lvlText w:val=""/>
      <w:lvlJc w:val="left"/>
      <w:pPr>
        <w:ind w:left="5040" w:hanging="360"/>
      </w:pPr>
      <w:rPr>
        <w:rFonts w:ascii="Symbol" w:hAnsi="Symbol" w:hint="default"/>
      </w:rPr>
    </w:lvl>
    <w:lvl w:ilvl="7" w:tplc="54408A48">
      <w:start w:val="1"/>
      <w:numFmt w:val="bullet"/>
      <w:lvlText w:val="o"/>
      <w:lvlJc w:val="left"/>
      <w:pPr>
        <w:ind w:left="5760" w:hanging="360"/>
      </w:pPr>
      <w:rPr>
        <w:rFonts w:ascii="Courier New" w:hAnsi="Courier New" w:hint="default"/>
      </w:rPr>
    </w:lvl>
    <w:lvl w:ilvl="8" w:tplc="7B06FE26">
      <w:start w:val="1"/>
      <w:numFmt w:val="bullet"/>
      <w:lvlText w:val=""/>
      <w:lvlJc w:val="left"/>
      <w:pPr>
        <w:ind w:left="6480" w:hanging="360"/>
      </w:pPr>
      <w:rPr>
        <w:rFonts w:ascii="Wingdings" w:hAnsi="Wingdings" w:hint="default"/>
      </w:rPr>
    </w:lvl>
  </w:abstractNum>
  <w:abstractNum w:abstractNumId="5" w15:restartNumberingAfterBreak="0">
    <w:nsid w:val="1F8AE06B"/>
    <w:multiLevelType w:val="hybridMultilevel"/>
    <w:tmpl w:val="1742B6AE"/>
    <w:lvl w:ilvl="0" w:tplc="E81AEC52">
      <w:start w:val="1"/>
      <w:numFmt w:val="decimal"/>
      <w:lvlText w:val="%1."/>
      <w:lvlJc w:val="left"/>
      <w:pPr>
        <w:ind w:left="720" w:hanging="360"/>
      </w:pPr>
    </w:lvl>
    <w:lvl w:ilvl="1" w:tplc="A59E3338">
      <w:start w:val="1"/>
      <w:numFmt w:val="lowerLetter"/>
      <w:lvlText w:val="%2."/>
      <w:lvlJc w:val="left"/>
      <w:pPr>
        <w:ind w:left="1440" w:hanging="360"/>
      </w:pPr>
    </w:lvl>
    <w:lvl w:ilvl="2" w:tplc="74E4BFE0">
      <w:start w:val="1"/>
      <w:numFmt w:val="lowerRoman"/>
      <w:lvlText w:val="%3."/>
      <w:lvlJc w:val="right"/>
      <w:pPr>
        <w:ind w:left="2160" w:hanging="180"/>
      </w:pPr>
    </w:lvl>
    <w:lvl w:ilvl="3" w:tplc="A1D4C826">
      <w:start w:val="1"/>
      <w:numFmt w:val="decimal"/>
      <w:lvlText w:val="%4."/>
      <w:lvlJc w:val="left"/>
      <w:pPr>
        <w:ind w:left="2880" w:hanging="360"/>
      </w:pPr>
    </w:lvl>
    <w:lvl w:ilvl="4" w:tplc="E8AA461E">
      <w:start w:val="1"/>
      <w:numFmt w:val="lowerLetter"/>
      <w:lvlText w:val="%5."/>
      <w:lvlJc w:val="left"/>
      <w:pPr>
        <w:ind w:left="3600" w:hanging="360"/>
      </w:pPr>
    </w:lvl>
    <w:lvl w:ilvl="5" w:tplc="6B760BEE">
      <w:start w:val="1"/>
      <w:numFmt w:val="lowerRoman"/>
      <w:lvlText w:val="%6."/>
      <w:lvlJc w:val="right"/>
      <w:pPr>
        <w:ind w:left="4320" w:hanging="180"/>
      </w:pPr>
    </w:lvl>
    <w:lvl w:ilvl="6" w:tplc="EA1A98E4">
      <w:start w:val="1"/>
      <w:numFmt w:val="decimal"/>
      <w:lvlText w:val="%7."/>
      <w:lvlJc w:val="left"/>
      <w:pPr>
        <w:ind w:left="5040" w:hanging="360"/>
      </w:pPr>
    </w:lvl>
    <w:lvl w:ilvl="7" w:tplc="E3606080">
      <w:start w:val="1"/>
      <w:numFmt w:val="lowerLetter"/>
      <w:lvlText w:val="%8."/>
      <w:lvlJc w:val="left"/>
      <w:pPr>
        <w:ind w:left="5760" w:hanging="360"/>
      </w:pPr>
    </w:lvl>
    <w:lvl w:ilvl="8" w:tplc="815C2C26">
      <w:start w:val="1"/>
      <w:numFmt w:val="lowerRoman"/>
      <w:lvlText w:val="%9."/>
      <w:lvlJc w:val="right"/>
      <w:pPr>
        <w:ind w:left="6480" w:hanging="180"/>
      </w:pPr>
    </w:lvl>
  </w:abstractNum>
  <w:abstractNum w:abstractNumId="6" w15:restartNumberingAfterBreak="0">
    <w:nsid w:val="2279D3A6"/>
    <w:multiLevelType w:val="hybridMultilevel"/>
    <w:tmpl w:val="4740CD28"/>
    <w:lvl w:ilvl="0" w:tplc="32148630">
      <w:start w:val="1"/>
      <w:numFmt w:val="upperRoman"/>
      <w:lvlText w:val="%1."/>
      <w:lvlJc w:val="right"/>
      <w:pPr>
        <w:ind w:left="720" w:hanging="360"/>
      </w:pPr>
    </w:lvl>
    <w:lvl w:ilvl="1" w:tplc="5DB8E9A8">
      <w:start w:val="1"/>
      <w:numFmt w:val="lowerLetter"/>
      <w:lvlText w:val="%2."/>
      <w:lvlJc w:val="left"/>
      <w:pPr>
        <w:ind w:left="1440" w:hanging="360"/>
      </w:pPr>
    </w:lvl>
    <w:lvl w:ilvl="2" w:tplc="4EA20502">
      <w:start w:val="1"/>
      <w:numFmt w:val="lowerRoman"/>
      <w:lvlText w:val="%3."/>
      <w:lvlJc w:val="right"/>
      <w:pPr>
        <w:ind w:left="2160" w:hanging="180"/>
      </w:pPr>
    </w:lvl>
    <w:lvl w:ilvl="3" w:tplc="8244F66E">
      <w:start w:val="1"/>
      <w:numFmt w:val="decimal"/>
      <w:lvlText w:val="%4."/>
      <w:lvlJc w:val="left"/>
      <w:pPr>
        <w:ind w:left="2880" w:hanging="360"/>
      </w:pPr>
    </w:lvl>
    <w:lvl w:ilvl="4" w:tplc="5C6E5D70">
      <w:start w:val="1"/>
      <w:numFmt w:val="lowerLetter"/>
      <w:lvlText w:val="%5."/>
      <w:lvlJc w:val="left"/>
      <w:pPr>
        <w:ind w:left="3600" w:hanging="360"/>
      </w:pPr>
    </w:lvl>
    <w:lvl w:ilvl="5" w:tplc="F4867B5C">
      <w:start w:val="1"/>
      <w:numFmt w:val="lowerRoman"/>
      <w:lvlText w:val="%6."/>
      <w:lvlJc w:val="right"/>
      <w:pPr>
        <w:ind w:left="4320" w:hanging="180"/>
      </w:pPr>
    </w:lvl>
    <w:lvl w:ilvl="6" w:tplc="D6E489F8">
      <w:start w:val="1"/>
      <w:numFmt w:val="decimal"/>
      <w:lvlText w:val="%7."/>
      <w:lvlJc w:val="left"/>
      <w:pPr>
        <w:ind w:left="5040" w:hanging="360"/>
      </w:pPr>
    </w:lvl>
    <w:lvl w:ilvl="7" w:tplc="5DBEB9A2">
      <w:start w:val="1"/>
      <w:numFmt w:val="lowerLetter"/>
      <w:lvlText w:val="%8."/>
      <w:lvlJc w:val="left"/>
      <w:pPr>
        <w:ind w:left="5760" w:hanging="360"/>
      </w:pPr>
    </w:lvl>
    <w:lvl w:ilvl="8" w:tplc="F5D81B0A">
      <w:start w:val="1"/>
      <w:numFmt w:val="lowerRoman"/>
      <w:lvlText w:val="%9."/>
      <w:lvlJc w:val="right"/>
      <w:pPr>
        <w:ind w:left="6480" w:hanging="180"/>
      </w:pPr>
    </w:lvl>
  </w:abstractNum>
  <w:abstractNum w:abstractNumId="7" w15:restartNumberingAfterBreak="0">
    <w:nsid w:val="24B145A2"/>
    <w:multiLevelType w:val="hybridMultilevel"/>
    <w:tmpl w:val="4C3C0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03CBD"/>
    <w:multiLevelType w:val="hybridMultilevel"/>
    <w:tmpl w:val="A078CB6C"/>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0A278B"/>
    <w:multiLevelType w:val="hybridMultilevel"/>
    <w:tmpl w:val="89E0FE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81DE04"/>
    <w:multiLevelType w:val="hybridMultilevel"/>
    <w:tmpl w:val="FFFFFFFF"/>
    <w:lvl w:ilvl="0" w:tplc="8A403C6A">
      <w:start w:val="1"/>
      <w:numFmt w:val="bullet"/>
      <w:lvlText w:val=""/>
      <w:lvlJc w:val="left"/>
      <w:pPr>
        <w:ind w:left="720" w:hanging="360"/>
      </w:pPr>
      <w:rPr>
        <w:rFonts w:ascii="Symbol" w:hAnsi="Symbol" w:hint="default"/>
      </w:rPr>
    </w:lvl>
    <w:lvl w:ilvl="1" w:tplc="F86CFFB0">
      <w:start w:val="1"/>
      <w:numFmt w:val="bullet"/>
      <w:lvlText w:val="o"/>
      <w:lvlJc w:val="left"/>
      <w:pPr>
        <w:ind w:left="1440" w:hanging="360"/>
      </w:pPr>
      <w:rPr>
        <w:rFonts w:ascii="Courier New" w:hAnsi="Courier New" w:hint="default"/>
      </w:rPr>
    </w:lvl>
    <w:lvl w:ilvl="2" w:tplc="CD32A40C">
      <w:start w:val="1"/>
      <w:numFmt w:val="bullet"/>
      <w:lvlText w:val=""/>
      <w:lvlJc w:val="left"/>
      <w:pPr>
        <w:ind w:left="2160" w:hanging="360"/>
      </w:pPr>
      <w:rPr>
        <w:rFonts w:ascii="Wingdings" w:hAnsi="Wingdings" w:hint="default"/>
      </w:rPr>
    </w:lvl>
    <w:lvl w:ilvl="3" w:tplc="EFE6D296">
      <w:start w:val="1"/>
      <w:numFmt w:val="bullet"/>
      <w:lvlText w:val=""/>
      <w:lvlJc w:val="left"/>
      <w:pPr>
        <w:ind w:left="2880" w:hanging="360"/>
      </w:pPr>
      <w:rPr>
        <w:rFonts w:ascii="Symbol" w:hAnsi="Symbol" w:hint="default"/>
      </w:rPr>
    </w:lvl>
    <w:lvl w:ilvl="4" w:tplc="7D083EA2">
      <w:start w:val="1"/>
      <w:numFmt w:val="bullet"/>
      <w:lvlText w:val="o"/>
      <w:lvlJc w:val="left"/>
      <w:pPr>
        <w:ind w:left="3600" w:hanging="360"/>
      </w:pPr>
      <w:rPr>
        <w:rFonts w:ascii="Courier New" w:hAnsi="Courier New" w:hint="default"/>
      </w:rPr>
    </w:lvl>
    <w:lvl w:ilvl="5" w:tplc="38C4169C">
      <w:start w:val="1"/>
      <w:numFmt w:val="bullet"/>
      <w:lvlText w:val=""/>
      <w:lvlJc w:val="left"/>
      <w:pPr>
        <w:ind w:left="4320" w:hanging="360"/>
      </w:pPr>
      <w:rPr>
        <w:rFonts w:ascii="Wingdings" w:hAnsi="Wingdings" w:hint="default"/>
      </w:rPr>
    </w:lvl>
    <w:lvl w:ilvl="6" w:tplc="BD448214">
      <w:start w:val="1"/>
      <w:numFmt w:val="bullet"/>
      <w:lvlText w:val=""/>
      <w:lvlJc w:val="left"/>
      <w:pPr>
        <w:ind w:left="5040" w:hanging="360"/>
      </w:pPr>
      <w:rPr>
        <w:rFonts w:ascii="Symbol" w:hAnsi="Symbol" w:hint="default"/>
      </w:rPr>
    </w:lvl>
    <w:lvl w:ilvl="7" w:tplc="DF3E109A">
      <w:start w:val="1"/>
      <w:numFmt w:val="bullet"/>
      <w:lvlText w:val="o"/>
      <w:lvlJc w:val="left"/>
      <w:pPr>
        <w:ind w:left="5760" w:hanging="360"/>
      </w:pPr>
      <w:rPr>
        <w:rFonts w:ascii="Courier New" w:hAnsi="Courier New" w:hint="default"/>
      </w:rPr>
    </w:lvl>
    <w:lvl w:ilvl="8" w:tplc="28849F2C">
      <w:start w:val="1"/>
      <w:numFmt w:val="bullet"/>
      <w:lvlText w:val=""/>
      <w:lvlJc w:val="left"/>
      <w:pPr>
        <w:ind w:left="6480" w:hanging="360"/>
      </w:pPr>
      <w:rPr>
        <w:rFonts w:ascii="Wingdings" w:hAnsi="Wingdings" w:hint="default"/>
      </w:rPr>
    </w:lvl>
  </w:abstractNum>
  <w:abstractNum w:abstractNumId="11" w15:restartNumberingAfterBreak="0">
    <w:nsid w:val="37AEF5AD"/>
    <w:multiLevelType w:val="hybridMultilevel"/>
    <w:tmpl w:val="384C4742"/>
    <w:lvl w:ilvl="0" w:tplc="2B6E6E54">
      <w:start w:val="1"/>
      <w:numFmt w:val="bullet"/>
      <w:lvlText w:val=""/>
      <w:lvlJc w:val="left"/>
      <w:pPr>
        <w:ind w:left="720" w:hanging="360"/>
      </w:pPr>
      <w:rPr>
        <w:rFonts w:ascii="Symbol" w:hAnsi="Symbol" w:hint="default"/>
      </w:rPr>
    </w:lvl>
    <w:lvl w:ilvl="1" w:tplc="0EB2FE5C">
      <w:start w:val="1"/>
      <w:numFmt w:val="bullet"/>
      <w:lvlText w:val="o"/>
      <w:lvlJc w:val="left"/>
      <w:pPr>
        <w:ind w:left="1440" w:hanging="360"/>
      </w:pPr>
      <w:rPr>
        <w:rFonts w:ascii="Courier New" w:hAnsi="Courier New" w:hint="default"/>
      </w:rPr>
    </w:lvl>
    <w:lvl w:ilvl="2" w:tplc="9B6883D6">
      <w:start w:val="1"/>
      <w:numFmt w:val="bullet"/>
      <w:lvlText w:val=""/>
      <w:lvlJc w:val="left"/>
      <w:pPr>
        <w:ind w:left="2160" w:hanging="360"/>
      </w:pPr>
      <w:rPr>
        <w:rFonts w:ascii="Wingdings" w:hAnsi="Wingdings" w:hint="default"/>
      </w:rPr>
    </w:lvl>
    <w:lvl w:ilvl="3" w:tplc="52C0115E">
      <w:start w:val="1"/>
      <w:numFmt w:val="bullet"/>
      <w:lvlText w:val=""/>
      <w:lvlJc w:val="left"/>
      <w:pPr>
        <w:ind w:left="2880" w:hanging="360"/>
      </w:pPr>
      <w:rPr>
        <w:rFonts w:ascii="Symbol" w:hAnsi="Symbol" w:hint="default"/>
      </w:rPr>
    </w:lvl>
    <w:lvl w:ilvl="4" w:tplc="ACD848AE">
      <w:start w:val="1"/>
      <w:numFmt w:val="bullet"/>
      <w:lvlText w:val="o"/>
      <w:lvlJc w:val="left"/>
      <w:pPr>
        <w:ind w:left="3600" w:hanging="360"/>
      </w:pPr>
      <w:rPr>
        <w:rFonts w:ascii="Courier New" w:hAnsi="Courier New" w:hint="default"/>
      </w:rPr>
    </w:lvl>
    <w:lvl w:ilvl="5" w:tplc="D166AD96">
      <w:start w:val="1"/>
      <w:numFmt w:val="bullet"/>
      <w:lvlText w:val=""/>
      <w:lvlJc w:val="left"/>
      <w:pPr>
        <w:ind w:left="4320" w:hanging="360"/>
      </w:pPr>
      <w:rPr>
        <w:rFonts w:ascii="Wingdings" w:hAnsi="Wingdings" w:hint="default"/>
      </w:rPr>
    </w:lvl>
    <w:lvl w:ilvl="6" w:tplc="E9726344">
      <w:start w:val="1"/>
      <w:numFmt w:val="bullet"/>
      <w:lvlText w:val=""/>
      <w:lvlJc w:val="left"/>
      <w:pPr>
        <w:ind w:left="5040" w:hanging="360"/>
      </w:pPr>
      <w:rPr>
        <w:rFonts w:ascii="Symbol" w:hAnsi="Symbol" w:hint="default"/>
      </w:rPr>
    </w:lvl>
    <w:lvl w:ilvl="7" w:tplc="9132B0E2">
      <w:start w:val="1"/>
      <w:numFmt w:val="bullet"/>
      <w:lvlText w:val="o"/>
      <w:lvlJc w:val="left"/>
      <w:pPr>
        <w:ind w:left="5760" w:hanging="360"/>
      </w:pPr>
      <w:rPr>
        <w:rFonts w:ascii="Courier New" w:hAnsi="Courier New" w:hint="default"/>
      </w:rPr>
    </w:lvl>
    <w:lvl w:ilvl="8" w:tplc="3BCA2D28">
      <w:start w:val="1"/>
      <w:numFmt w:val="bullet"/>
      <w:lvlText w:val=""/>
      <w:lvlJc w:val="left"/>
      <w:pPr>
        <w:ind w:left="6480" w:hanging="360"/>
      </w:pPr>
      <w:rPr>
        <w:rFonts w:ascii="Wingdings" w:hAnsi="Wingdings" w:hint="default"/>
      </w:rPr>
    </w:lvl>
  </w:abstractNum>
  <w:abstractNum w:abstractNumId="12" w15:restartNumberingAfterBreak="0">
    <w:nsid w:val="3CA01172"/>
    <w:multiLevelType w:val="hybridMultilevel"/>
    <w:tmpl w:val="75EC3F32"/>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F179C16"/>
    <w:multiLevelType w:val="hybridMultilevel"/>
    <w:tmpl w:val="0F54479C"/>
    <w:lvl w:ilvl="0" w:tplc="AECE92CC">
      <w:start w:val="1"/>
      <w:numFmt w:val="decimal"/>
      <w:lvlText w:val="%1."/>
      <w:lvlJc w:val="left"/>
      <w:pPr>
        <w:ind w:left="720" w:hanging="360"/>
      </w:pPr>
    </w:lvl>
    <w:lvl w:ilvl="1" w:tplc="2356FD10">
      <w:start w:val="1"/>
      <w:numFmt w:val="lowerLetter"/>
      <w:lvlText w:val="%2."/>
      <w:lvlJc w:val="left"/>
      <w:pPr>
        <w:ind w:left="1440" w:hanging="360"/>
      </w:pPr>
    </w:lvl>
    <w:lvl w:ilvl="2" w:tplc="D15A1668">
      <w:start w:val="1"/>
      <w:numFmt w:val="lowerRoman"/>
      <w:lvlText w:val="%3."/>
      <w:lvlJc w:val="right"/>
      <w:pPr>
        <w:ind w:left="2160" w:hanging="180"/>
      </w:pPr>
    </w:lvl>
    <w:lvl w:ilvl="3" w:tplc="FE28E430">
      <w:start w:val="1"/>
      <w:numFmt w:val="decimal"/>
      <w:lvlText w:val="%4."/>
      <w:lvlJc w:val="left"/>
      <w:pPr>
        <w:ind w:left="2880" w:hanging="360"/>
      </w:pPr>
    </w:lvl>
    <w:lvl w:ilvl="4" w:tplc="99CA75C2">
      <w:start w:val="1"/>
      <w:numFmt w:val="lowerLetter"/>
      <w:lvlText w:val="%5."/>
      <w:lvlJc w:val="left"/>
      <w:pPr>
        <w:ind w:left="3600" w:hanging="360"/>
      </w:pPr>
    </w:lvl>
    <w:lvl w:ilvl="5" w:tplc="23E8C4D4">
      <w:start w:val="1"/>
      <w:numFmt w:val="lowerRoman"/>
      <w:lvlText w:val="%6."/>
      <w:lvlJc w:val="right"/>
      <w:pPr>
        <w:ind w:left="4320" w:hanging="180"/>
      </w:pPr>
    </w:lvl>
    <w:lvl w:ilvl="6" w:tplc="A948CDC4">
      <w:start w:val="1"/>
      <w:numFmt w:val="decimal"/>
      <w:lvlText w:val="%7."/>
      <w:lvlJc w:val="left"/>
      <w:pPr>
        <w:ind w:left="5040" w:hanging="360"/>
      </w:pPr>
    </w:lvl>
    <w:lvl w:ilvl="7" w:tplc="5AE09FE8">
      <w:start w:val="1"/>
      <w:numFmt w:val="lowerLetter"/>
      <w:lvlText w:val="%8."/>
      <w:lvlJc w:val="left"/>
      <w:pPr>
        <w:ind w:left="5760" w:hanging="360"/>
      </w:pPr>
    </w:lvl>
    <w:lvl w:ilvl="8" w:tplc="15164712">
      <w:start w:val="1"/>
      <w:numFmt w:val="lowerRoman"/>
      <w:lvlText w:val="%9."/>
      <w:lvlJc w:val="right"/>
      <w:pPr>
        <w:ind w:left="6480" w:hanging="180"/>
      </w:pPr>
    </w:lvl>
  </w:abstractNum>
  <w:abstractNum w:abstractNumId="14" w15:restartNumberingAfterBreak="0">
    <w:nsid w:val="3FCDEDD9"/>
    <w:multiLevelType w:val="hybridMultilevel"/>
    <w:tmpl w:val="56C67570"/>
    <w:lvl w:ilvl="0" w:tplc="CB40E922">
      <w:start w:val="1"/>
      <w:numFmt w:val="bullet"/>
      <w:lvlText w:val=""/>
      <w:lvlJc w:val="left"/>
      <w:pPr>
        <w:ind w:left="720" w:hanging="360"/>
      </w:pPr>
      <w:rPr>
        <w:rFonts w:ascii="Wingdings" w:hAnsi="Wingdings" w:hint="default"/>
      </w:rPr>
    </w:lvl>
    <w:lvl w:ilvl="1" w:tplc="4AACF9D8">
      <w:start w:val="1"/>
      <w:numFmt w:val="bullet"/>
      <w:lvlText w:val=""/>
      <w:lvlJc w:val="left"/>
      <w:pPr>
        <w:ind w:left="1440" w:hanging="360"/>
      </w:pPr>
      <w:rPr>
        <w:rFonts w:ascii="Wingdings" w:hAnsi="Wingdings" w:hint="default"/>
      </w:rPr>
    </w:lvl>
    <w:lvl w:ilvl="2" w:tplc="8EEA1F82">
      <w:start w:val="1"/>
      <w:numFmt w:val="bullet"/>
      <w:lvlText w:val=""/>
      <w:lvlJc w:val="left"/>
      <w:pPr>
        <w:ind w:left="2160" w:hanging="360"/>
      </w:pPr>
      <w:rPr>
        <w:rFonts w:ascii="Wingdings" w:hAnsi="Wingdings" w:hint="default"/>
      </w:rPr>
    </w:lvl>
    <w:lvl w:ilvl="3" w:tplc="2A7EB2E0">
      <w:start w:val="1"/>
      <w:numFmt w:val="bullet"/>
      <w:lvlText w:val=""/>
      <w:lvlJc w:val="left"/>
      <w:pPr>
        <w:ind w:left="2880" w:hanging="360"/>
      </w:pPr>
      <w:rPr>
        <w:rFonts w:ascii="Wingdings" w:hAnsi="Wingdings" w:hint="default"/>
      </w:rPr>
    </w:lvl>
    <w:lvl w:ilvl="4" w:tplc="B74C74E0">
      <w:start w:val="1"/>
      <w:numFmt w:val="bullet"/>
      <w:lvlText w:val=""/>
      <w:lvlJc w:val="left"/>
      <w:pPr>
        <w:ind w:left="3600" w:hanging="360"/>
      </w:pPr>
      <w:rPr>
        <w:rFonts w:ascii="Wingdings" w:hAnsi="Wingdings" w:hint="default"/>
      </w:rPr>
    </w:lvl>
    <w:lvl w:ilvl="5" w:tplc="19D8E66E">
      <w:start w:val="1"/>
      <w:numFmt w:val="bullet"/>
      <w:lvlText w:val=""/>
      <w:lvlJc w:val="left"/>
      <w:pPr>
        <w:ind w:left="4320" w:hanging="360"/>
      </w:pPr>
      <w:rPr>
        <w:rFonts w:ascii="Wingdings" w:hAnsi="Wingdings" w:hint="default"/>
      </w:rPr>
    </w:lvl>
    <w:lvl w:ilvl="6" w:tplc="B9C446B2">
      <w:start w:val="1"/>
      <w:numFmt w:val="bullet"/>
      <w:lvlText w:val=""/>
      <w:lvlJc w:val="left"/>
      <w:pPr>
        <w:ind w:left="5040" w:hanging="360"/>
      </w:pPr>
      <w:rPr>
        <w:rFonts w:ascii="Wingdings" w:hAnsi="Wingdings" w:hint="default"/>
      </w:rPr>
    </w:lvl>
    <w:lvl w:ilvl="7" w:tplc="A7CCDB5A">
      <w:start w:val="1"/>
      <w:numFmt w:val="bullet"/>
      <w:lvlText w:val=""/>
      <w:lvlJc w:val="left"/>
      <w:pPr>
        <w:ind w:left="5760" w:hanging="360"/>
      </w:pPr>
      <w:rPr>
        <w:rFonts w:ascii="Wingdings" w:hAnsi="Wingdings" w:hint="default"/>
      </w:rPr>
    </w:lvl>
    <w:lvl w:ilvl="8" w:tplc="A614FD4A">
      <w:start w:val="1"/>
      <w:numFmt w:val="bullet"/>
      <w:lvlText w:val=""/>
      <w:lvlJc w:val="left"/>
      <w:pPr>
        <w:ind w:left="6480" w:hanging="360"/>
      </w:pPr>
      <w:rPr>
        <w:rFonts w:ascii="Wingdings" w:hAnsi="Wingdings" w:hint="default"/>
      </w:rPr>
    </w:lvl>
  </w:abstractNum>
  <w:abstractNum w:abstractNumId="15" w15:restartNumberingAfterBreak="0">
    <w:nsid w:val="415C3814"/>
    <w:multiLevelType w:val="hybridMultilevel"/>
    <w:tmpl w:val="4B882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E6792A"/>
    <w:multiLevelType w:val="hybridMultilevel"/>
    <w:tmpl w:val="0F801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A9A67"/>
    <w:multiLevelType w:val="hybridMultilevel"/>
    <w:tmpl w:val="99C23BA2"/>
    <w:lvl w:ilvl="0" w:tplc="10D4D6AC">
      <w:start w:val="1"/>
      <w:numFmt w:val="decimal"/>
      <w:lvlText w:val="%1."/>
      <w:lvlJc w:val="left"/>
      <w:pPr>
        <w:ind w:left="720" w:hanging="360"/>
      </w:pPr>
    </w:lvl>
    <w:lvl w:ilvl="1" w:tplc="265E58DC">
      <w:start w:val="1"/>
      <w:numFmt w:val="lowerLetter"/>
      <w:lvlText w:val="%2."/>
      <w:lvlJc w:val="left"/>
      <w:pPr>
        <w:ind w:left="1440" w:hanging="360"/>
      </w:pPr>
    </w:lvl>
    <w:lvl w:ilvl="2" w:tplc="69043FAE">
      <w:start w:val="1"/>
      <w:numFmt w:val="lowerRoman"/>
      <w:lvlText w:val="%3."/>
      <w:lvlJc w:val="right"/>
      <w:pPr>
        <w:ind w:left="2160" w:hanging="180"/>
      </w:pPr>
    </w:lvl>
    <w:lvl w:ilvl="3" w:tplc="839C8BFC">
      <w:start w:val="1"/>
      <w:numFmt w:val="decimal"/>
      <w:lvlText w:val="%4."/>
      <w:lvlJc w:val="left"/>
      <w:pPr>
        <w:ind w:left="2880" w:hanging="360"/>
      </w:pPr>
    </w:lvl>
    <w:lvl w:ilvl="4" w:tplc="A66E6434">
      <w:start w:val="1"/>
      <w:numFmt w:val="lowerLetter"/>
      <w:lvlText w:val="%5."/>
      <w:lvlJc w:val="left"/>
      <w:pPr>
        <w:ind w:left="3600" w:hanging="360"/>
      </w:pPr>
    </w:lvl>
    <w:lvl w:ilvl="5" w:tplc="AD68F6A6">
      <w:start w:val="1"/>
      <w:numFmt w:val="lowerRoman"/>
      <w:lvlText w:val="%6."/>
      <w:lvlJc w:val="right"/>
      <w:pPr>
        <w:ind w:left="4320" w:hanging="180"/>
      </w:pPr>
    </w:lvl>
    <w:lvl w:ilvl="6" w:tplc="EC08A3F4">
      <w:start w:val="1"/>
      <w:numFmt w:val="decimal"/>
      <w:lvlText w:val="%7."/>
      <w:lvlJc w:val="left"/>
      <w:pPr>
        <w:ind w:left="5040" w:hanging="360"/>
      </w:pPr>
    </w:lvl>
    <w:lvl w:ilvl="7" w:tplc="460A6040">
      <w:start w:val="1"/>
      <w:numFmt w:val="lowerLetter"/>
      <w:lvlText w:val="%8."/>
      <w:lvlJc w:val="left"/>
      <w:pPr>
        <w:ind w:left="5760" w:hanging="360"/>
      </w:pPr>
    </w:lvl>
    <w:lvl w:ilvl="8" w:tplc="F1B07A8E">
      <w:start w:val="1"/>
      <w:numFmt w:val="lowerRoman"/>
      <w:lvlText w:val="%9."/>
      <w:lvlJc w:val="right"/>
      <w:pPr>
        <w:ind w:left="6480" w:hanging="180"/>
      </w:pPr>
    </w:lvl>
  </w:abstractNum>
  <w:abstractNum w:abstractNumId="18" w15:restartNumberingAfterBreak="0">
    <w:nsid w:val="53F60543"/>
    <w:multiLevelType w:val="hybridMultilevel"/>
    <w:tmpl w:val="D73EEEB4"/>
    <w:lvl w:ilvl="0" w:tplc="2D687714">
      <w:start w:val="1"/>
      <w:numFmt w:val="upperRoman"/>
      <w:lvlText w:val="%1."/>
      <w:lvlJc w:val="right"/>
      <w:pPr>
        <w:ind w:left="720" w:hanging="360"/>
      </w:pPr>
    </w:lvl>
    <w:lvl w:ilvl="1" w:tplc="B3601F3A">
      <w:start w:val="1"/>
      <w:numFmt w:val="lowerLetter"/>
      <w:lvlText w:val="%2."/>
      <w:lvlJc w:val="left"/>
      <w:pPr>
        <w:ind w:left="1440" w:hanging="360"/>
      </w:pPr>
    </w:lvl>
    <w:lvl w:ilvl="2" w:tplc="3E629D4A">
      <w:start w:val="1"/>
      <w:numFmt w:val="lowerRoman"/>
      <w:lvlText w:val="%3."/>
      <w:lvlJc w:val="right"/>
      <w:pPr>
        <w:ind w:left="2160" w:hanging="180"/>
      </w:pPr>
    </w:lvl>
    <w:lvl w:ilvl="3" w:tplc="C6F088F6">
      <w:start w:val="1"/>
      <w:numFmt w:val="decimal"/>
      <w:lvlText w:val="%4."/>
      <w:lvlJc w:val="left"/>
      <w:pPr>
        <w:ind w:left="2880" w:hanging="360"/>
      </w:pPr>
    </w:lvl>
    <w:lvl w:ilvl="4" w:tplc="A7FE44EA">
      <w:start w:val="1"/>
      <w:numFmt w:val="lowerLetter"/>
      <w:lvlText w:val="%5."/>
      <w:lvlJc w:val="left"/>
      <w:pPr>
        <w:ind w:left="3600" w:hanging="360"/>
      </w:pPr>
    </w:lvl>
    <w:lvl w:ilvl="5" w:tplc="4104A3F6">
      <w:start w:val="1"/>
      <w:numFmt w:val="lowerRoman"/>
      <w:lvlText w:val="%6."/>
      <w:lvlJc w:val="right"/>
      <w:pPr>
        <w:ind w:left="4320" w:hanging="180"/>
      </w:pPr>
    </w:lvl>
    <w:lvl w:ilvl="6" w:tplc="C03EC364">
      <w:start w:val="1"/>
      <w:numFmt w:val="decimal"/>
      <w:lvlText w:val="%7."/>
      <w:lvlJc w:val="left"/>
      <w:pPr>
        <w:ind w:left="5040" w:hanging="360"/>
      </w:pPr>
    </w:lvl>
    <w:lvl w:ilvl="7" w:tplc="761EC954">
      <w:start w:val="1"/>
      <w:numFmt w:val="lowerLetter"/>
      <w:lvlText w:val="%8."/>
      <w:lvlJc w:val="left"/>
      <w:pPr>
        <w:ind w:left="5760" w:hanging="360"/>
      </w:pPr>
    </w:lvl>
    <w:lvl w:ilvl="8" w:tplc="2F1E0FF6">
      <w:start w:val="1"/>
      <w:numFmt w:val="lowerRoman"/>
      <w:lvlText w:val="%9."/>
      <w:lvlJc w:val="right"/>
      <w:pPr>
        <w:ind w:left="6480" w:hanging="180"/>
      </w:pPr>
    </w:lvl>
  </w:abstractNum>
  <w:abstractNum w:abstractNumId="19" w15:restartNumberingAfterBreak="0">
    <w:nsid w:val="64E02CA1"/>
    <w:multiLevelType w:val="hybridMultilevel"/>
    <w:tmpl w:val="113A34E2"/>
    <w:lvl w:ilvl="0" w:tplc="3D3A6BAA">
      <w:start w:val="1"/>
      <w:numFmt w:val="upperRoman"/>
      <w:lvlText w:val="%1."/>
      <w:lvlJc w:val="right"/>
      <w:pPr>
        <w:ind w:left="360" w:hanging="360"/>
      </w:pPr>
    </w:lvl>
    <w:lvl w:ilvl="1" w:tplc="F92E1360">
      <w:start w:val="1"/>
      <w:numFmt w:val="lowerLetter"/>
      <w:lvlText w:val="%2."/>
      <w:lvlJc w:val="left"/>
      <w:pPr>
        <w:ind w:left="1080" w:hanging="360"/>
      </w:pPr>
    </w:lvl>
    <w:lvl w:ilvl="2" w:tplc="998611CC">
      <w:start w:val="1"/>
      <w:numFmt w:val="lowerRoman"/>
      <w:lvlText w:val="%3."/>
      <w:lvlJc w:val="right"/>
      <w:pPr>
        <w:ind w:left="1800" w:hanging="180"/>
      </w:pPr>
    </w:lvl>
    <w:lvl w:ilvl="3" w:tplc="409E810C">
      <w:start w:val="1"/>
      <w:numFmt w:val="decimal"/>
      <w:lvlText w:val="%4."/>
      <w:lvlJc w:val="left"/>
      <w:pPr>
        <w:ind w:left="2520" w:hanging="360"/>
      </w:pPr>
    </w:lvl>
    <w:lvl w:ilvl="4" w:tplc="4ED24A92">
      <w:start w:val="1"/>
      <w:numFmt w:val="lowerLetter"/>
      <w:lvlText w:val="%5."/>
      <w:lvlJc w:val="left"/>
      <w:pPr>
        <w:ind w:left="3240" w:hanging="360"/>
      </w:pPr>
    </w:lvl>
    <w:lvl w:ilvl="5" w:tplc="2E9A2036">
      <w:start w:val="1"/>
      <w:numFmt w:val="lowerRoman"/>
      <w:lvlText w:val="%6."/>
      <w:lvlJc w:val="right"/>
      <w:pPr>
        <w:ind w:left="3960" w:hanging="180"/>
      </w:pPr>
    </w:lvl>
    <w:lvl w:ilvl="6" w:tplc="1FD6D2C6">
      <w:start w:val="1"/>
      <w:numFmt w:val="decimal"/>
      <w:lvlText w:val="%7."/>
      <w:lvlJc w:val="left"/>
      <w:pPr>
        <w:ind w:left="4680" w:hanging="360"/>
      </w:pPr>
    </w:lvl>
    <w:lvl w:ilvl="7" w:tplc="8AC086D0">
      <w:start w:val="1"/>
      <w:numFmt w:val="lowerLetter"/>
      <w:lvlText w:val="%8."/>
      <w:lvlJc w:val="left"/>
      <w:pPr>
        <w:ind w:left="5400" w:hanging="360"/>
      </w:pPr>
    </w:lvl>
    <w:lvl w:ilvl="8" w:tplc="38AA46A4">
      <w:start w:val="1"/>
      <w:numFmt w:val="lowerRoman"/>
      <w:lvlText w:val="%9."/>
      <w:lvlJc w:val="right"/>
      <w:pPr>
        <w:ind w:left="6120" w:hanging="180"/>
      </w:pPr>
    </w:lvl>
  </w:abstractNum>
  <w:abstractNum w:abstractNumId="20" w15:restartNumberingAfterBreak="0">
    <w:nsid w:val="675440E7"/>
    <w:multiLevelType w:val="hybridMultilevel"/>
    <w:tmpl w:val="1B2270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CED551"/>
    <w:multiLevelType w:val="hybridMultilevel"/>
    <w:tmpl w:val="60FAB0BC"/>
    <w:lvl w:ilvl="0" w:tplc="AEE87C44">
      <w:start w:val="1"/>
      <w:numFmt w:val="upperRoman"/>
      <w:lvlText w:val="%1."/>
      <w:lvlJc w:val="right"/>
      <w:pPr>
        <w:ind w:left="720" w:hanging="360"/>
      </w:pPr>
    </w:lvl>
    <w:lvl w:ilvl="1" w:tplc="CF768FB6">
      <w:start w:val="1"/>
      <w:numFmt w:val="lowerLetter"/>
      <w:lvlText w:val="%2."/>
      <w:lvlJc w:val="left"/>
      <w:pPr>
        <w:ind w:left="1440" w:hanging="360"/>
      </w:pPr>
    </w:lvl>
    <w:lvl w:ilvl="2" w:tplc="D7E87950">
      <w:start w:val="1"/>
      <w:numFmt w:val="lowerRoman"/>
      <w:lvlText w:val="%3."/>
      <w:lvlJc w:val="right"/>
      <w:pPr>
        <w:ind w:left="2160" w:hanging="180"/>
      </w:pPr>
    </w:lvl>
    <w:lvl w:ilvl="3" w:tplc="50A40962">
      <w:start w:val="1"/>
      <w:numFmt w:val="decimal"/>
      <w:lvlText w:val="%4."/>
      <w:lvlJc w:val="left"/>
      <w:pPr>
        <w:ind w:left="2880" w:hanging="360"/>
      </w:pPr>
    </w:lvl>
    <w:lvl w:ilvl="4" w:tplc="36D29C00">
      <w:start w:val="1"/>
      <w:numFmt w:val="lowerLetter"/>
      <w:lvlText w:val="%5."/>
      <w:lvlJc w:val="left"/>
      <w:pPr>
        <w:ind w:left="3600" w:hanging="360"/>
      </w:pPr>
    </w:lvl>
    <w:lvl w:ilvl="5" w:tplc="59428EEA">
      <w:start w:val="1"/>
      <w:numFmt w:val="lowerRoman"/>
      <w:lvlText w:val="%6."/>
      <w:lvlJc w:val="right"/>
      <w:pPr>
        <w:ind w:left="4320" w:hanging="180"/>
      </w:pPr>
    </w:lvl>
    <w:lvl w:ilvl="6" w:tplc="516ABA96">
      <w:start w:val="1"/>
      <w:numFmt w:val="decimal"/>
      <w:lvlText w:val="%7."/>
      <w:lvlJc w:val="left"/>
      <w:pPr>
        <w:ind w:left="5040" w:hanging="360"/>
      </w:pPr>
    </w:lvl>
    <w:lvl w:ilvl="7" w:tplc="7E563912">
      <w:start w:val="1"/>
      <w:numFmt w:val="lowerLetter"/>
      <w:lvlText w:val="%8."/>
      <w:lvlJc w:val="left"/>
      <w:pPr>
        <w:ind w:left="5760" w:hanging="360"/>
      </w:pPr>
    </w:lvl>
    <w:lvl w:ilvl="8" w:tplc="E34ED94A">
      <w:start w:val="1"/>
      <w:numFmt w:val="lowerRoman"/>
      <w:lvlText w:val="%9."/>
      <w:lvlJc w:val="right"/>
      <w:pPr>
        <w:ind w:left="6480" w:hanging="180"/>
      </w:pPr>
    </w:lvl>
  </w:abstractNum>
  <w:abstractNum w:abstractNumId="22" w15:restartNumberingAfterBreak="0">
    <w:nsid w:val="6EE1956C"/>
    <w:multiLevelType w:val="multilevel"/>
    <w:tmpl w:val="857431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36CC471"/>
    <w:multiLevelType w:val="hybridMultilevel"/>
    <w:tmpl w:val="FFFFFFFF"/>
    <w:lvl w:ilvl="0" w:tplc="782E1CEC">
      <w:start w:val="1"/>
      <w:numFmt w:val="bullet"/>
      <w:lvlText w:val=""/>
      <w:lvlJc w:val="left"/>
      <w:pPr>
        <w:ind w:left="720" w:hanging="360"/>
      </w:pPr>
      <w:rPr>
        <w:rFonts w:ascii="Symbol" w:hAnsi="Symbol" w:hint="default"/>
      </w:rPr>
    </w:lvl>
    <w:lvl w:ilvl="1" w:tplc="DE0C0F3E">
      <w:start w:val="1"/>
      <w:numFmt w:val="bullet"/>
      <w:lvlText w:val="o"/>
      <w:lvlJc w:val="left"/>
      <w:pPr>
        <w:ind w:left="1440" w:hanging="360"/>
      </w:pPr>
      <w:rPr>
        <w:rFonts w:ascii="Courier New" w:hAnsi="Courier New" w:hint="default"/>
      </w:rPr>
    </w:lvl>
    <w:lvl w:ilvl="2" w:tplc="36E427A8">
      <w:start w:val="1"/>
      <w:numFmt w:val="bullet"/>
      <w:lvlText w:val=""/>
      <w:lvlJc w:val="left"/>
      <w:pPr>
        <w:ind w:left="2160" w:hanging="360"/>
      </w:pPr>
      <w:rPr>
        <w:rFonts w:ascii="Wingdings" w:hAnsi="Wingdings" w:hint="default"/>
      </w:rPr>
    </w:lvl>
    <w:lvl w:ilvl="3" w:tplc="AB0C9284">
      <w:start w:val="1"/>
      <w:numFmt w:val="bullet"/>
      <w:lvlText w:val=""/>
      <w:lvlJc w:val="left"/>
      <w:pPr>
        <w:ind w:left="2880" w:hanging="360"/>
      </w:pPr>
      <w:rPr>
        <w:rFonts w:ascii="Symbol" w:hAnsi="Symbol" w:hint="default"/>
      </w:rPr>
    </w:lvl>
    <w:lvl w:ilvl="4" w:tplc="744ACB1A">
      <w:start w:val="1"/>
      <w:numFmt w:val="bullet"/>
      <w:lvlText w:val="o"/>
      <w:lvlJc w:val="left"/>
      <w:pPr>
        <w:ind w:left="3600" w:hanging="360"/>
      </w:pPr>
      <w:rPr>
        <w:rFonts w:ascii="Courier New" w:hAnsi="Courier New" w:hint="default"/>
      </w:rPr>
    </w:lvl>
    <w:lvl w:ilvl="5" w:tplc="58DA2920">
      <w:start w:val="1"/>
      <w:numFmt w:val="bullet"/>
      <w:lvlText w:val=""/>
      <w:lvlJc w:val="left"/>
      <w:pPr>
        <w:ind w:left="4320" w:hanging="360"/>
      </w:pPr>
      <w:rPr>
        <w:rFonts w:ascii="Wingdings" w:hAnsi="Wingdings" w:hint="default"/>
      </w:rPr>
    </w:lvl>
    <w:lvl w:ilvl="6" w:tplc="057A5540">
      <w:start w:val="1"/>
      <w:numFmt w:val="bullet"/>
      <w:lvlText w:val=""/>
      <w:lvlJc w:val="left"/>
      <w:pPr>
        <w:ind w:left="5040" w:hanging="360"/>
      </w:pPr>
      <w:rPr>
        <w:rFonts w:ascii="Symbol" w:hAnsi="Symbol" w:hint="default"/>
      </w:rPr>
    </w:lvl>
    <w:lvl w:ilvl="7" w:tplc="D1F41AE2">
      <w:start w:val="1"/>
      <w:numFmt w:val="bullet"/>
      <w:lvlText w:val="o"/>
      <w:lvlJc w:val="left"/>
      <w:pPr>
        <w:ind w:left="5760" w:hanging="360"/>
      </w:pPr>
      <w:rPr>
        <w:rFonts w:ascii="Courier New" w:hAnsi="Courier New" w:hint="default"/>
      </w:rPr>
    </w:lvl>
    <w:lvl w:ilvl="8" w:tplc="9B0EEF02">
      <w:start w:val="1"/>
      <w:numFmt w:val="bullet"/>
      <w:lvlText w:val=""/>
      <w:lvlJc w:val="left"/>
      <w:pPr>
        <w:ind w:left="6480" w:hanging="360"/>
      </w:pPr>
      <w:rPr>
        <w:rFonts w:ascii="Wingdings" w:hAnsi="Wingdings" w:hint="default"/>
      </w:rPr>
    </w:lvl>
  </w:abstractNum>
  <w:abstractNum w:abstractNumId="24" w15:restartNumberingAfterBreak="0">
    <w:nsid w:val="79AFC5A4"/>
    <w:multiLevelType w:val="hybridMultilevel"/>
    <w:tmpl w:val="C5E0BDF2"/>
    <w:lvl w:ilvl="0" w:tplc="5D748376">
      <w:start w:val="1"/>
      <w:numFmt w:val="upperLetter"/>
      <w:lvlText w:val="%1."/>
      <w:lvlJc w:val="left"/>
      <w:pPr>
        <w:ind w:left="720" w:hanging="360"/>
      </w:pPr>
    </w:lvl>
    <w:lvl w:ilvl="1" w:tplc="C0DC53F2">
      <w:start w:val="1"/>
      <w:numFmt w:val="decimal"/>
      <w:lvlText w:val="%2."/>
      <w:lvlJc w:val="left"/>
      <w:pPr>
        <w:ind w:left="1440" w:hanging="360"/>
      </w:pPr>
    </w:lvl>
    <w:lvl w:ilvl="2" w:tplc="DA0A2A7C">
      <w:start w:val="1"/>
      <w:numFmt w:val="lowerRoman"/>
      <w:lvlText w:val="%3."/>
      <w:lvlJc w:val="right"/>
      <w:pPr>
        <w:ind w:left="2160" w:hanging="180"/>
      </w:pPr>
    </w:lvl>
    <w:lvl w:ilvl="3" w:tplc="5F580E50">
      <w:start w:val="1"/>
      <w:numFmt w:val="decimal"/>
      <w:lvlText w:val="%4."/>
      <w:lvlJc w:val="left"/>
      <w:pPr>
        <w:ind w:left="2880" w:hanging="360"/>
      </w:pPr>
    </w:lvl>
    <w:lvl w:ilvl="4" w:tplc="4F2CBD26">
      <w:start w:val="1"/>
      <w:numFmt w:val="lowerLetter"/>
      <w:lvlText w:val="%5."/>
      <w:lvlJc w:val="left"/>
      <w:pPr>
        <w:ind w:left="3600" w:hanging="360"/>
      </w:pPr>
    </w:lvl>
    <w:lvl w:ilvl="5" w:tplc="EE96BA88">
      <w:start w:val="1"/>
      <w:numFmt w:val="lowerRoman"/>
      <w:lvlText w:val="%6."/>
      <w:lvlJc w:val="right"/>
      <w:pPr>
        <w:ind w:left="4320" w:hanging="180"/>
      </w:pPr>
    </w:lvl>
    <w:lvl w:ilvl="6" w:tplc="6CA21B3C">
      <w:start w:val="1"/>
      <w:numFmt w:val="decimal"/>
      <w:lvlText w:val="%7."/>
      <w:lvlJc w:val="left"/>
      <w:pPr>
        <w:ind w:left="5040" w:hanging="360"/>
      </w:pPr>
    </w:lvl>
    <w:lvl w:ilvl="7" w:tplc="0E6C9E6E">
      <w:start w:val="1"/>
      <w:numFmt w:val="lowerLetter"/>
      <w:lvlText w:val="%8."/>
      <w:lvlJc w:val="left"/>
      <w:pPr>
        <w:ind w:left="5760" w:hanging="360"/>
      </w:pPr>
    </w:lvl>
    <w:lvl w:ilvl="8" w:tplc="76703860">
      <w:start w:val="1"/>
      <w:numFmt w:val="lowerRoman"/>
      <w:lvlText w:val="%9."/>
      <w:lvlJc w:val="right"/>
      <w:pPr>
        <w:ind w:left="6480" w:hanging="180"/>
      </w:pPr>
    </w:lvl>
  </w:abstractNum>
  <w:abstractNum w:abstractNumId="25" w15:restartNumberingAfterBreak="0">
    <w:nsid w:val="7B5E9F4D"/>
    <w:multiLevelType w:val="hybridMultilevel"/>
    <w:tmpl w:val="81B45AF0"/>
    <w:lvl w:ilvl="0" w:tplc="2FB8EC04">
      <w:start w:val="1"/>
      <w:numFmt w:val="upperRoman"/>
      <w:lvlText w:val="%1."/>
      <w:lvlJc w:val="right"/>
      <w:pPr>
        <w:ind w:left="720" w:hanging="360"/>
      </w:pPr>
    </w:lvl>
    <w:lvl w:ilvl="1" w:tplc="F5601F12">
      <w:start w:val="1"/>
      <w:numFmt w:val="lowerLetter"/>
      <w:lvlText w:val="%2."/>
      <w:lvlJc w:val="left"/>
      <w:pPr>
        <w:ind w:left="1440" w:hanging="360"/>
      </w:pPr>
    </w:lvl>
    <w:lvl w:ilvl="2" w:tplc="79508CA0">
      <w:start w:val="1"/>
      <w:numFmt w:val="lowerRoman"/>
      <w:lvlText w:val="%3."/>
      <w:lvlJc w:val="right"/>
      <w:pPr>
        <w:ind w:left="2160" w:hanging="180"/>
      </w:pPr>
    </w:lvl>
    <w:lvl w:ilvl="3" w:tplc="7FDEEF44">
      <w:start w:val="1"/>
      <w:numFmt w:val="decimal"/>
      <w:lvlText w:val="%4."/>
      <w:lvlJc w:val="left"/>
      <w:pPr>
        <w:ind w:left="2880" w:hanging="360"/>
      </w:pPr>
    </w:lvl>
    <w:lvl w:ilvl="4" w:tplc="A1167C16">
      <w:start w:val="1"/>
      <w:numFmt w:val="lowerLetter"/>
      <w:lvlText w:val="%5."/>
      <w:lvlJc w:val="left"/>
      <w:pPr>
        <w:ind w:left="3600" w:hanging="360"/>
      </w:pPr>
    </w:lvl>
    <w:lvl w:ilvl="5" w:tplc="BF70C5CC">
      <w:start w:val="1"/>
      <w:numFmt w:val="lowerRoman"/>
      <w:lvlText w:val="%6."/>
      <w:lvlJc w:val="right"/>
      <w:pPr>
        <w:ind w:left="4320" w:hanging="180"/>
      </w:pPr>
    </w:lvl>
    <w:lvl w:ilvl="6" w:tplc="D4149044">
      <w:start w:val="1"/>
      <w:numFmt w:val="decimal"/>
      <w:lvlText w:val="%7."/>
      <w:lvlJc w:val="left"/>
      <w:pPr>
        <w:ind w:left="5040" w:hanging="360"/>
      </w:pPr>
    </w:lvl>
    <w:lvl w:ilvl="7" w:tplc="1AE40224">
      <w:start w:val="1"/>
      <w:numFmt w:val="lowerLetter"/>
      <w:lvlText w:val="%8."/>
      <w:lvlJc w:val="left"/>
      <w:pPr>
        <w:ind w:left="5760" w:hanging="360"/>
      </w:pPr>
    </w:lvl>
    <w:lvl w:ilvl="8" w:tplc="9E0A6B10">
      <w:start w:val="1"/>
      <w:numFmt w:val="lowerRoman"/>
      <w:lvlText w:val="%9."/>
      <w:lvlJc w:val="right"/>
      <w:pPr>
        <w:ind w:left="6480" w:hanging="180"/>
      </w:pPr>
    </w:lvl>
  </w:abstractNum>
  <w:num w:numId="1" w16cid:durableId="585773400">
    <w:abstractNumId w:val="22"/>
  </w:num>
  <w:num w:numId="2" w16cid:durableId="341126549">
    <w:abstractNumId w:val="2"/>
  </w:num>
  <w:num w:numId="3" w16cid:durableId="22218181">
    <w:abstractNumId w:val="4"/>
  </w:num>
  <w:num w:numId="4" w16cid:durableId="2112356500">
    <w:abstractNumId w:val="11"/>
  </w:num>
  <w:num w:numId="5" w16cid:durableId="988094533">
    <w:abstractNumId w:val="24"/>
  </w:num>
  <w:num w:numId="6" w16cid:durableId="202713664">
    <w:abstractNumId w:val="10"/>
  </w:num>
  <w:num w:numId="7" w16cid:durableId="60101212">
    <w:abstractNumId w:val="1"/>
  </w:num>
  <w:num w:numId="8" w16cid:durableId="411389325">
    <w:abstractNumId w:val="23"/>
  </w:num>
  <w:num w:numId="9" w16cid:durableId="775901330">
    <w:abstractNumId w:val="16"/>
  </w:num>
  <w:num w:numId="10" w16cid:durableId="1712458469">
    <w:abstractNumId w:val="7"/>
  </w:num>
  <w:num w:numId="11" w16cid:durableId="604776021">
    <w:abstractNumId w:val="9"/>
  </w:num>
  <w:num w:numId="12" w16cid:durableId="150605649">
    <w:abstractNumId w:val="17"/>
  </w:num>
  <w:num w:numId="13" w16cid:durableId="31459984">
    <w:abstractNumId w:val="14"/>
  </w:num>
  <w:num w:numId="14" w16cid:durableId="736586868">
    <w:abstractNumId w:val="18"/>
  </w:num>
  <w:num w:numId="15" w16cid:durableId="806430278">
    <w:abstractNumId w:val="3"/>
  </w:num>
  <w:num w:numId="16" w16cid:durableId="884096640">
    <w:abstractNumId w:val="19"/>
  </w:num>
  <w:num w:numId="17" w16cid:durableId="2129083237">
    <w:abstractNumId w:val="25"/>
  </w:num>
  <w:num w:numId="18" w16cid:durableId="771363380">
    <w:abstractNumId w:val="6"/>
  </w:num>
  <w:num w:numId="19" w16cid:durableId="841051175">
    <w:abstractNumId w:val="21"/>
  </w:num>
  <w:num w:numId="20" w16cid:durableId="104007371">
    <w:abstractNumId w:val="13"/>
  </w:num>
  <w:num w:numId="21" w16cid:durableId="559631091">
    <w:abstractNumId w:val="5"/>
  </w:num>
  <w:num w:numId="22" w16cid:durableId="1600022414">
    <w:abstractNumId w:val="20"/>
  </w:num>
  <w:num w:numId="23" w16cid:durableId="220748400">
    <w:abstractNumId w:val="15"/>
  </w:num>
  <w:num w:numId="24" w16cid:durableId="1712917899">
    <w:abstractNumId w:val="12"/>
  </w:num>
  <w:num w:numId="25" w16cid:durableId="1430807401">
    <w:abstractNumId w:val="0"/>
  </w:num>
  <w:num w:numId="26" w16cid:durableId="17244011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28"/>
    <w:rsid w:val="00005382"/>
    <w:rsid w:val="00010816"/>
    <w:rsid w:val="00066016"/>
    <w:rsid w:val="000B3BE2"/>
    <w:rsid w:val="000D4471"/>
    <w:rsid w:val="001860F5"/>
    <w:rsid w:val="001C3A95"/>
    <w:rsid w:val="00212B6C"/>
    <w:rsid w:val="00237CC1"/>
    <w:rsid w:val="002531A6"/>
    <w:rsid w:val="00293462"/>
    <w:rsid w:val="002B0728"/>
    <w:rsid w:val="002C04A5"/>
    <w:rsid w:val="002D2128"/>
    <w:rsid w:val="00302A6A"/>
    <w:rsid w:val="00396586"/>
    <w:rsid w:val="003D7BF2"/>
    <w:rsid w:val="00432A63"/>
    <w:rsid w:val="004C7931"/>
    <w:rsid w:val="00616BA9"/>
    <w:rsid w:val="00721451"/>
    <w:rsid w:val="00741232"/>
    <w:rsid w:val="00745D90"/>
    <w:rsid w:val="00784C51"/>
    <w:rsid w:val="00791CAB"/>
    <w:rsid w:val="007E22D7"/>
    <w:rsid w:val="00826BF7"/>
    <w:rsid w:val="008533A8"/>
    <w:rsid w:val="008C3991"/>
    <w:rsid w:val="00924852"/>
    <w:rsid w:val="009C3CDA"/>
    <w:rsid w:val="00A57F03"/>
    <w:rsid w:val="00A90552"/>
    <w:rsid w:val="00AA3778"/>
    <w:rsid w:val="00AC4A4D"/>
    <w:rsid w:val="00B078DA"/>
    <w:rsid w:val="00B200B1"/>
    <w:rsid w:val="00B529EC"/>
    <w:rsid w:val="00B66578"/>
    <w:rsid w:val="00BB3035"/>
    <w:rsid w:val="00BE4156"/>
    <w:rsid w:val="00C115C1"/>
    <w:rsid w:val="00C1445F"/>
    <w:rsid w:val="00C45B04"/>
    <w:rsid w:val="00C634CB"/>
    <w:rsid w:val="00C975E0"/>
    <w:rsid w:val="00D27E70"/>
    <w:rsid w:val="00D33D22"/>
    <w:rsid w:val="00D8299C"/>
    <w:rsid w:val="00DF5D94"/>
    <w:rsid w:val="00E44A56"/>
    <w:rsid w:val="00E5281B"/>
    <w:rsid w:val="00E7083E"/>
    <w:rsid w:val="00E96E6F"/>
    <w:rsid w:val="00EA2C1C"/>
    <w:rsid w:val="00EC623E"/>
    <w:rsid w:val="00EE179F"/>
    <w:rsid w:val="00F62C31"/>
    <w:rsid w:val="00F91701"/>
    <w:rsid w:val="0359B543"/>
    <w:rsid w:val="06B90FF4"/>
    <w:rsid w:val="07364033"/>
    <w:rsid w:val="07B123F2"/>
    <w:rsid w:val="07C0F1AD"/>
    <w:rsid w:val="07CB2DE0"/>
    <w:rsid w:val="08A2025A"/>
    <w:rsid w:val="08B91B23"/>
    <w:rsid w:val="0CFF3CD0"/>
    <w:rsid w:val="0D7CD69D"/>
    <w:rsid w:val="0DD605F3"/>
    <w:rsid w:val="0F4FE597"/>
    <w:rsid w:val="0FC22F01"/>
    <w:rsid w:val="113E9577"/>
    <w:rsid w:val="132C6A10"/>
    <w:rsid w:val="1382E9B6"/>
    <w:rsid w:val="159157E9"/>
    <w:rsid w:val="19D5DCBA"/>
    <w:rsid w:val="19E395C4"/>
    <w:rsid w:val="1AFC6801"/>
    <w:rsid w:val="1CB37E8E"/>
    <w:rsid w:val="1D13FE1A"/>
    <w:rsid w:val="1E39D743"/>
    <w:rsid w:val="1EDF8E40"/>
    <w:rsid w:val="1F120984"/>
    <w:rsid w:val="1F36EF9D"/>
    <w:rsid w:val="1F508276"/>
    <w:rsid w:val="1FE75A7A"/>
    <w:rsid w:val="1FF3FE40"/>
    <w:rsid w:val="237366B3"/>
    <w:rsid w:val="2401B501"/>
    <w:rsid w:val="250BE437"/>
    <w:rsid w:val="26C932E9"/>
    <w:rsid w:val="2860373D"/>
    <w:rsid w:val="28782EDE"/>
    <w:rsid w:val="2A37A0B3"/>
    <w:rsid w:val="2B36EE4A"/>
    <w:rsid w:val="2FBB807A"/>
    <w:rsid w:val="2FFF7E1A"/>
    <w:rsid w:val="3A38E426"/>
    <w:rsid w:val="3A902C69"/>
    <w:rsid w:val="3B817572"/>
    <w:rsid w:val="3BD5F7F2"/>
    <w:rsid w:val="3D20285E"/>
    <w:rsid w:val="40C62962"/>
    <w:rsid w:val="41287332"/>
    <w:rsid w:val="41DA327E"/>
    <w:rsid w:val="4335FFE5"/>
    <w:rsid w:val="43C39F00"/>
    <w:rsid w:val="444C6487"/>
    <w:rsid w:val="446F6159"/>
    <w:rsid w:val="44741277"/>
    <w:rsid w:val="45E19EF0"/>
    <w:rsid w:val="45F258F9"/>
    <w:rsid w:val="46074EB2"/>
    <w:rsid w:val="463F55A7"/>
    <w:rsid w:val="47953CEC"/>
    <w:rsid w:val="4921E166"/>
    <w:rsid w:val="495B756B"/>
    <w:rsid w:val="4A481DC8"/>
    <w:rsid w:val="4AE66476"/>
    <w:rsid w:val="4AFB05B2"/>
    <w:rsid w:val="4BEB1BA6"/>
    <w:rsid w:val="4C94BEC7"/>
    <w:rsid w:val="4D4E327B"/>
    <w:rsid w:val="4E6E99B9"/>
    <w:rsid w:val="4F1C92A0"/>
    <w:rsid w:val="4FBDA918"/>
    <w:rsid w:val="4FD3C67E"/>
    <w:rsid w:val="520C66D1"/>
    <w:rsid w:val="52DEFBD5"/>
    <w:rsid w:val="54A5D1BB"/>
    <w:rsid w:val="57E22377"/>
    <w:rsid w:val="58828D9B"/>
    <w:rsid w:val="58E7E699"/>
    <w:rsid w:val="5AF18863"/>
    <w:rsid w:val="5B139EE7"/>
    <w:rsid w:val="5B70F7FE"/>
    <w:rsid w:val="5CC1D291"/>
    <w:rsid w:val="5E05D363"/>
    <w:rsid w:val="5E6AC179"/>
    <w:rsid w:val="61CD07C3"/>
    <w:rsid w:val="62487AF3"/>
    <w:rsid w:val="6295B8C2"/>
    <w:rsid w:val="63E97266"/>
    <w:rsid w:val="644B97BF"/>
    <w:rsid w:val="64ECF8F8"/>
    <w:rsid w:val="67068675"/>
    <w:rsid w:val="6870F9CE"/>
    <w:rsid w:val="69C87BE2"/>
    <w:rsid w:val="6ADF6253"/>
    <w:rsid w:val="6B52D160"/>
    <w:rsid w:val="6BFE4B81"/>
    <w:rsid w:val="6C38935B"/>
    <w:rsid w:val="6D536504"/>
    <w:rsid w:val="6EA157DA"/>
    <w:rsid w:val="70E75D6D"/>
    <w:rsid w:val="74F36762"/>
    <w:rsid w:val="7596A425"/>
    <w:rsid w:val="76FD1CDE"/>
    <w:rsid w:val="781E83F3"/>
    <w:rsid w:val="7A356F9F"/>
    <w:rsid w:val="7CBE123C"/>
    <w:rsid w:val="7E018E3F"/>
    <w:rsid w:val="7FDAF5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B0C2"/>
  <w15:chartTrackingRefBased/>
  <w15:docId w15:val="{3E8CC50D-9097-472E-89B2-E3C0C339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128"/>
    <w:pPr>
      <w:spacing w:line="278" w:lineRule="auto"/>
    </w:pPr>
    <w:rPr>
      <w:sz w:val="24"/>
      <w:szCs w:val="24"/>
      <w:lang w:val="en-GB"/>
    </w:rPr>
  </w:style>
  <w:style w:type="paragraph" w:styleId="Heading1">
    <w:name w:val="heading 1"/>
    <w:basedOn w:val="Normal"/>
    <w:next w:val="Normal"/>
    <w:link w:val="Heading1Char"/>
    <w:uiPriority w:val="9"/>
    <w:qFormat/>
    <w:rsid w:val="007214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37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5B04"/>
    <w:pPr>
      <w:keepNext/>
      <w:keepLines/>
      <w:spacing w:before="80" w:after="40" w:line="240" w:lineRule="auto"/>
      <w:outlineLvl w:val="4"/>
    </w:pPr>
    <w:rPr>
      <w:rFonts w:ascii="Calibri" w:eastAsiaTheme="majorEastAsia" w:hAnsi="Calibri" w:cstheme="majorBidi"/>
      <w:color w:val="2F5496" w:themeColor="accent1" w:themeShade="BF"/>
      <w:kern w:val="0"/>
      <w:sz w:val="22"/>
      <w:szCs w:val="22"/>
      <w:lang w:eastAsia="en-GB"/>
      <w14:ligatures w14:val="none"/>
    </w:rPr>
  </w:style>
  <w:style w:type="paragraph" w:styleId="Heading6">
    <w:name w:val="heading 6"/>
    <w:basedOn w:val="Normal"/>
    <w:next w:val="Normal"/>
    <w:link w:val="Heading6Char"/>
    <w:uiPriority w:val="9"/>
    <w:semiHidden/>
    <w:unhideWhenUsed/>
    <w:qFormat/>
    <w:rsid w:val="00C45B04"/>
    <w:pPr>
      <w:keepNext/>
      <w:keepLines/>
      <w:spacing w:before="40" w:after="0" w:line="240" w:lineRule="auto"/>
      <w:outlineLvl w:val="5"/>
    </w:pPr>
    <w:rPr>
      <w:rFonts w:ascii="Calibri" w:eastAsiaTheme="majorEastAsia" w:hAnsi="Calibri" w:cstheme="majorBidi"/>
      <w:i/>
      <w:iCs/>
      <w:color w:val="595959" w:themeColor="text1" w:themeTint="A6"/>
      <w:kern w:val="0"/>
      <w:sz w:val="22"/>
      <w:szCs w:val="22"/>
      <w:lang w:eastAsia="en-GB"/>
      <w14:ligatures w14:val="none"/>
    </w:rPr>
  </w:style>
  <w:style w:type="paragraph" w:styleId="Heading7">
    <w:name w:val="heading 7"/>
    <w:basedOn w:val="Normal"/>
    <w:next w:val="Normal"/>
    <w:link w:val="Heading7Char"/>
    <w:uiPriority w:val="9"/>
    <w:semiHidden/>
    <w:unhideWhenUsed/>
    <w:qFormat/>
    <w:rsid w:val="00C45B04"/>
    <w:pPr>
      <w:keepNext/>
      <w:keepLines/>
      <w:spacing w:before="40" w:after="0" w:line="240" w:lineRule="auto"/>
      <w:outlineLvl w:val="6"/>
    </w:pPr>
    <w:rPr>
      <w:rFonts w:ascii="Calibri" w:eastAsiaTheme="majorEastAsia" w:hAnsi="Calibri" w:cstheme="majorBidi"/>
      <w:color w:val="595959" w:themeColor="text1" w:themeTint="A6"/>
      <w:kern w:val="0"/>
      <w:sz w:val="22"/>
      <w:szCs w:val="22"/>
      <w:lang w:eastAsia="en-GB"/>
      <w14:ligatures w14:val="none"/>
    </w:rPr>
  </w:style>
  <w:style w:type="paragraph" w:styleId="Heading8">
    <w:name w:val="heading 8"/>
    <w:basedOn w:val="Normal"/>
    <w:next w:val="Normal"/>
    <w:link w:val="Heading8Char"/>
    <w:uiPriority w:val="9"/>
    <w:semiHidden/>
    <w:unhideWhenUsed/>
    <w:qFormat/>
    <w:rsid w:val="00C45B04"/>
    <w:pPr>
      <w:keepNext/>
      <w:keepLines/>
      <w:spacing w:after="0" w:line="240" w:lineRule="auto"/>
      <w:outlineLvl w:val="7"/>
    </w:pPr>
    <w:rPr>
      <w:rFonts w:ascii="Calibri" w:eastAsiaTheme="majorEastAsia" w:hAnsi="Calibri" w:cstheme="majorBidi"/>
      <w:i/>
      <w:iCs/>
      <w:color w:val="272727" w:themeColor="text1" w:themeTint="D8"/>
      <w:kern w:val="0"/>
      <w:sz w:val="22"/>
      <w:szCs w:val="22"/>
      <w:lang w:eastAsia="en-GB"/>
      <w14:ligatures w14:val="none"/>
    </w:rPr>
  </w:style>
  <w:style w:type="paragraph" w:styleId="Heading9">
    <w:name w:val="heading 9"/>
    <w:basedOn w:val="Normal"/>
    <w:next w:val="Normal"/>
    <w:link w:val="Heading9Char"/>
    <w:uiPriority w:val="9"/>
    <w:semiHidden/>
    <w:unhideWhenUsed/>
    <w:qFormat/>
    <w:rsid w:val="00C45B04"/>
    <w:pPr>
      <w:keepNext/>
      <w:keepLines/>
      <w:spacing w:after="0" w:line="240" w:lineRule="auto"/>
      <w:outlineLvl w:val="8"/>
    </w:pPr>
    <w:rPr>
      <w:rFonts w:ascii="Calibri" w:eastAsiaTheme="majorEastAsia" w:hAnsi="Calibri" w:cstheme="majorBidi"/>
      <w:color w:val="272727" w:themeColor="text1" w:themeTint="D8"/>
      <w:kern w:val="0"/>
      <w:sz w:val="22"/>
      <w:szCs w:val="22"/>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128"/>
    <w:pPr>
      <w:ind w:left="720"/>
      <w:contextualSpacing/>
    </w:pPr>
  </w:style>
  <w:style w:type="character" w:customStyle="1" w:styleId="Heading2Char">
    <w:name w:val="Heading 2 Char"/>
    <w:basedOn w:val="DefaultParagraphFont"/>
    <w:link w:val="Heading2"/>
    <w:uiPriority w:val="9"/>
    <w:rsid w:val="00AA3778"/>
    <w:rPr>
      <w:rFonts w:asciiTheme="majorHAnsi" w:eastAsiaTheme="majorEastAsia" w:hAnsiTheme="majorHAnsi" w:cstheme="majorBidi"/>
      <w:color w:val="2F5496" w:themeColor="accent1" w:themeShade="BF"/>
      <w:sz w:val="26"/>
      <w:szCs w:val="26"/>
      <w:lang w:val="en-GB"/>
    </w:rPr>
  </w:style>
  <w:style w:type="paragraph" w:styleId="Title">
    <w:name w:val="Title"/>
    <w:basedOn w:val="Normal"/>
    <w:next w:val="Normal"/>
    <w:link w:val="TitleChar"/>
    <w:uiPriority w:val="10"/>
    <w:qFormat/>
    <w:rsid w:val="00AC4A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A4D"/>
    <w:rPr>
      <w:rFonts w:asciiTheme="majorHAnsi" w:eastAsiaTheme="majorEastAsia" w:hAnsiTheme="majorHAnsi" w:cstheme="majorBidi"/>
      <w:spacing w:val="-10"/>
      <w:kern w:val="28"/>
      <w:sz w:val="56"/>
      <w:szCs w:val="56"/>
      <w:lang w:val="en-GB"/>
    </w:rPr>
  </w:style>
  <w:style w:type="character" w:styleId="Hyperlink">
    <w:name w:val="Hyperlink"/>
    <w:basedOn w:val="DefaultParagraphFont"/>
    <w:uiPriority w:val="99"/>
    <w:unhideWhenUsed/>
    <w:rsid w:val="00AC4A4D"/>
    <w:rPr>
      <w:color w:val="0563C1" w:themeColor="hyperlink"/>
      <w:u w:val="single"/>
    </w:rPr>
  </w:style>
  <w:style w:type="character" w:styleId="UnresolvedMention">
    <w:name w:val="Unresolved Mention"/>
    <w:basedOn w:val="DefaultParagraphFont"/>
    <w:uiPriority w:val="99"/>
    <w:semiHidden/>
    <w:unhideWhenUsed/>
    <w:rsid w:val="00AC4A4D"/>
    <w:rPr>
      <w:color w:val="605E5C"/>
      <w:shd w:val="clear" w:color="auto" w:fill="E1DFDD"/>
    </w:rPr>
  </w:style>
  <w:style w:type="paragraph" w:styleId="EndnoteText">
    <w:name w:val="endnote text"/>
    <w:basedOn w:val="Normal"/>
    <w:link w:val="EndnoteTextChar"/>
    <w:uiPriority w:val="99"/>
    <w:semiHidden/>
    <w:unhideWhenUsed/>
    <w:rsid w:val="00AC4A4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C4A4D"/>
    <w:rPr>
      <w:sz w:val="20"/>
      <w:szCs w:val="20"/>
      <w:lang w:val="en-GB"/>
    </w:rPr>
  </w:style>
  <w:style w:type="character" w:styleId="EndnoteReference">
    <w:name w:val="endnote reference"/>
    <w:basedOn w:val="DefaultParagraphFont"/>
    <w:uiPriority w:val="99"/>
    <w:semiHidden/>
    <w:unhideWhenUsed/>
    <w:rsid w:val="00AC4A4D"/>
    <w:rPr>
      <w:vertAlign w:val="superscript"/>
    </w:rPr>
  </w:style>
  <w:style w:type="paragraph" w:styleId="Header">
    <w:name w:val="header"/>
    <w:basedOn w:val="Normal"/>
    <w:link w:val="HeaderChar"/>
    <w:uiPriority w:val="99"/>
    <w:unhideWhenUsed/>
    <w:rsid w:val="00302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A6A"/>
    <w:rPr>
      <w:sz w:val="24"/>
      <w:szCs w:val="24"/>
      <w:lang w:val="en-GB"/>
    </w:rPr>
  </w:style>
  <w:style w:type="paragraph" w:styleId="Footer">
    <w:name w:val="footer"/>
    <w:basedOn w:val="Normal"/>
    <w:link w:val="FooterChar"/>
    <w:uiPriority w:val="99"/>
    <w:unhideWhenUsed/>
    <w:rsid w:val="00302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A6A"/>
    <w:rPr>
      <w:sz w:val="24"/>
      <w:szCs w:val="24"/>
      <w:lang w:val="en-GB"/>
    </w:rPr>
  </w:style>
  <w:style w:type="character" w:customStyle="1" w:styleId="Heading1Char">
    <w:name w:val="Heading 1 Char"/>
    <w:basedOn w:val="DefaultParagraphFont"/>
    <w:link w:val="Heading1"/>
    <w:uiPriority w:val="9"/>
    <w:rsid w:val="0072145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45B04"/>
    <w:rPr>
      <w:rFonts w:ascii="Calibri" w:eastAsiaTheme="majorEastAsia" w:hAnsi="Calibri" w:cstheme="majorBidi"/>
      <w:color w:val="2F5496" w:themeColor="accent1" w:themeShade="BF"/>
      <w:kern w:val="0"/>
      <w:lang w:val="en-GB" w:eastAsia="en-GB"/>
      <w14:ligatures w14:val="none"/>
    </w:rPr>
  </w:style>
  <w:style w:type="character" w:customStyle="1" w:styleId="Heading6Char">
    <w:name w:val="Heading 6 Char"/>
    <w:basedOn w:val="DefaultParagraphFont"/>
    <w:link w:val="Heading6"/>
    <w:uiPriority w:val="9"/>
    <w:semiHidden/>
    <w:rsid w:val="00C45B04"/>
    <w:rPr>
      <w:rFonts w:ascii="Calibri" w:eastAsiaTheme="majorEastAsia" w:hAnsi="Calibri" w:cstheme="majorBidi"/>
      <w:i/>
      <w:iCs/>
      <w:color w:val="595959" w:themeColor="text1" w:themeTint="A6"/>
      <w:kern w:val="0"/>
      <w:lang w:val="en-GB" w:eastAsia="en-GB"/>
      <w14:ligatures w14:val="none"/>
    </w:rPr>
  </w:style>
  <w:style w:type="character" w:customStyle="1" w:styleId="Heading7Char">
    <w:name w:val="Heading 7 Char"/>
    <w:basedOn w:val="DefaultParagraphFont"/>
    <w:link w:val="Heading7"/>
    <w:uiPriority w:val="9"/>
    <w:semiHidden/>
    <w:rsid w:val="00C45B04"/>
    <w:rPr>
      <w:rFonts w:ascii="Calibri" w:eastAsiaTheme="majorEastAsia" w:hAnsi="Calibri" w:cstheme="majorBidi"/>
      <w:color w:val="595959" w:themeColor="text1" w:themeTint="A6"/>
      <w:kern w:val="0"/>
      <w:lang w:val="en-GB" w:eastAsia="en-GB"/>
      <w14:ligatures w14:val="none"/>
    </w:rPr>
  </w:style>
  <w:style w:type="character" w:customStyle="1" w:styleId="Heading8Char">
    <w:name w:val="Heading 8 Char"/>
    <w:basedOn w:val="DefaultParagraphFont"/>
    <w:link w:val="Heading8"/>
    <w:uiPriority w:val="9"/>
    <w:semiHidden/>
    <w:rsid w:val="00C45B04"/>
    <w:rPr>
      <w:rFonts w:ascii="Calibri" w:eastAsiaTheme="majorEastAsia" w:hAnsi="Calibri" w:cstheme="majorBidi"/>
      <w:i/>
      <w:iCs/>
      <w:color w:val="272727" w:themeColor="text1" w:themeTint="D8"/>
      <w:kern w:val="0"/>
      <w:lang w:val="en-GB" w:eastAsia="en-GB"/>
      <w14:ligatures w14:val="none"/>
    </w:rPr>
  </w:style>
  <w:style w:type="character" w:customStyle="1" w:styleId="Heading9Char">
    <w:name w:val="Heading 9 Char"/>
    <w:basedOn w:val="DefaultParagraphFont"/>
    <w:link w:val="Heading9"/>
    <w:uiPriority w:val="9"/>
    <w:semiHidden/>
    <w:rsid w:val="00C45B04"/>
    <w:rPr>
      <w:rFonts w:ascii="Calibri" w:eastAsiaTheme="majorEastAsia" w:hAnsi="Calibri" w:cstheme="majorBidi"/>
      <w:color w:val="272727" w:themeColor="text1" w:themeTint="D8"/>
      <w:kern w:val="0"/>
      <w:lang w:val="en-GB" w:eastAsia="en-GB"/>
      <w14:ligatures w14:val="none"/>
    </w:rPr>
  </w:style>
  <w:style w:type="paragraph" w:styleId="Subtitle">
    <w:name w:val="Subtitle"/>
    <w:basedOn w:val="Normal"/>
    <w:next w:val="Normal"/>
    <w:link w:val="SubtitleChar"/>
    <w:uiPriority w:val="11"/>
    <w:qFormat/>
    <w:rsid w:val="00C45B04"/>
    <w:pPr>
      <w:numPr>
        <w:ilvl w:val="1"/>
      </w:numPr>
      <w:spacing w:after="0" w:line="240" w:lineRule="auto"/>
    </w:pPr>
    <w:rPr>
      <w:rFonts w:ascii="Calibri" w:eastAsiaTheme="majorEastAsia" w:hAnsi="Calibri" w:cstheme="majorBidi"/>
      <w:color w:val="595959" w:themeColor="text1" w:themeTint="A6"/>
      <w:spacing w:val="15"/>
      <w:kern w:val="0"/>
      <w:sz w:val="28"/>
      <w:szCs w:val="28"/>
      <w:lang w:eastAsia="en-GB"/>
      <w14:ligatures w14:val="none"/>
    </w:rPr>
  </w:style>
  <w:style w:type="character" w:customStyle="1" w:styleId="SubtitleChar">
    <w:name w:val="Subtitle Char"/>
    <w:basedOn w:val="DefaultParagraphFont"/>
    <w:link w:val="Subtitle"/>
    <w:uiPriority w:val="11"/>
    <w:rsid w:val="00C45B04"/>
    <w:rPr>
      <w:rFonts w:ascii="Calibri" w:eastAsiaTheme="majorEastAsia" w:hAnsi="Calibri" w:cstheme="majorBidi"/>
      <w:color w:val="595959" w:themeColor="text1" w:themeTint="A6"/>
      <w:spacing w:val="15"/>
      <w:kern w:val="0"/>
      <w:sz w:val="28"/>
      <w:szCs w:val="28"/>
      <w:lang w:val="en-GB" w:eastAsia="en-GB"/>
      <w14:ligatures w14:val="none"/>
    </w:rPr>
  </w:style>
  <w:style w:type="paragraph" w:styleId="Quote">
    <w:name w:val="Quote"/>
    <w:basedOn w:val="Normal"/>
    <w:next w:val="Normal"/>
    <w:link w:val="QuoteChar"/>
    <w:uiPriority w:val="29"/>
    <w:qFormat/>
    <w:rsid w:val="00C45B04"/>
    <w:pPr>
      <w:spacing w:before="160" w:after="0" w:line="240" w:lineRule="auto"/>
      <w:jc w:val="center"/>
    </w:pPr>
    <w:rPr>
      <w:rFonts w:ascii="Calibri" w:eastAsia="Times New Roman" w:hAnsi="Calibri" w:cs="Calibri"/>
      <w:i/>
      <w:iCs/>
      <w:color w:val="404040" w:themeColor="text1" w:themeTint="BF"/>
      <w:kern w:val="0"/>
      <w:sz w:val="22"/>
      <w:szCs w:val="22"/>
      <w:lang w:eastAsia="en-GB"/>
      <w14:ligatures w14:val="none"/>
    </w:rPr>
  </w:style>
  <w:style w:type="character" w:customStyle="1" w:styleId="QuoteChar">
    <w:name w:val="Quote Char"/>
    <w:basedOn w:val="DefaultParagraphFont"/>
    <w:link w:val="Quote"/>
    <w:uiPriority w:val="29"/>
    <w:rsid w:val="00C45B04"/>
    <w:rPr>
      <w:rFonts w:ascii="Calibri" w:eastAsia="Times New Roman" w:hAnsi="Calibri" w:cs="Calibri"/>
      <w:i/>
      <w:iCs/>
      <w:color w:val="404040" w:themeColor="text1" w:themeTint="BF"/>
      <w:kern w:val="0"/>
      <w:lang w:val="en-GB" w:eastAsia="en-GB"/>
      <w14:ligatures w14:val="none"/>
    </w:rPr>
  </w:style>
  <w:style w:type="character" w:styleId="IntenseEmphasis">
    <w:name w:val="Intense Emphasis"/>
    <w:basedOn w:val="DefaultParagraphFont"/>
    <w:uiPriority w:val="21"/>
    <w:qFormat/>
    <w:rsid w:val="00C45B04"/>
    <w:rPr>
      <w:i/>
      <w:iCs/>
      <w:color w:val="2F5496" w:themeColor="accent1" w:themeShade="BF"/>
    </w:rPr>
  </w:style>
  <w:style w:type="paragraph" w:styleId="IntenseQuote">
    <w:name w:val="Intense Quote"/>
    <w:basedOn w:val="Normal"/>
    <w:next w:val="Normal"/>
    <w:link w:val="IntenseQuoteChar"/>
    <w:uiPriority w:val="30"/>
    <w:qFormat/>
    <w:rsid w:val="00C45B04"/>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Calibri" w:eastAsia="Times New Roman" w:hAnsi="Calibri" w:cs="Calibri"/>
      <w:i/>
      <w:iCs/>
      <w:color w:val="2F5496" w:themeColor="accent1" w:themeShade="BF"/>
      <w:kern w:val="0"/>
      <w:sz w:val="22"/>
      <w:szCs w:val="22"/>
      <w:lang w:eastAsia="en-GB"/>
      <w14:ligatures w14:val="none"/>
    </w:rPr>
  </w:style>
  <w:style w:type="character" w:customStyle="1" w:styleId="IntenseQuoteChar">
    <w:name w:val="Intense Quote Char"/>
    <w:basedOn w:val="DefaultParagraphFont"/>
    <w:link w:val="IntenseQuote"/>
    <w:uiPriority w:val="30"/>
    <w:rsid w:val="00C45B04"/>
    <w:rPr>
      <w:rFonts w:ascii="Calibri" w:eastAsia="Times New Roman" w:hAnsi="Calibri" w:cs="Calibri"/>
      <w:i/>
      <w:iCs/>
      <w:color w:val="2F5496" w:themeColor="accent1" w:themeShade="BF"/>
      <w:kern w:val="0"/>
      <w:lang w:val="en-GB" w:eastAsia="en-GB"/>
      <w14:ligatures w14:val="none"/>
    </w:rPr>
  </w:style>
  <w:style w:type="character" w:styleId="IntenseReference">
    <w:name w:val="Intense Reference"/>
    <w:basedOn w:val="DefaultParagraphFont"/>
    <w:uiPriority w:val="32"/>
    <w:qFormat/>
    <w:rsid w:val="00C45B04"/>
    <w:rPr>
      <w:b/>
      <w:bCs/>
      <w:smallCaps/>
      <w:color w:val="2F5496" w:themeColor="accent1" w:themeShade="BF"/>
      <w:spacing w:val="5"/>
    </w:rPr>
  </w:style>
  <w:style w:type="character" w:styleId="SmartLink">
    <w:name w:val="Smart Link"/>
    <w:basedOn w:val="DefaultParagraphFont"/>
    <w:uiPriority w:val="99"/>
    <w:semiHidden/>
    <w:unhideWhenUsed/>
    <w:rsid w:val="00C45B04"/>
    <w:rPr>
      <w:color w:val="0000FF"/>
      <w:u w:val="single"/>
      <w:shd w:val="clear" w:color="auto" w:fill="F3F2F1"/>
    </w:rPr>
  </w:style>
  <w:style w:type="paragraph" w:customStyle="1" w:styleId="paragraph">
    <w:name w:val="paragraph"/>
    <w:basedOn w:val="Normal"/>
    <w:uiPriority w:val="1"/>
    <w:rsid w:val="00C45B04"/>
    <w:pPr>
      <w:spacing w:beforeAutospacing="1" w:after="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uiPriority w:val="1"/>
    <w:rsid w:val="00C45B04"/>
  </w:style>
  <w:style w:type="character" w:customStyle="1" w:styleId="eop">
    <w:name w:val="eop"/>
    <w:basedOn w:val="DefaultParagraphFont"/>
    <w:uiPriority w:val="1"/>
    <w:rsid w:val="00C45B04"/>
  </w:style>
  <w:style w:type="table" w:styleId="TableGrid">
    <w:name w:val="Table Grid"/>
    <w:basedOn w:val="TableNormal"/>
    <w:uiPriority w:val="59"/>
    <w:rsid w:val="00C45B04"/>
    <w:pPr>
      <w:spacing w:after="0" w:line="240" w:lineRule="auto"/>
    </w:pPr>
    <w:rPr>
      <w:sz w:val="24"/>
      <w:szCs w:val="24"/>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C45B04"/>
    <w:pPr>
      <w:spacing w:after="0" w:line="240" w:lineRule="auto"/>
    </w:pPr>
    <w:rPr>
      <w:rFonts w:ascii="Calibri" w:eastAsia="Times New Roman" w:hAnsi="Calibri" w:cs="Calibri"/>
      <w:kern w:val="0"/>
      <w:lang w:val="en-GB" w:eastAsia="en-GB"/>
      <w14:ligatures w14:val="none"/>
    </w:rPr>
  </w:style>
  <w:style w:type="paragraph" w:styleId="TOCHeading">
    <w:name w:val="TOC Heading"/>
    <w:basedOn w:val="Heading1"/>
    <w:next w:val="Normal"/>
    <w:uiPriority w:val="39"/>
    <w:unhideWhenUsed/>
    <w:qFormat/>
    <w:rsid w:val="00C45B04"/>
    <w:pPr>
      <w:spacing w:line="259" w:lineRule="auto"/>
      <w:outlineLvl w:val="9"/>
    </w:pPr>
    <w:rPr>
      <w:rFonts w:ascii="Times New Roman" w:eastAsia="Times New Roman" w:hAnsi="Times New Roman" w:cs="Times New Roman"/>
      <w:kern w:val="0"/>
      <w:lang w:val="en-US"/>
      <w14:ligatures w14:val="none"/>
    </w:rPr>
  </w:style>
  <w:style w:type="paragraph" w:styleId="TOC1">
    <w:name w:val="toc 1"/>
    <w:basedOn w:val="Normal"/>
    <w:next w:val="Normal"/>
    <w:autoRedefine/>
    <w:uiPriority w:val="39"/>
    <w:unhideWhenUsed/>
    <w:rsid w:val="00C45B04"/>
    <w:pPr>
      <w:spacing w:after="100" w:line="240" w:lineRule="auto"/>
    </w:pPr>
    <w:rPr>
      <w:rFonts w:ascii="Calibri" w:eastAsia="Times New Roman" w:hAnsi="Calibri" w:cs="Calibri"/>
      <w:kern w:val="0"/>
      <w:sz w:val="22"/>
      <w:szCs w:val="22"/>
      <w:lang w:eastAsia="en-GB"/>
      <w14:ligatures w14:val="none"/>
    </w:rPr>
  </w:style>
  <w:style w:type="paragraph" w:styleId="TOC2">
    <w:name w:val="toc 2"/>
    <w:basedOn w:val="Normal"/>
    <w:next w:val="Normal"/>
    <w:autoRedefine/>
    <w:uiPriority w:val="39"/>
    <w:unhideWhenUsed/>
    <w:rsid w:val="00C45B04"/>
    <w:pPr>
      <w:spacing w:after="100" w:line="240" w:lineRule="auto"/>
      <w:ind w:left="220"/>
    </w:pPr>
    <w:rPr>
      <w:rFonts w:ascii="Calibri" w:eastAsia="Times New Roman" w:hAnsi="Calibri" w:cs="Calibri"/>
      <w:kern w:val="0"/>
      <w:sz w:val="22"/>
      <w:szCs w:val="22"/>
      <w:lang w:eastAsia="en-GB"/>
      <w14:ligatures w14:val="none"/>
    </w:rPr>
  </w:style>
  <w:style w:type="character" w:styleId="FollowedHyperlink">
    <w:name w:val="FollowedHyperlink"/>
    <w:basedOn w:val="DefaultParagraphFont"/>
    <w:uiPriority w:val="99"/>
    <w:semiHidden/>
    <w:unhideWhenUsed/>
    <w:rsid w:val="00C45B04"/>
    <w:rPr>
      <w:color w:val="954F72" w:themeColor="followedHyperlink"/>
      <w:u w:val="single"/>
    </w:rPr>
  </w:style>
  <w:style w:type="paragraph" w:styleId="NormalWeb">
    <w:name w:val="Normal (Web)"/>
    <w:basedOn w:val="Normal"/>
    <w:uiPriority w:val="99"/>
    <w:semiHidden/>
    <w:unhideWhenUsed/>
    <w:rsid w:val="00C45B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mf.org/external/pubs/ft/wp/2012/wp12144.pdf" TargetMode="External"/><Relationship Id="rId21" Type="http://schemas.openxmlformats.org/officeDocument/2006/relationships/hyperlink" Target="https://www.imf.org/en/Publications/CR/Issues/2022/05/27/Georgia-Technical-Assistance-Report-Updating-the-Balance-Sheet-and-Quantifying-Fiscal-Risks-518383" TargetMode="External"/><Relationship Id="rId42" Type="http://schemas.openxmlformats.org/officeDocument/2006/relationships/hyperlink" Target="https://econpapers.repec.org/article/kapenreec/v_3a73_3ay_3a2019_3ai_3a1_3ad_3a10.1007_5fs10640-018-0262-8.htm" TargetMode="External"/><Relationship Id="rId47" Type="http://schemas.openxmlformats.org/officeDocument/2006/relationships/hyperlink" Target="https://www.swissre.com/dam/jcr:d8a4c361-ff0c-4438-9471-e3c640110f44/rethinking_shaping_climate_resilent_development_en.pdf" TargetMode="External"/><Relationship Id="rId63" Type="http://schemas.openxmlformats.org/officeDocument/2006/relationships/hyperlink" Target="https://ideas.repec.org/a/spr/climat/v167y2021i1d10.1007_s10584-021-03163-4.html" TargetMode="External"/><Relationship Id="rId68" Type="http://schemas.openxmlformats.org/officeDocument/2006/relationships/hyperlink" Target="https://www.oecd.org/dac/environment-development/greening-development-9789264167896-en.htm" TargetMode="External"/><Relationship Id="rId84" Type="http://schemas.openxmlformats.org/officeDocument/2006/relationships/footer" Target="footer2.xml"/><Relationship Id="rId16" Type="http://schemas.openxmlformats.org/officeDocument/2006/relationships/hyperlink" Target="https://worldbankgroup-my.sharepoint.com/:b:/r/personal/sstretton_worldbank_org1/Documents/Climate-Informed%20PFRs/6.%20Climate-Fiscal%20Literature/B1.%20GDP,%20Fiscal%20Costs%20and%20Risks/Climate%20Fiscal%20Risks/UK_2023_EnergyRisks.pdf?csf=1&amp;web=1&amp;e=ZoL5Ko" TargetMode="External"/><Relationship Id="rId11" Type="http://schemas.openxmlformats.org/officeDocument/2006/relationships/hyperlink" Target="https://www.bennettinstitute.cam.ac.uk/publications/rising-temperatures-falling-ratings/" TargetMode="External"/><Relationship Id="rId32" Type="http://schemas.openxmlformats.org/officeDocument/2006/relationships/hyperlink" Target="https://www.econstor.eu/bitstream/10419/268925/1/1796003808.pdf" TargetMode="External"/><Relationship Id="rId37" Type="http://schemas.openxmlformats.org/officeDocument/2006/relationships/hyperlink" Target="https://pubs.aeaweb.org/doi/pdfplus/10.1257/mac.4.3.66" TargetMode="External"/><Relationship Id="rId53" Type="http://schemas.openxmlformats.org/officeDocument/2006/relationships/hyperlink" Target="https://www.parlnet.org/bridgetown-agenda-memo-gpf-2023/" TargetMode="External"/><Relationship Id="rId58" Type="http://schemas.openxmlformats.org/officeDocument/2006/relationships/hyperlink" Target="https://www.climatepolicyinitiative.org/publication/global-landscape-of-climate-finance-a-decade-of-data/" TargetMode="External"/><Relationship Id="rId74" Type="http://schemas.openxmlformats.org/officeDocument/2006/relationships/hyperlink" Target="https://www.budget.gouv.fr/files/uploads/extract/2021/PLF_2021/report_environmental_impact_french_central_government_budget_2021.pdf" TargetMode="External"/><Relationship Id="rId79" Type="http://schemas.openxmlformats.org/officeDocument/2006/relationships/hyperlink" Target="https://www.sciencedirect.com/science/article/abs/pii/S0959652615000529?via%3Dihub" TargetMode="External"/><Relationship Id="rId5" Type="http://schemas.openxmlformats.org/officeDocument/2006/relationships/webSettings" Target="webSettings.xml"/><Relationship Id="rId19" Type="http://schemas.openxmlformats.org/officeDocument/2006/relationships/hyperlink" Target="https://www.imf.org/en/Publications/Departmental-Papers-Policy-Papers/Issues/2022/03/25/Feeling-the-Heat-Adapting-to-Climate-Change-in-the-Middle-East-and-Central-Asia-464856" TargetMode="External"/><Relationship Id="rId14" Type="http://schemas.openxmlformats.org/officeDocument/2006/relationships/hyperlink" Target="https://documents1.worldbank.org/curated/ar/340601545406276579/pdf/133156-REPLACEMNET-PUBLIC.pdf" TargetMode="External"/><Relationship Id="rId22" Type="http://schemas.openxmlformats.org/officeDocument/2006/relationships/hyperlink" Target="https://obr.uk/docs/dlm_uploads/Fiscalrisksreport2019.pdf" TargetMode="External"/><Relationship Id="rId27" Type="http://schemas.openxmlformats.org/officeDocument/2006/relationships/hyperlink" Target="https://economy-finance.ec.europa.eu/system/files/2020-01/ip120_en.pdf" TargetMode="External"/><Relationship Id="rId30" Type="http://schemas.openxmlformats.org/officeDocument/2006/relationships/hyperlink" Target="https://www.adb.org/publications/central-banking-climate-change-and-green-finance" TargetMode="External"/><Relationship Id="rId35" Type="http://schemas.openxmlformats.org/officeDocument/2006/relationships/hyperlink" Target="https://papers.ssrn.com/sol3/papers.cfm?abstract_id=4826056" TargetMode="External"/><Relationship Id="rId43" Type="http://schemas.openxmlformats.org/officeDocument/2006/relationships/hyperlink" Target="https://www.imf.org/en/Publications/Policy-Papers/Issues/2019/05/01/Fiscal-Policies-for-Paris-Climate-Strategies-from-Principle-to-Practice-46826" TargetMode="External"/><Relationship Id="rId48" Type="http://schemas.openxmlformats.org/officeDocument/2006/relationships/hyperlink" Target="https://documents1.worldbank.org/curated/en/962751560793977276/pdf/Strengthening-New-Infrastructure-Assets-A-Cost-Benefit-Analysis.pdf" TargetMode="External"/><Relationship Id="rId56" Type="http://schemas.openxmlformats.org/officeDocument/2006/relationships/hyperlink" Target="https://econpapers.repec.org/bookchap/wsiwschap/9781786348609_5f0009.htm" TargetMode="External"/><Relationship Id="rId64" Type="http://schemas.openxmlformats.org/officeDocument/2006/relationships/hyperlink" Target="https://www.sciencedirect.com/science/article/abs/pii/S0960148116301100" TargetMode="External"/><Relationship Id="rId69" Type="http://schemas.openxmlformats.org/officeDocument/2006/relationships/hyperlink" Target="https://www.undp.org/asia-pacific/publications/climate-public-expenditure-and-institutional-review-cpeir-methodological-note" TargetMode="External"/><Relationship Id="rId77" Type="http://schemas.openxmlformats.org/officeDocument/2006/relationships/hyperlink" Target="https://www.undp.org/vietnam/publications/climate-public-expenditure-and-investment-review-viet-nam" TargetMode="External"/><Relationship Id="rId8" Type="http://schemas.openxmlformats.org/officeDocument/2006/relationships/hyperlink" Target="https://www.cambridge.org/core/journals/national-institute-economic-review/article/climate-change-and-fiscal-sustainability-risks-and-opportunities/17671C36B7066012DF999BB4B073CE5D" TargetMode="External"/><Relationship Id="rId51" Type="http://schemas.openxmlformats.org/officeDocument/2006/relationships/hyperlink" Target="https://csep.org/wp-content/uploads/2021/07/Towards-a-Strategy-for-India%E2%80%99s-Decarbonisation-.pdf" TargetMode="External"/><Relationship Id="rId72" Type="http://schemas.openxmlformats.org/officeDocument/2006/relationships/hyperlink" Target="https://www.accaglobal.com/content/dam/ACCA_Global/professional-insights/Green-budgeting/PI-GREEN-BUDGETING-PS%20v5.pdf" TargetMode="External"/><Relationship Id="rId80" Type="http://schemas.openxmlformats.org/officeDocument/2006/relationships/hyperlink" Target="https://www.sciencedirect.com/science/article/pii/S0959652620348654" TargetMode="Externa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www.semanticscholar.org/paper/Estimating-Macro-Fiscal-Effects-of-Climate-Shocks-Bellon-Massetti/d3fc83079cc4d90f53c0ceb890020947eeb7cb35" TargetMode="External"/><Relationship Id="rId17" Type="http://schemas.openxmlformats.org/officeDocument/2006/relationships/hyperlink" Target="https://econpapers.repec.org/paper/bfrbanfra/774.htm" TargetMode="External"/><Relationship Id="rId25" Type="http://schemas.openxmlformats.org/officeDocument/2006/relationships/hyperlink" Target="https://www.whitehouse.gov/wp-content/uploads/2022/04/OMB_Climate_Risk_Exposure_2022.pdf" TargetMode="External"/><Relationship Id="rId33" Type="http://schemas.openxmlformats.org/officeDocument/2006/relationships/hyperlink" Target="https://www.bankofengland.co.uk/working-paper/2018/climate-change-and-the-macro-economy-a-critical-review" TargetMode="External"/><Relationship Id="rId38" Type="http://schemas.openxmlformats.org/officeDocument/2006/relationships/hyperlink" Target="https://www.sciencedirect.com/science/article/abs/pii/S0140988321004898" TargetMode="External"/><Relationship Id="rId46" Type="http://schemas.openxmlformats.org/officeDocument/2006/relationships/hyperlink" Target="https://www.imf.org/en/Publications/staff-climate-notes/Issues/2022/03/10/Economic-Principles-for-Integrating-Adaptation-to-Climate-Change-into-Fiscal-Policy-464314" TargetMode="External"/><Relationship Id="rId59" Type="http://schemas.openxmlformats.org/officeDocument/2006/relationships/hyperlink" Target="https://www.irena.org/-/media/Files/IRENA/Agency/Publication/2020/Jan/IRENA_RE_Sovereign_guarantees_2020.pdf" TargetMode="External"/><Relationship Id="rId67" Type="http://schemas.openxmlformats.org/officeDocument/2006/relationships/hyperlink" Target="https://www.imf.org/en/Publications/CR/Issues/2023/01/30/Democratic-Republic-of-the-Congo-Technical-Assistance-Report-Public-Investment-Management-528748" TargetMode="External"/><Relationship Id="rId20" Type="http://schemas.openxmlformats.org/officeDocument/2006/relationships/hyperlink" Target="https://www.newsd.admin.ch/newsd/message/attachments/87128.pdf" TargetMode="External"/><Relationship Id="rId41" Type="http://schemas.openxmlformats.org/officeDocument/2006/relationships/hyperlink" Target="https://www.nature.com/articles/s41586-021-04283-8" TargetMode="External"/><Relationship Id="rId54" Type="http://schemas.openxmlformats.org/officeDocument/2006/relationships/hyperlink" Target="https://www.cgdev.org/sites/default/files/taking-stock-mdb-and-dfi-innovations-mobilizing-private-capital-development.pdf" TargetMode="External"/><Relationship Id="rId62" Type="http://schemas.openxmlformats.org/officeDocument/2006/relationships/hyperlink" Target="https://cepr.org/voxeu/columns/rising-temperatures-melting-ratings" TargetMode="External"/><Relationship Id="rId70" Type="http://schemas.openxmlformats.org/officeDocument/2006/relationships/hyperlink" Target="https://www.undp.org/sites/g/files/zskgke326/files/2022-09/UNDP-Global-Climate-Public-Finance-Review-2022.pdf" TargetMode="External"/><Relationship Id="rId75" Type="http://schemas.openxmlformats.org/officeDocument/2006/relationships/hyperlink" Target="https://www.oecd-ilibrary.org/governance/greening-public-budgets-in-eastern-europe-caucasus-and-central-asia_9789264118331-en"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br.uk/docs/dlm_uploads/Fiscal_risks_report_July_2021.pdf" TargetMode="External"/><Relationship Id="rId23" Type="http://schemas.openxmlformats.org/officeDocument/2006/relationships/hyperlink" Target="https://www.whitehouse.gov/wp-content/uploads/2022/04/ap_21_climate_risk_fy2023.pdf" TargetMode="External"/><Relationship Id="rId28" Type="http://schemas.openxmlformats.org/officeDocument/2006/relationships/hyperlink" Target="https://www.imf.org/en/Publications/Policy-Papers/Issues/2022/08/08/Staff-Guidance-Note-on-the-Sovereign-Risk-and-Debt-Sustainability-Framework-for-Market-521884" TargetMode="External"/><Relationship Id="rId36" Type="http://schemas.openxmlformats.org/officeDocument/2006/relationships/hyperlink" Target="https://www.nature.com/articles/nature15725" TargetMode="External"/><Relationship Id="rId49" Type="http://schemas.openxmlformats.org/officeDocument/2006/relationships/hyperlink" Target="https://www.unep.org/resources/adaptation-gap-report-2022" TargetMode="External"/><Relationship Id="rId57" Type="http://schemas.openxmlformats.org/officeDocument/2006/relationships/hyperlink" Target="https://drgr.org/files/2021/06/DRGR-Report-2021-Securing-Private-Sector-Participation.pdf" TargetMode="External"/><Relationship Id="rId10" Type="http://schemas.openxmlformats.org/officeDocument/2006/relationships/hyperlink" Target="https://www.imf.org/en/Publications/WP/Issues/2016/12/31/The-Fiscal-Costs-of-Contingent-Liabilities-A-New-Dataset-43685" TargetMode="External"/><Relationship Id="rId31" Type="http://schemas.openxmlformats.org/officeDocument/2006/relationships/hyperlink" Target="https://documents1.worldbank.org/curated/en/223161579009566321/pdf/Macro-Financial-Aspects-of-Climate-Change.pdf" TargetMode="External"/><Relationship Id="rId44" Type="http://schemas.openxmlformats.org/officeDocument/2006/relationships/hyperlink" Target="https://www.nature.com/articles/s41560-022-00984-0" TargetMode="External"/><Relationship Id="rId52" Type="http://schemas.openxmlformats.org/officeDocument/2006/relationships/hyperlink" Target="https://www.lse.ac.uk/granthaminstitute/wp-content/uploads/2022/11/IHLEG-Finance-for-Climate-Action.pdf" TargetMode="External"/><Relationship Id="rId60" Type="http://schemas.openxmlformats.org/officeDocument/2006/relationships/hyperlink" Target="https://www.sciencedirect.com/science/article/abs/pii/S030142151830822X" TargetMode="External"/><Relationship Id="rId65" Type="http://schemas.openxmlformats.org/officeDocument/2006/relationships/hyperlink" Target="https://www.oecd-ilibrary.org/governance/more-than-words-potential-roles-for-independent-fiscal-institutions-ifis-in-green-budgeting_6fcb2fb4-en" TargetMode="External"/><Relationship Id="rId73" Type="http://schemas.openxmlformats.org/officeDocument/2006/relationships/hyperlink" Target="https://economy-finance.ec.europa.eu/publications/green-budgeting-practices-eu-first-review_en" TargetMode="External"/><Relationship Id="rId78" Type="http://schemas.openxmlformats.org/officeDocument/2006/relationships/hyperlink" Target="https://www.uncclearn.org/wp-content/uploads/library/Main-Report.pdf" TargetMode="External"/><Relationship Id="rId81" Type="http://schemas.openxmlformats.org/officeDocument/2006/relationships/hyperlink" Target="https://www.sciencedirect.com/science/article/abs/pii/S095965262033755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ne.oecd.org/document/GOV/PGC/SBO(2021)4/en/pdf" TargetMode="External"/><Relationship Id="rId13" Type="http://schemas.openxmlformats.org/officeDocument/2006/relationships/hyperlink" Target="https://www.imf.org/en/Publications/staff-climate-notes/Issues/2022/03/16/Macro-Fiscal-Implications-of-Adaptation-to-Climate-Change-512769" TargetMode="External"/><Relationship Id="rId18" Type="http://schemas.openxmlformats.org/officeDocument/2006/relationships/hyperlink" Target="https://www.jvi.org/special-events/2022/jvi-webinar-climate-webinar-8-fiscal-risks-and-climate-change-in-the-united-kingdom.html" TargetMode="External"/><Relationship Id="rId39" Type="http://schemas.openxmlformats.org/officeDocument/2006/relationships/hyperlink" Target="https://www.sciencedirect.com/science/article/pii/S0095069620300838?ref=pdf_download&amp;fr=RR-2&amp;rr=81517b1e9a8d0610" TargetMode="External"/><Relationship Id="rId34" Type="http://schemas.openxmlformats.org/officeDocument/2006/relationships/hyperlink" Target="https://milkeninstitute.org/article/climate-change-macro-policy" TargetMode="External"/><Relationship Id="rId50" Type="http://schemas.openxmlformats.org/officeDocument/2006/relationships/hyperlink" Target="https://doi.org/10.1016/j.enpol.2020.111305" TargetMode="External"/><Relationship Id="rId55" Type="http://schemas.openxmlformats.org/officeDocument/2006/relationships/hyperlink" Target="https://www.cgdev.org/sites/default/files/what-would-ideal-development-and-climate-mdb-look.pdf" TargetMode="External"/><Relationship Id="rId76" Type="http://schemas.openxmlformats.org/officeDocument/2006/relationships/hyperlink" Target="https://www.oecd.org/publications/green-budgeting-in-oecd-countries-acf5d047-en.htm" TargetMode="External"/><Relationship Id="rId7" Type="http://schemas.openxmlformats.org/officeDocument/2006/relationships/endnotes" Target="endnotes.xml"/><Relationship Id="rId71" Type="http://schemas.openxmlformats.org/officeDocument/2006/relationships/hyperlink" Target="https://www.cabri-sbo.org/en/publications/inclusive-budgeting-and-financing-for-climate-change-in-africa" TargetMode="External"/><Relationship Id="rId2" Type="http://schemas.openxmlformats.org/officeDocument/2006/relationships/numbering" Target="numbering.xml"/><Relationship Id="rId29" Type="http://schemas.openxmlformats.org/officeDocument/2006/relationships/hyperlink" Target="https://www.nature.com/articles/nclimate3255" TargetMode="External"/><Relationship Id="rId24" Type="http://schemas.openxmlformats.org/officeDocument/2006/relationships/hyperlink" Target="https://www.whitehouse.gov/wp-content/uploads/2022/04/spec_fy2023.pdf" TargetMode="External"/><Relationship Id="rId40" Type="http://schemas.openxmlformats.org/officeDocument/2006/relationships/hyperlink" Target="https://www.nature.com/articles/s41586-024-07219-0" TargetMode="External"/><Relationship Id="rId45" Type="http://schemas.openxmlformats.org/officeDocument/2006/relationships/hyperlink" Target="https://www.sciencedirect.com/science/article/pii/S0095069617308392" TargetMode="External"/><Relationship Id="rId66" Type="http://schemas.openxmlformats.org/officeDocument/2006/relationships/hyperlink" Target="https://www.imf.org/en/Topics/climate-change/staff-climate-notes" TargetMode="External"/><Relationship Id="rId87" Type="http://schemas.openxmlformats.org/officeDocument/2006/relationships/theme" Target="theme/theme1.xml"/><Relationship Id="rId61" Type="http://schemas.openxmlformats.org/officeDocument/2006/relationships/hyperlink" Target="https://www.sciencedirect.com/science/article/abs/pii/S0301421517303932" TargetMode="External"/><Relationship Id="rId82" Type="http://schemas.openxmlformats.org/officeDocument/2006/relationships/hyperlink" Target="https://www.emerald.com/insight/content/doi/10.1108/JOPP-03-2019-0017/fu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AE7B6-DB65-4FFD-9833-5EB70A372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10490</Words>
  <Characters>59798</Characters>
  <Application>Microsoft Office Word</Application>
  <DocSecurity>0</DocSecurity>
  <Lines>498</Lines>
  <Paragraphs>140</Paragraphs>
  <ScaleCrop>false</ScaleCrop>
  <Company>WBG</Company>
  <LinksUpToDate>false</LinksUpToDate>
  <CharactersWithSpaces>70148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52</cp:revision>
  <dcterms:created xsi:type="dcterms:W3CDTF">2024-07-17T17:58:00Z</dcterms:created>
  <dcterms:modified xsi:type="dcterms:W3CDTF">2026-09-04T20:14:00Z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64a4b85e,18df45a7,3fa03359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2026-09-04T20:12:56Z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57b8d703-1752-470e-a3a2-dc9f6756412b</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