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355D1" w14:textId="52724613" w:rsidR="003906FC" w:rsidRDefault="003906FC" w:rsidP="003906FC">
      <w:pPr>
        <w:pStyle w:val="Heading2"/>
      </w:pPr>
      <w:r>
        <w:t>Brief on WB Corporate Commitments (governance angle).</w:t>
      </w:r>
    </w:p>
    <w:p w14:paraId="1395CAD9" w14:textId="77777777" w:rsidR="003906FC" w:rsidRPr="003906FC" w:rsidRDefault="003906FC" w:rsidP="003906FC"/>
    <w:p w14:paraId="18A1026B" w14:textId="58610255" w:rsidR="00734088" w:rsidRDefault="00734088">
      <w:r w:rsidRPr="00734088">
        <w:t xml:space="preserve">The World Bank has made important climate change corporate </w:t>
      </w:r>
      <w:r w:rsidRPr="00494E2D">
        <w:rPr>
          <w:rStyle w:val="Emphasis"/>
        </w:rPr>
        <w:t>commitments</w:t>
      </w:r>
      <w:r w:rsidRPr="00734088">
        <w:t xml:space="preserve"> and established targets to integrate climate considerations in operations and country strategies</w:t>
      </w:r>
      <w:r>
        <w:t>.</w:t>
      </w:r>
    </w:p>
    <w:p w14:paraId="6E4C7BF1" w14:textId="77777777" w:rsidR="006F018C" w:rsidRPr="008F5A58" w:rsidRDefault="00A420C3" w:rsidP="008F5A58">
      <w:pPr>
        <w:rPr>
          <w:b/>
          <w:bCs/>
        </w:rPr>
      </w:pPr>
      <w:r w:rsidRPr="008F5A58">
        <w:t xml:space="preserve">There are five corporate commitments to mainstream climate change in Word Bank operations: </w:t>
      </w:r>
      <w:r w:rsidRPr="008F5A58">
        <w:rPr>
          <w:b/>
          <w:bCs/>
        </w:rPr>
        <w:t xml:space="preserve">Climate and Disaster Risk Screening; Climate Indicators; Climate Finance (Co-Benefits) Tracking; GHG Accounting; and use of the Shadow Price of Carbon in economic appraisal. </w:t>
      </w:r>
    </w:p>
    <w:p w14:paraId="40AC1861" w14:textId="6E020B59" w:rsidR="00A420C3" w:rsidRPr="008F5A58" w:rsidRDefault="00A420C3" w:rsidP="008F5A58">
      <w:r w:rsidRPr="008F5A58">
        <w:t>Only the first three of the five climate change corporate commitments are relevant to most Governance projects because most Governance projects support institutional development and relate to activities that do not generate significant GHG emissions. The Governance Practice plays a leading role in the implementation of this strategy, through its work with center of government, planning and finance agencies, inter-governmental relations, governance of State-Owned Enterprises, and open government initiatives.</w:t>
      </w:r>
    </w:p>
    <w:p w14:paraId="5DC8FDDF" w14:textId="77777777" w:rsidR="00494E2D" w:rsidRPr="008F5A58" w:rsidRDefault="00494E2D" w:rsidP="00494E2D">
      <w:pPr>
        <w:rPr>
          <w:b/>
          <w:bCs/>
          <w:i/>
          <w:iCs/>
        </w:rPr>
      </w:pPr>
      <w:r w:rsidRPr="008F5A58">
        <w:rPr>
          <w:b/>
          <w:bCs/>
          <w:i/>
          <w:iCs/>
        </w:rPr>
        <w:t xml:space="preserve">Climate and Disaster Risk Screening  </w:t>
      </w:r>
    </w:p>
    <w:p w14:paraId="2526EDC7" w14:textId="764E4EC1" w:rsidR="00494E2D" w:rsidRPr="008F5A58" w:rsidRDefault="00494E2D" w:rsidP="008F5A58">
      <w:r w:rsidRPr="008F5A58">
        <w:t xml:space="preserve">Screening seeks to assess the impact of climate change on projects and identify project-specific climate change and disaster risks, vulnerabilities, and opportunities. Screening is a requirement for all IDA and IBRD operations. Task teams are responsible for conducting the screening at Concept Stage. Climate and Disaster Risk Screening helps task teams: assess climate vulnerability context for the country and sector; identify and propose activities to address the climate change and disaster risks and vulnerabilities facing the project; identify activities generating adaptation co-benefits that could be included in the project. </w:t>
      </w:r>
    </w:p>
    <w:p w14:paraId="617CB925" w14:textId="77777777" w:rsidR="00494E2D" w:rsidRPr="008F5A58" w:rsidRDefault="00494E2D" w:rsidP="00494E2D">
      <w:pPr>
        <w:rPr>
          <w:b/>
          <w:bCs/>
          <w:i/>
          <w:iCs/>
        </w:rPr>
      </w:pPr>
      <w:r w:rsidRPr="008F5A58">
        <w:rPr>
          <w:b/>
          <w:bCs/>
          <w:i/>
          <w:iCs/>
        </w:rPr>
        <w:t>Climate Indicators</w:t>
      </w:r>
    </w:p>
    <w:p w14:paraId="5423B85C" w14:textId="3D41146A" w:rsidR="00494E2D" w:rsidRPr="008F5A58" w:rsidRDefault="00494E2D" w:rsidP="008F5A58">
      <w:r>
        <w:t>As the World Bank increases the volume of climate-related finance, it also needs to focus on projects’ contributions to climate-related outputs and outcomes. T</w:t>
      </w:r>
      <w:r w:rsidRPr="00E54DB3">
        <w:t>he World Bank has committed to measuring results of its climate-related interventions through climate indicators</w:t>
      </w:r>
      <w:r>
        <w:t>. S</w:t>
      </w:r>
      <w:r w:rsidRPr="004C0279">
        <w:t>tarting in FY21, all IDA/IBRD lending operations with 20</w:t>
      </w:r>
      <w:r>
        <w:t xml:space="preserve"> percent</w:t>
      </w:r>
      <w:r w:rsidRPr="004C0279">
        <w:t xml:space="preserve"> or more Climate Co-Benefits are expected to include at least one climate indicator in the operation’s Results Framework</w:t>
      </w:r>
      <w:r w:rsidRPr="008F5A58">
        <w:t xml:space="preserve"> </w:t>
      </w:r>
      <w:r w:rsidRPr="008F5A58">
        <w:footnoteReference w:id="1"/>
      </w:r>
      <w:r w:rsidRPr="00E54DB3">
        <w:t>.</w:t>
      </w:r>
      <w:r w:rsidR="00661583" w:rsidRPr="008F5A58">
        <w:t xml:space="preserve"> </w:t>
      </w:r>
      <w:r w:rsidRPr="008F5A58">
        <w:t xml:space="preserve">Climate Indicators monitor and track the progress of interventions that contribute toward low-carbon pathways or/and reduce vulnerability to climate change impacts. Climate indicators must be rooted in an operation’s theory of change: the causal linkage to climate change results must be explicitly established in the indicator name or description for an indicator to be considered as valid. </w:t>
      </w:r>
    </w:p>
    <w:p w14:paraId="10B7E2E3" w14:textId="77777777" w:rsidR="00494E2D" w:rsidRPr="008F5A58" w:rsidRDefault="00494E2D" w:rsidP="008F5A58">
      <w:pPr>
        <w:rPr>
          <w:b/>
          <w:bCs/>
          <w:i/>
          <w:iCs/>
        </w:rPr>
      </w:pPr>
      <w:r w:rsidRPr="008F5A58">
        <w:rPr>
          <w:b/>
          <w:bCs/>
          <w:i/>
          <w:iCs/>
        </w:rPr>
        <w:t xml:space="preserve">Climate Co-Benefits </w:t>
      </w:r>
    </w:p>
    <w:p w14:paraId="2201A425" w14:textId="178D6C40" w:rsidR="003906FC" w:rsidRPr="008F5A58" w:rsidRDefault="0001460E" w:rsidP="008F5A58">
      <w:r w:rsidRPr="008F5A58">
        <w:t xml:space="preserve">The World Bank refers to its climate finance commitments as “climate co-benefits”: financing that has a development purpose that will also contribute to the achievement of climate change objectives. The World Bank has committed to increasing the climate co-benefits share of its total commitments from 28 percent in FY2015-19 to an average of at least 35 percent in FY2021-25. </w:t>
      </w:r>
      <w:r w:rsidR="008F5A58">
        <w:t xml:space="preserve">There </w:t>
      </w:r>
      <w:r w:rsidR="00661583" w:rsidRPr="008F5A58">
        <w:t>are two distinct methodologies for tracking climate co-benefits: one for mitigation finance and one for adaptation finance.</w:t>
      </w:r>
    </w:p>
    <w:p w14:paraId="0EADA267" w14:textId="6ABE5E9A" w:rsidR="00661583" w:rsidRPr="009B4879" w:rsidRDefault="00661583" w:rsidP="009B4879">
      <w:pPr>
        <w:rPr>
          <w:rStyle w:val="SubtleReference"/>
        </w:rPr>
      </w:pPr>
      <w:r w:rsidRPr="009B4879">
        <w:rPr>
          <w:rStyle w:val="SubtleReference"/>
        </w:rPr>
        <w:lastRenderedPageBreak/>
        <w:t xml:space="preserve">Mitigation Finance </w:t>
      </w:r>
    </w:p>
    <w:p w14:paraId="363C0D01" w14:textId="74B7BEFD" w:rsidR="00661583" w:rsidRPr="008F5A58" w:rsidRDefault="00661583" w:rsidP="008F5A58">
      <w:r w:rsidRPr="008F5A58">
        <w:t>Mitigation co-benefits are calculated for activities that promote efforts towards the reduction, limitation, or sequestration of GHG emissions. Following the Joint Methodology</w:t>
      </w:r>
      <w:r w:rsidR="008F5A58">
        <w:t xml:space="preserve"> developed with MDBs</w:t>
      </w:r>
      <w:r w:rsidRPr="008F5A58">
        <w:t>, m</w:t>
      </w:r>
      <w:r w:rsidRPr="0074723B">
        <w:t>itigation co-benefits are restricted to a pre-defined list of activities that are compatible with low-emission pathways under the Paris Agreement</w:t>
      </w:r>
      <w:r w:rsidR="0000136D">
        <w:t xml:space="preserve">. </w:t>
      </w:r>
      <w:r w:rsidRPr="0074723B">
        <w:t xml:space="preserve"> </w:t>
      </w:r>
      <w:r w:rsidRPr="00271054">
        <w:t xml:space="preserve">Virtually, all GOV activities are cross-sectoral, </w:t>
      </w:r>
      <w:r w:rsidR="0000136D" w:rsidRPr="00271054">
        <w:t>except for</w:t>
      </w:r>
      <w:r w:rsidRPr="00271054">
        <w:t xml:space="preserve"> investments in Gov-Tech, government buildings, facilities, and equipment </w:t>
      </w:r>
      <w:r w:rsidR="001B4CEF" w:rsidRPr="00271054">
        <w:t>(</w:t>
      </w:r>
      <w:r w:rsidR="001B4CEF">
        <w:t>i.e.</w:t>
      </w:r>
      <w:r w:rsidR="0000136D">
        <w:t xml:space="preserve">, </w:t>
      </w:r>
      <w:r w:rsidR="001D1489" w:rsidRPr="008F5A58">
        <w:t>e</w:t>
      </w:r>
      <w:r w:rsidR="0000136D" w:rsidRPr="008F5A58">
        <w:t xml:space="preserve">nergy </w:t>
      </w:r>
      <w:r w:rsidR="001D1489" w:rsidRPr="008F5A58">
        <w:t>e</w:t>
      </w:r>
      <w:r w:rsidR="0000136D" w:rsidRPr="008F5A58">
        <w:t>fficiency improvement, renewable energy deployment, or CO2e-emission reduction in existing data centers</w:t>
      </w:r>
      <w:r w:rsidR="001D1489" w:rsidRPr="008F5A58">
        <w:t>, telecommunication networks, greenfield data centers supplied by on-site renewable energy, digitalization of service delivery resulting of reduction in travel or material use</w:t>
      </w:r>
      <w:r w:rsidR="001B4CEF" w:rsidRPr="008F5A58">
        <w:t>)</w:t>
      </w:r>
      <w:r w:rsidR="001D1489" w:rsidRPr="008F5A58">
        <w:t xml:space="preserve">. </w:t>
      </w:r>
    </w:p>
    <w:p w14:paraId="5D6673BE" w14:textId="77777777" w:rsidR="001D1489" w:rsidRPr="009B4879" w:rsidRDefault="001D1489" w:rsidP="008F5A58">
      <w:pPr>
        <w:rPr>
          <w:rStyle w:val="SubtleReference"/>
        </w:rPr>
      </w:pPr>
      <w:r w:rsidRPr="009B4879">
        <w:rPr>
          <w:rStyle w:val="SubtleReference"/>
        </w:rPr>
        <w:t xml:space="preserve">Adaptation Finance </w:t>
      </w:r>
    </w:p>
    <w:p w14:paraId="17534087" w14:textId="5E8E8F4E" w:rsidR="001D4505" w:rsidRPr="008F5A58" w:rsidRDefault="001D4505" w:rsidP="008F5A58">
      <w:r w:rsidRPr="008F5A58">
        <w:t xml:space="preserve">Adaptation co-benefits are the estimated incremental cost or investment associated with any discrete components, sub-components, activities, DLIs and prior actions of the project that address risk and vulnerabilities under current and future conditions of climate change and the improved resilience resulting from the investment. </w:t>
      </w:r>
    </w:p>
    <w:p w14:paraId="2767E657" w14:textId="77777777" w:rsidR="007A760E" w:rsidRPr="009B4879" w:rsidRDefault="007A760E" w:rsidP="008F5A58">
      <w:pPr>
        <w:rPr>
          <w:rStyle w:val="BookTitle"/>
        </w:rPr>
      </w:pPr>
      <w:r w:rsidRPr="009B4879">
        <w:rPr>
          <w:rStyle w:val="BookTitle"/>
        </w:rPr>
        <w:t>Mainstreaming Climate Change in Governance Operations</w:t>
      </w:r>
      <w:r w:rsidRPr="009B4879" w:rsidDel="006C5D3F">
        <w:rPr>
          <w:rStyle w:val="BookTitle"/>
        </w:rPr>
        <w:t xml:space="preserve"> </w:t>
      </w:r>
      <w:r w:rsidRPr="009B4879">
        <w:rPr>
          <w:rStyle w:val="BookTitle"/>
        </w:rPr>
        <w:t xml:space="preserve"> </w:t>
      </w:r>
    </w:p>
    <w:p w14:paraId="57FC68D4" w14:textId="26B08073" w:rsidR="007A760E" w:rsidRDefault="007A760E" w:rsidP="008F5A58">
      <w:r w:rsidRPr="008F5A58">
        <w:t xml:space="preserve">Mainstreaming </w:t>
      </w:r>
      <w:r w:rsidR="009B4879">
        <w:t xml:space="preserve">climate change in governance operations </w:t>
      </w:r>
      <w:r w:rsidRPr="008F5A58">
        <w:t>usually entails adjustments in existing institutions, functions, and systems rather than their creation or fundamental redesign.</w:t>
      </w:r>
      <w:r w:rsidR="00C6396C" w:rsidRPr="008F5A58">
        <w:t xml:space="preserve"> </w:t>
      </w:r>
      <w:r w:rsidR="00C6396C" w:rsidRPr="00CF3AE4">
        <w:t>Most of the</w:t>
      </w:r>
      <w:r w:rsidR="00C6396C">
        <w:t xml:space="preserve"> climate</w:t>
      </w:r>
      <w:r w:rsidR="00C6396C" w:rsidRPr="00CF3AE4">
        <w:t xml:space="preserve"> co-benefits </w:t>
      </w:r>
      <w:r w:rsidR="00C6396C">
        <w:t xml:space="preserve">from GOV business lines come from activities in the areas of </w:t>
      </w:r>
      <w:r w:rsidR="00C6396C" w:rsidRPr="00CF3AE4">
        <w:t>public financial management, public investment management</w:t>
      </w:r>
      <w:r w:rsidR="00C6396C">
        <w:t>, center of government and sub-national government</w:t>
      </w:r>
      <w:r w:rsidR="00C6396C" w:rsidRPr="00CF3AE4">
        <w:t>.</w:t>
      </w:r>
      <w:r w:rsidR="00C6396C">
        <w:t xml:space="preserve"> </w:t>
      </w:r>
      <w:r w:rsidRPr="008F5A58">
        <w:t xml:space="preserve">Only the incremental costs – that part of the financing directly supporting the integration of climate change considerations in these institutions, </w:t>
      </w:r>
      <w:r w:rsidR="009B4879" w:rsidRPr="008F5A58">
        <w:t>functions,</w:t>
      </w:r>
      <w:r w:rsidRPr="008F5A58">
        <w:t xml:space="preserve"> and systems – can be assigned to climate co-benefits.  </w:t>
      </w:r>
    </w:p>
    <w:p w14:paraId="5C3C89B4" w14:textId="79C5DADF" w:rsidR="009B4879" w:rsidRPr="003906FC" w:rsidRDefault="009B4879" w:rsidP="003906FC">
      <w:pPr>
        <w:spacing w:before="120" w:after="120" w:line="240" w:lineRule="auto"/>
        <w:jc w:val="both"/>
        <w:rPr>
          <w:rFonts w:cstheme="minorHAnsi"/>
          <w:color w:val="1E2327"/>
          <w:szCs w:val="24"/>
          <w:shd w:val="clear" w:color="auto" w:fill="FFFFFF"/>
        </w:rPr>
      </w:pPr>
      <w:r>
        <w:t>There are three main lending instruments to finance climate</w:t>
      </w:r>
      <w:r w:rsidR="002F4009">
        <w:t xml:space="preserve"> change related</w:t>
      </w:r>
      <w:r>
        <w:t xml:space="preserve"> project</w:t>
      </w:r>
      <w:r w:rsidR="002F4009">
        <w:t xml:space="preserve">s: </w:t>
      </w:r>
      <w:r w:rsidR="002F4009" w:rsidRPr="003906FC">
        <w:rPr>
          <w:b/>
          <w:bCs/>
        </w:rPr>
        <w:t>Investment Project Financing (IPF), Development Policy Loan (DPL), and Program for Results (</w:t>
      </w:r>
      <w:proofErr w:type="spellStart"/>
      <w:r w:rsidR="002F4009" w:rsidRPr="003906FC">
        <w:rPr>
          <w:b/>
          <w:bCs/>
        </w:rPr>
        <w:t>PforRs</w:t>
      </w:r>
      <w:proofErr w:type="spellEnd"/>
      <w:r w:rsidR="002F4009" w:rsidRPr="003906FC">
        <w:rPr>
          <w:b/>
          <w:bCs/>
        </w:rPr>
        <w:t>).</w:t>
      </w:r>
      <w:r w:rsidR="002F4009">
        <w:t xml:space="preserve"> </w:t>
      </w:r>
      <w:r w:rsidR="002F4009">
        <w:rPr>
          <w:rFonts w:cstheme="minorHAnsi"/>
          <w:szCs w:val="24"/>
        </w:rPr>
        <w:t xml:space="preserve">In the case of IPF operations climate co-benefits are </w:t>
      </w:r>
      <w:r w:rsidR="002F4009">
        <w:rPr>
          <w:rFonts w:cstheme="minorHAnsi"/>
          <w:color w:val="1E2327"/>
          <w:szCs w:val="24"/>
          <w:shd w:val="clear" w:color="auto" w:fill="FFFFFF"/>
        </w:rPr>
        <w:t>assessed for project c</w:t>
      </w:r>
      <w:r w:rsidR="002F4009" w:rsidRPr="00BF630C">
        <w:rPr>
          <w:rFonts w:cstheme="minorHAnsi"/>
          <w:color w:val="1E2327"/>
          <w:szCs w:val="24"/>
          <w:shd w:val="clear" w:color="auto" w:fill="FFFFFF"/>
        </w:rPr>
        <w:t>omponents</w:t>
      </w:r>
      <w:r w:rsidR="002F4009">
        <w:rPr>
          <w:rFonts w:cstheme="minorHAnsi"/>
          <w:color w:val="1E2327"/>
          <w:szCs w:val="24"/>
          <w:shd w:val="clear" w:color="auto" w:fill="FFFFFF"/>
        </w:rPr>
        <w:t>, s</w:t>
      </w:r>
      <w:r w:rsidR="002F4009" w:rsidRPr="00BF630C">
        <w:rPr>
          <w:rFonts w:cstheme="minorHAnsi"/>
          <w:color w:val="1E2327"/>
          <w:szCs w:val="24"/>
          <w:shd w:val="clear" w:color="auto" w:fill="FFFFFF"/>
        </w:rPr>
        <w:t>ub-components</w:t>
      </w:r>
      <w:r w:rsidR="002F4009">
        <w:rPr>
          <w:rFonts w:cstheme="minorHAnsi"/>
          <w:color w:val="1E2327"/>
          <w:szCs w:val="24"/>
          <w:shd w:val="clear" w:color="auto" w:fill="FFFFFF"/>
        </w:rPr>
        <w:t xml:space="preserve">, or activities; for IPF with PBCs, climate co-benefits are assessed for performance-based conditions; and </w:t>
      </w:r>
      <w:proofErr w:type="spellStart"/>
      <w:r w:rsidR="002F4009">
        <w:rPr>
          <w:rFonts w:cstheme="minorHAnsi"/>
          <w:color w:val="1E2327"/>
          <w:szCs w:val="24"/>
          <w:shd w:val="clear" w:color="auto" w:fill="FFFFFF"/>
        </w:rPr>
        <w:t>PforR</w:t>
      </w:r>
      <w:proofErr w:type="spellEnd"/>
      <w:r w:rsidR="002F4009">
        <w:rPr>
          <w:rFonts w:cstheme="minorHAnsi"/>
          <w:color w:val="1E2327"/>
          <w:szCs w:val="24"/>
          <w:shd w:val="clear" w:color="auto" w:fill="FFFFFF"/>
        </w:rPr>
        <w:t xml:space="preserve"> operations, climate co-benefits assessed for </w:t>
      </w:r>
      <w:r w:rsidR="002F4009" w:rsidRPr="00BF630C">
        <w:rPr>
          <w:rFonts w:cstheme="minorHAnsi"/>
          <w:color w:val="1E2327"/>
          <w:szCs w:val="24"/>
          <w:shd w:val="clear" w:color="auto" w:fill="FFFFFF"/>
        </w:rPr>
        <w:t>Disbursement Linked Indicators (DLIs)</w:t>
      </w:r>
      <w:r w:rsidR="002F4009">
        <w:rPr>
          <w:rFonts w:cstheme="minorHAnsi"/>
          <w:color w:val="1E2327"/>
          <w:szCs w:val="24"/>
          <w:shd w:val="clear" w:color="auto" w:fill="FFFFFF"/>
        </w:rPr>
        <w:t xml:space="preserve">; for DPOs climate co-benefits are assessed for </w:t>
      </w:r>
      <w:r w:rsidR="002F4009" w:rsidRPr="00BF630C">
        <w:rPr>
          <w:rFonts w:cstheme="minorHAnsi"/>
          <w:color w:val="1E2327"/>
          <w:szCs w:val="24"/>
          <w:shd w:val="clear" w:color="auto" w:fill="FFFFFF"/>
        </w:rPr>
        <w:t>Prior Actions.</w:t>
      </w:r>
      <w:r w:rsidR="002F4009">
        <w:rPr>
          <w:rFonts w:cstheme="minorHAnsi"/>
          <w:color w:val="1E2327"/>
          <w:szCs w:val="24"/>
          <w:shd w:val="clear" w:color="auto" w:fill="FFFFFF"/>
        </w:rPr>
        <w:t xml:space="preserve">  </w:t>
      </w:r>
    </w:p>
    <w:p w14:paraId="2B56EC18" w14:textId="36867648" w:rsidR="00A420C3" w:rsidRDefault="007A760E">
      <w:r w:rsidRPr="008F5A58">
        <w:t xml:space="preserve">Governance DPOs, </w:t>
      </w:r>
      <w:proofErr w:type="spellStart"/>
      <w:r w:rsidRPr="008F5A58">
        <w:t>PforRs</w:t>
      </w:r>
      <w:proofErr w:type="spellEnd"/>
      <w:r w:rsidRPr="008F5A58">
        <w:t xml:space="preserve"> and IPF/PBCs offer greater potential for generating climate co-benefits than IPFs. In the case of IPFs, co-benefits are limited to the cost of inputs for climate-related project activities. These costs tend to be modest when the inputs are primarily technical assistance.  In the case of DPOs, </w:t>
      </w:r>
      <w:proofErr w:type="spellStart"/>
      <w:r w:rsidRPr="008F5A58">
        <w:t>PforRs</w:t>
      </w:r>
      <w:proofErr w:type="spellEnd"/>
      <w:r w:rsidRPr="008F5A58">
        <w:t xml:space="preserve"> and IPF/PBCs, financing is assigned to Prior Actions, PBCs and DLIs </w:t>
      </w:r>
      <w:proofErr w:type="gramStart"/>
      <w:r w:rsidRPr="008F5A58">
        <w:t>taking into account</w:t>
      </w:r>
      <w:proofErr w:type="gramEnd"/>
      <w:r w:rsidRPr="008F5A58">
        <w:t xml:space="preserve"> their development impact. Consequently, the financing assigned to the integration of climate change considerations in policies, institutions, </w:t>
      </w:r>
      <w:r w:rsidR="003906FC" w:rsidRPr="008F5A58">
        <w:t>functions,</w:t>
      </w:r>
      <w:r w:rsidRPr="008F5A58">
        <w:t xml:space="preserve"> and systems can be significantly higher than the direct cost of implementing the reforms.   </w:t>
      </w:r>
      <w:r w:rsidR="003906FC" w:rsidRPr="008F5A58">
        <w:t xml:space="preserve">The Governance GP has increased its share of co-benefits from 1 percent in FY2017 to 11 percent in FY2020 and 13 percent in FY2021.  </w:t>
      </w:r>
      <w:r w:rsidR="003906FC">
        <w:t>However,</w:t>
      </w:r>
      <w:r w:rsidR="003906FC" w:rsidRPr="00CF3AE4">
        <w:t xml:space="preserve"> </w:t>
      </w:r>
      <w:r w:rsidR="003906FC">
        <w:t xml:space="preserve">half of the co-benefits over this period have been </w:t>
      </w:r>
      <w:r w:rsidR="003906FC" w:rsidRPr="00CF3AE4">
        <w:t>generated from activities</w:t>
      </w:r>
      <w:r w:rsidR="003906FC">
        <w:t xml:space="preserve"> that are not related to Governance Practice business lines, instead the co-benefits come from activities that managed by </w:t>
      </w:r>
      <w:r w:rsidR="003906FC" w:rsidRPr="00CF3AE4">
        <w:t xml:space="preserve">other GPs (water, agriculture, transport, </w:t>
      </w:r>
      <w:r w:rsidR="003906FC">
        <w:t>energy</w:t>
      </w:r>
      <w:r w:rsidR="003906FC" w:rsidRPr="00CF3AE4">
        <w:t>)</w:t>
      </w:r>
      <w:r w:rsidR="003906FC">
        <w:t xml:space="preserve"> in Governance-mapped projects. Furthermore, the share of co-benefits from activities in Governance business lines has fallen from FY20 to FY21.</w:t>
      </w:r>
      <w:r w:rsidR="003906FC" w:rsidRPr="008F5A58">
        <w:t xml:space="preserve"> </w:t>
      </w:r>
      <w:r w:rsidR="003906FC">
        <w:t xml:space="preserve"> </w:t>
      </w:r>
    </w:p>
    <w:sectPr w:rsidR="00A420C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06589F" w14:textId="77777777" w:rsidR="00E364F8" w:rsidRDefault="00E364F8" w:rsidP="00494E2D">
      <w:pPr>
        <w:spacing w:after="0" w:line="240" w:lineRule="auto"/>
      </w:pPr>
      <w:r>
        <w:separator/>
      </w:r>
    </w:p>
  </w:endnote>
  <w:endnote w:type="continuationSeparator" w:id="0">
    <w:p w14:paraId="72A27E72" w14:textId="77777777" w:rsidR="00E364F8" w:rsidRDefault="00E364F8" w:rsidP="00494E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7527EC" w14:textId="77777777" w:rsidR="00E364F8" w:rsidRDefault="00E364F8" w:rsidP="00494E2D">
      <w:pPr>
        <w:spacing w:after="0" w:line="240" w:lineRule="auto"/>
      </w:pPr>
      <w:r>
        <w:separator/>
      </w:r>
    </w:p>
  </w:footnote>
  <w:footnote w:type="continuationSeparator" w:id="0">
    <w:p w14:paraId="207CBAB1" w14:textId="77777777" w:rsidR="00E364F8" w:rsidRDefault="00E364F8" w:rsidP="00494E2D">
      <w:pPr>
        <w:spacing w:after="0" w:line="240" w:lineRule="auto"/>
      </w:pPr>
      <w:r>
        <w:continuationSeparator/>
      </w:r>
    </w:p>
  </w:footnote>
  <w:footnote w:id="1">
    <w:p w14:paraId="7AFECF06" w14:textId="77777777" w:rsidR="00494E2D" w:rsidRDefault="00494E2D" w:rsidP="00494E2D">
      <w:pPr>
        <w:pStyle w:val="FootnoteText"/>
      </w:pPr>
      <w:r>
        <w:rPr>
          <w:rStyle w:val="FootnoteReference"/>
        </w:rPr>
        <w:footnoteRef/>
      </w:r>
      <w:r>
        <w:t xml:space="preserve"> </w:t>
      </w:r>
      <w:r w:rsidRPr="004C0279">
        <w:t>IDA19 Policy Commitments and WBG 2025 Targets and Actions.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E6711"/>
    <w:multiLevelType w:val="hybridMultilevel"/>
    <w:tmpl w:val="93247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88"/>
    <w:rsid w:val="0000136D"/>
    <w:rsid w:val="0001460E"/>
    <w:rsid w:val="00181A96"/>
    <w:rsid w:val="001B4CEF"/>
    <w:rsid w:val="001D1489"/>
    <w:rsid w:val="001D4505"/>
    <w:rsid w:val="002F4009"/>
    <w:rsid w:val="003906FC"/>
    <w:rsid w:val="00494E2D"/>
    <w:rsid w:val="00661583"/>
    <w:rsid w:val="006F018C"/>
    <w:rsid w:val="00734088"/>
    <w:rsid w:val="007A760E"/>
    <w:rsid w:val="008F5A58"/>
    <w:rsid w:val="009B4879"/>
    <w:rsid w:val="00A420C3"/>
    <w:rsid w:val="00BF13F9"/>
    <w:rsid w:val="00C6396C"/>
    <w:rsid w:val="00E36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DD2496C"/>
  <w15:docId w15:val="{575C2390-D5BD-45BA-A9AD-049772255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3906F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420C3"/>
    <w:pPr>
      <w:spacing w:before="100" w:beforeAutospacing="1" w:after="100" w:afterAutospacing="1" w:line="240" w:lineRule="auto"/>
    </w:pPr>
    <w:rPr>
      <w:rFonts w:ascii="Times New Roman" w:eastAsia="Times New Roman" w:hAnsi="Times New Roman" w:cs="Times New Roman"/>
      <w:sz w:val="24"/>
      <w:szCs w:val="24"/>
      <w:lang w:eastAsia="ko-KR"/>
    </w:rPr>
  </w:style>
  <w:style w:type="character" w:styleId="Hyperlink">
    <w:name w:val="Hyperlink"/>
    <w:basedOn w:val="DefaultParagraphFont"/>
    <w:uiPriority w:val="99"/>
    <w:unhideWhenUsed/>
    <w:rsid w:val="00494E2D"/>
    <w:rPr>
      <w:color w:val="0000FF"/>
      <w:u w:val="single"/>
    </w:rPr>
  </w:style>
  <w:style w:type="paragraph" w:styleId="FootnoteText">
    <w:name w:val="footnote text"/>
    <w:basedOn w:val="Normal"/>
    <w:link w:val="FootnoteTextChar"/>
    <w:uiPriority w:val="99"/>
    <w:semiHidden/>
    <w:unhideWhenUsed/>
    <w:rsid w:val="00494E2D"/>
    <w:pPr>
      <w:spacing w:after="0" w:line="240" w:lineRule="auto"/>
    </w:pPr>
    <w:rPr>
      <w:rFonts w:eastAsiaTheme="minorEastAsia"/>
      <w:sz w:val="20"/>
      <w:szCs w:val="20"/>
      <w:lang w:eastAsia="ko-KR"/>
    </w:rPr>
  </w:style>
  <w:style w:type="character" w:customStyle="1" w:styleId="FootnoteTextChar">
    <w:name w:val="Footnote Text Char"/>
    <w:basedOn w:val="DefaultParagraphFont"/>
    <w:link w:val="FootnoteText"/>
    <w:uiPriority w:val="99"/>
    <w:semiHidden/>
    <w:rsid w:val="00494E2D"/>
    <w:rPr>
      <w:rFonts w:eastAsiaTheme="minorEastAsia"/>
      <w:sz w:val="20"/>
      <w:szCs w:val="20"/>
      <w:lang w:eastAsia="ko-KR"/>
    </w:rPr>
  </w:style>
  <w:style w:type="character" w:styleId="FootnoteReference">
    <w:name w:val="footnote reference"/>
    <w:basedOn w:val="DefaultParagraphFont"/>
    <w:uiPriority w:val="99"/>
    <w:semiHidden/>
    <w:unhideWhenUsed/>
    <w:rsid w:val="00494E2D"/>
    <w:rPr>
      <w:vertAlign w:val="superscript"/>
    </w:rPr>
  </w:style>
  <w:style w:type="character" w:styleId="FollowedHyperlink">
    <w:name w:val="FollowedHyperlink"/>
    <w:basedOn w:val="DefaultParagraphFont"/>
    <w:uiPriority w:val="99"/>
    <w:semiHidden/>
    <w:unhideWhenUsed/>
    <w:rsid w:val="00494E2D"/>
    <w:rPr>
      <w:color w:val="954F72" w:themeColor="followedHyperlink"/>
      <w:u w:val="single"/>
    </w:rPr>
  </w:style>
  <w:style w:type="paragraph" w:styleId="Title">
    <w:name w:val="Title"/>
    <w:basedOn w:val="Normal"/>
    <w:next w:val="Normal"/>
    <w:link w:val="TitleChar"/>
    <w:uiPriority w:val="10"/>
    <w:qFormat/>
    <w:rsid w:val="00494E2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4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4E2D"/>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4E2D"/>
    <w:rPr>
      <w:rFonts w:eastAsiaTheme="minorEastAsia"/>
      <w:color w:val="5A5A5A" w:themeColor="text1" w:themeTint="A5"/>
      <w:spacing w:val="15"/>
    </w:rPr>
  </w:style>
  <w:style w:type="character" w:styleId="Strong">
    <w:name w:val="Strong"/>
    <w:basedOn w:val="DefaultParagraphFont"/>
    <w:uiPriority w:val="22"/>
    <w:qFormat/>
    <w:rsid w:val="00494E2D"/>
    <w:rPr>
      <w:b/>
      <w:bCs/>
    </w:rPr>
  </w:style>
  <w:style w:type="paragraph" w:styleId="Quote">
    <w:name w:val="Quote"/>
    <w:basedOn w:val="Normal"/>
    <w:next w:val="Normal"/>
    <w:link w:val="QuoteChar"/>
    <w:uiPriority w:val="29"/>
    <w:qFormat/>
    <w:rsid w:val="00494E2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4E2D"/>
    <w:rPr>
      <w:i/>
      <w:iCs/>
      <w:color w:val="404040" w:themeColor="text1" w:themeTint="BF"/>
    </w:rPr>
  </w:style>
  <w:style w:type="character" w:styleId="Emphasis">
    <w:name w:val="Emphasis"/>
    <w:basedOn w:val="DefaultParagraphFont"/>
    <w:uiPriority w:val="20"/>
    <w:qFormat/>
    <w:rsid w:val="00494E2D"/>
    <w:rPr>
      <w:i/>
      <w:iCs/>
    </w:rPr>
  </w:style>
  <w:style w:type="character" w:styleId="SubtleEmphasis">
    <w:name w:val="Subtle Emphasis"/>
    <w:basedOn w:val="DefaultParagraphFont"/>
    <w:uiPriority w:val="19"/>
    <w:qFormat/>
    <w:rsid w:val="00494E2D"/>
    <w:rPr>
      <w:i/>
      <w:iCs/>
      <w:color w:val="404040" w:themeColor="text1" w:themeTint="BF"/>
    </w:rPr>
  </w:style>
  <w:style w:type="character" w:styleId="BookTitle">
    <w:name w:val="Book Title"/>
    <w:basedOn w:val="DefaultParagraphFont"/>
    <w:uiPriority w:val="33"/>
    <w:qFormat/>
    <w:rsid w:val="00494E2D"/>
    <w:rPr>
      <w:b/>
      <w:bCs/>
      <w:i/>
      <w:iCs/>
      <w:spacing w:val="5"/>
    </w:rPr>
  </w:style>
  <w:style w:type="paragraph" w:styleId="ListParagraph">
    <w:name w:val="List Paragraph"/>
    <w:aliases w:val="References,ReferencesCxSpLast,lp1,List Paragraph (numbered (a)),Citation List,Graphic,List Paragraph1,Resume Title,heading 4,Ha,Table of contents numbered,Bullets1,List Paragraph Char Char,ADB paragraph numbering,H. List Paragraph,Liste 1"/>
    <w:basedOn w:val="Normal"/>
    <w:link w:val="ListParagraphChar"/>
    <w:uiPriority w:val="34"/>
    <w:qFormat/>
    <w:rsid w:val="00494E2D"/>
    <w:pPr>
      <w:ind w:left="720"/>
      <w:contextualSpacing/>
    </w:pPr>
  </w:style>
  <w:style w:type="character" w:styleId="IntenseReference">
    <w:name w:val="Intense Reference"/>
    <w:basedOn w:val="DefaultParagraphFont"/>
    <w:uiPriority w:val="32"/>
    <w:qFormat/>
    <w:rsid w:val="00494E2D"/>
    <w:rPr>
      <w:b/>
      <w:bCs/>
      <w:smallCaps/>
      <w:color w:val="4472C4" w:themeColor="accent1"/>
      <w:spacing w:val="5"/>
    </w:rPr>
  </w:style>
  <w:style w:type="character" w:customStyle="1" w:styleId="ListParagraphChar">
    <w:name w:val="List Paragraph Char"/>
    <w:aliases w:val="References Char,ReferencesCxSpLast Char,lp1 Char,List Paragraph (numbered (a)) Char,Citation List Char,Graphic Char,List Paragraph1 Char,Resume Title Char,heading 4 Char,Ha Char,Table of contents numbered Char,Bullets1 Char"/>
    <w:basedOn w:val="DefaultParagraphFont"/>
    <w:link w:val="ListParagraph"/>
    <w:uiPriority w:val="34"/>
    <w:locked/>
    <w:rsid w:val="001D1489"/>
  </w:style>
  <w:style w:type="character" w:styleId="SubtleReference">
    <w:name w:val="Subtle Reference"/>
    <w:basedOn w:val="DefaultParagraphFont"/>
    <w:uiPriority w:val="31"/>
    <w:qFormat/>
    <w:rsid w:val="009B4879"/>
    <w:rPr>
      <w:smallCaps/>
      <w:color w:val="5A5A5A" w:themeColor="text1" w:themeTint="A5"/>
    </w:rPr>
  </w:style>
  <w:style w:type="table" w:styleId="ListTable3">
    <w:name w:val="List Table 3"/>
    <w:basedOn w:val="TableNormal"/>
    <w:uiPriority w:val="48"/>
    <w:rsid w:val="009B487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NoSpacing">
    <w:name w:val="No Spacing"/>
    <w:uiPriority w:val="1"/>
    <w:qFormat/>
    <w:rsid w:val="003906FC"/>
    <w:pPr>
      <w:spacing w:after="0" w:line="240" w:lineRule="auto"/>
    </w:pPr>
  </w:style>
  <w:style w:type="character" w:customStyle="1" w:styleId="Heading2Char">
    <w:name w:val="Heading 2 Char"/>
    <w:basedOn w:val="DefaultParagraphFont"/>
    <w:link w:val="Heading2"/>
    <w:uiPriority w:val="9"/>
    <w:rsid w:val="003906F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988</Words>
  <Characters>5636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Faustyna Gawryluk</dc:creator>
  <cp:keywords/>
  <dc:description/>
  <cp:lastModifiedBy>Faustyna Gawryluk</cp:lastModifiedBy>
  <cp:revision>2</cp:revision>
  <dcterms:created xsi:type="dcterms:W3CDTF">2023-01-31T12:16:00Z</dcterms:created>
  <dcterms:modified xsi:type="dcterms:W3CDTF">2023-01-31T12:16:00Z</dcterms:modified>
</cp:coreProperties>
</file>