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Stephen Stretton</w:t>
      </w:r>
    </w:p>
    <w:p>
      <w:pPr>
        <w:spacing w:after="200"/>
      </w:pPr>
      <w:r>
        <w:rPr>
          <w:rFonts w:ascii="Calibri" w:cs="Calibri" w:eastAsia="Calibri" w:hAnsi="Calibri"/>
          <w:b/>
          <w:bCs/>
          <w:caps/>
          <w:color w:val="2E6B57"/>
          <w:sz w:val="22"/>
          <w:szCs w:val="22"/>
        </w:rPr>
        <w:t xml:space="preserve">Working papers (unpublished)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Stretton, S.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‘Open Economy Carbon Pricing.’ </w:t>
      </w:r>
      <w:r>
        <w:rPr>
          <w:rFonts w:ascii="Calibri" w:cs="Calibri" w:eastAsia="Calibri" w:hAnsi="Calibri"/>
          <w:sz w:val="21"/>
          <w:szCs w:val="21"/>
        </w:rPr>
        <w:t xml:space="preserve">Working paper. </w:t>
      </w:r>
      <w:hyperlink w:history="1" r:id="rIdwvtsyhr-ueffahyfr3xu-">
        <w:r>
          <w:rPr>
            <w:rFonts w:ascii="Calibri" w:cs="Calibri" w:eastAsia="Calibri" w:hAnsi="Calibri"/>
            <w:color w:val="1F5673"/>
            <w:sz w:val="20"/>
            <w:szCs w:val="20"/>
            <w:u w:val="single"/>
          </w:rPr>
          <w:t xml:space="preserve">https://climatefiscalfinance.org/papers/OpenEconomyCarbonPricing.docx</w:t>
        </w:r>
      </w:hyperlink>
    </w:p>
    <w:p>
      <w:pPr>
        <w:spacing w:after="14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Stretton, S.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‘Feebates and Output-Based Rebating.’ </w:t>
      </w:r>
      <w:r>
        <w:rPr>
          <w:rFonts w:ascii="Calibri" w:cs="Calibri" w:eastAsia="Calibri" w:hAnsi="Calibri"/>
          <w:sz w:val="21"/>
          <w:szCs w:val="21"/>
        </w:rPr>
        <w:t xml:space="preserve">Working paper. </w:t>
      </w:r>
      <w:hyperlink w:history="1" r:id="rIdjh-k_edwoqpu3gbgxnovp">
        <w:r>
          <w:rPr>
            <w:rFonts w:ascii="Calibri" w:cs="Calibri" w:eastAsia="Calibri" w:hAnsi="Calibri"/>
            <w:color w:val="1F5673"/>
            <w:sz w:val="20"/>
            <w:szCs w:val="20"/>
            <w:u w:val="single"/>
          </w:rPr>
          <w:t xml:space="preserve">https://climatefiscalfinance.org/papers/FeebatesAndOutputBasedRebating.docx</w:t>
        </w:r>
      </w:hyperlink>
    </w:p>
    <w:p>
      <w:pPr>
        <w:spacing w:after="14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Stretton, S.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‘Iron, Steel, CBAM and the Limits of Point-Source Carbon Pricing.’ </w:t>
      </w:r>
      <w:r>
        <w:rPr>
          <w:rFonts w:ascii="Calibri" w:cs="Calibri" w:eastAsia="Calibri" w:hAnsi="Calibri"/>
          <w:sz w:val="21"/>
          <w:szCs w:val="21"/>
        </w:rPr>
        <w:t xml:space="preserve">Working paper. </w:t>
      </w:r>
      <w:hyperlink w:history="1" r:id="rIdk5h1szmvg3gh72gvcfspi">
        <w:r>
          <w:rPr>
            <w:rFonts w:ascii="Calibri" w:cs="Calibri" w:eastAsia="Calibri" w:hAnsi="Calibri"/>
            <w:color w:val="1F5673"/>
            <w:sz w:val="20"/>
            <w:szCs w:val="20"/>
            <w:u w:val="single"/>
          </w:rPr>
          <w:t xml:space="preserve">https://climatefiscalfinance.org/papers/IronSteelCBAM.docx</w:t>
        </w:r>
      </w:hyperlink>
    </w:p>
    <w:p>
      <w:pPr>
        <w:spacing w:after="14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Stretton, S.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‘Climate Finance Intermediation for Clean Power.’ </w:t>
      </w:r>
      <w:r>
        <w:rPr>
          <w:rFonts w:ascii="Calibri" w:cs="Calibri" w:eastAsia="Calibri" w:hAnsi="Calibri"/>
          <w:sz w:val="21"/>
          <w:szCs w:val="21"/>
        </w:rPr>
        <w:t xml:space="preserve">Working paper. </w:t>
      </w:r>
      <w:hyperlink w:history="1" r:id="rIdcr8nhshgc2onqcpwkurtd">
        <w:r>
          <w:rPr>
            <w:rFonts w:ascii="Calibri" w:cs="Calibri" w:eastAsia="Calibri" w:hAnsi="Calibri"/>
            <w:color w:val="1F5673"/>
            <w:sz w:val="20"/>
            <w:szCs w:val="20"/>
            <w:u w:val="single"/>
          </w:rPr>
          <w:t xml:space="preserve">https://climatefiscalfinance.org/papers/ClimateFinanceIntermediationForCleanPower.docx</w:t>
        </w:r>
      </w:hyperlink>
    </w:p>
    <w:p>
      <w:pPr>
        <w:spacing w:after="14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Stretton, S.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‘The Climate Investment Trust: Equity funds as climate and sovereign lending collateral.’ </w:t>
      </w:r>
      <w:r>
        <w:rPr>
          <w:rFonts w:ascii="Calibri" w:cs="Calibri" w:eastAsia="Calibri" w:hAnsi="Calibri"/>
          <w:sz w:val="21"/>
          <w:szCs w:val="21"/>
        </w:rPr>
        <w:t xml:space="preserve">Working paper. </w:t>
      </w:r>
      <w:hyperlink w:history="1" r:id="rIds8ohyhu1igj0ck00exsvy">
        <w:r>
          <w:rPr>
            <w:rFonts w:ascii="Calibri" w:cs="Calibri" w:eastAsia="Calibri" w:hAnsi="Calibri"/>
            <w:color w:val="1F5673"/>
            <w:sz w:val="20"/>
            <w:szCs w:val="20"/>
            <w:u w:val="single"/>
          </w:rPr>
          <w:t xml:space="preserve">https://climatefiscalfinance.org/papers/ClimateInvestmentTrust.docx</w:t>
        </w:r>
      </w:hyperlink>
    </w:p>
    <w:p>
      <w:pPr>
        <w:spacing w:after="14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Stretton, S.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‘Sustainability-Linked Lending and Related Structures at the World Bank.’ </w:t>
      </w:r>
      <w:r>
        <w:rPr>
          <w:rFonts w:ascii="Calibri" w:cs="Calibri" w:eastAsia="Calibri" w:hAnsi="Calibri"/>
          <w:sz w:val="21"/>
          <w:szCs w:val="21"/>
        </w:rPr>
        <w:t xml:space="preserve">Working paper. </w:t>
      </w:r>
      <w:hyperlink w:history="1" r:id="rIdzc6goqjpmski1msj-bint">
        <w:r>
          <w:rPr>
            <w:rFonts w:ascii="Calibri" w:cs="Calibri" w:eastAsia="Calibri" w:hAnsi="Calibri"/>
            <w:color w:val="1F5673"/>
            <w:sz w:val="20"/>
            <w:szCs w:val="20"/>
            <w:u w:val="single"/>
          </w:rPr>
          <w:t xml:space="preserve">https://climatefiscalfinance.org/papers/SustainabilityLinkedLending.pdf</w:t>
        </w:r>
      </w:hyperlink>
    </w:p>
    <w:p>
      <w:pPr>
        <w:spacing w:after="14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Stretton, S.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‘Policy-Equivalent Carbon Price and CES Energy Consumption.’ </w:t>
      </w:r>
      <w:r>
        <w:rPr>
          <w:rFonts w:ascii="Calibri" w:cs="Calibri" w:eastAsia="Calibri" w:hAnsi="Calibri"/>
          <w:sz w:val="21"/>
          <w:szCs w:val="21"/>
        </w:rPr>
        <w:t xml:space="preserve">Working paper. </w:t>
      </w:r>
      <w:hyperlink w:history="1" r:id="rIdvvcorzdqxwakjcxjl7r09">
        <w:r>
          <w:rPr>
            <w:rFonts w:ascii="Calibri" w:cs="Calibri" w:eastAsia="Calibri" w:hAnsi="Calibri"/>
            <w:color w:val="1F5673"/>
            <w:sz w:val="20"/>
            <w:szCs w:val="20"/>
            <w:u w:val="single"/>
          </w:rPr>
          <w:t xml:space="preserve">https://climatefiscalfinance.org/papers/PolicyEquivalentCarbonPriceAndCES.docx</w:t>
        </w:r>
      </w:hyperlink>
    </w:p>
    <w:p>
      <w:pPr>
        <w:spacing w:after="14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Stretton, S.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‘Automated Excise-Fiscal Reports: Instruments, externalities and policy pathways.’ </w:t>
      </w:r>
      <w:r>
        <w:rPr>
          <w:rFonts w:ascii="Calibri" w:cs="Calibri" w:eastAsia="Calibri" w:hAnsi="Calibri"/>
          <w:sz w:val="21"/>
          <w:szCs w:val="21"/>
        </w:rPr>
        <w:t xml:space="preserve">Working paper. </w:t>
      </w:r>
      <w:hyperlink w:history="1" r:id="rIdqhcdmujtepcc4sxofupma">
        <w:r>
          <w:rPr>
            <w:rFonts w:ascii="Calibri" w:cs="Calibri" w:eastAsia="Calibri" w:hAnsi="Calibri"/>
            <w:color w:val="1F5673"/>
            <w:sz w:val="20"/>
            <w:szCs w:val="20"/>
            <w:u w:val="single"/>
          </w:rPr>
          <w:t xml:space="preserve">https://climatefiscalfinance.org/papers/ExciseFiscalDiagnostic.docx</w:t>
        </w:r>
      </w:hyperlink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vtsyhr-ueffahyfr3xu-" Type="http://schemas.openxmlformats.org/officeDocument/2006/relationships/hyperlink" Target="https://climatefiscalfinance.org/papers/OpenEconomyCarbonPricing.docx" TargetMode="External"/><Relationship Id="rIdjh-k_edwoqpu3gbgxnovp" Type="http://schemas.openxmlformats.org/officeDocument/2006/relationships/hyperlink" Target="https://climatefiscalfinance.org/papers/FeebatesAndOutputBasedRebating.docx" TargetMode="External"/><Relationship Id="rIdk5h1szmvg3gh72gvcfspi" Type="http://schemas.openxmlformats.org/officeDocument/2006/relationships/hyperlink" Target="https://climatefiscalfinance.org/papers/IronSteelCBAM.docx" TargetMode="External"/><Relationship Id="rIdcr8nhshgc2onqcpwkurtd" Type="http://schemas.openxmlformats.org/officeDocument/2006/relationships/hyperlink" Target="https://climatefiscalfinance.org/papers/ClimateFinanceIntermediationForCleanPower.docx" TargetMode="External"/><Relationship Id="rIds8ohyhu1igj0ck00exsvy" Type="http://schemas.openxmlformats.org/officeDocument/2006/relationships/hyperlink" Target="https://climatefiscalfinance.org/papers/ClimateInvestmentTrust.docx" TargetMode="External"/><Relationship Id="rIdzc6goqjpmski1msj-bint" Type="http://schemas.openxmlformats.org/officeDocument/2006/relationships/hyperlink" Target="https://climatefiscalfinance.org/papers/SustainabilityLinkedLending.pdf" TargetMode="External"/><Relationship Id="rIdvvcorzdqxwakjcxjl7r09" Type="http://schemas.openxmlformats.org/officeDocument/2006/relationships/hyperlink" Target="https://climatefiscalfinance.org/papers/PolicyEquivalentCarbonPriceAndCES.docx" TargetMode="External"/><Relationship Id="rIdqhcdmujtepcc4sxofupma" Type="http://schemas.openxmlformats.org/officeDocument/2006/relationships/hyperlink" Target="https://climatefiscalfinance.org/papers/ExciseFiscalDiagnostic.docx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2026-09-17T23:20:28.277Z</dcterms:created>
  <dcterms:modified xsi:type="dcterms:W3CDTF">2026-09-17T23:20:28.285Z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