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DocTitle"/>
      </w:pPr>
      <w:r>
        <w:t xml:space="preserve">GeoProsperity: Climate-Fiscal-Financial Working Papers</w:t>
      </w:r>
    </w:p>
    <w:p>
      <w:pPr>
        <w:pBdr>
          <w:bottom w:val="single" w:sz="6" w:space="1" w:color="BFBFBF"/>
        </w:pBdr>
        <w:spacing w:after="200"/>
      </w:pPr>
    </w:p>
    <w:p>
      <w:pPr>
        <w:spacing w:before="100" w:after="160" w:line="276" w:lineRule="auto"/>
      </w:pPr>
      <w:r>
        <w:rPr>
          <w:i/>
          <w:iCs/>
          <w:color w:val="595959"/>
        </w:rPr>
        <w:t xml:space="preserve">Stephen Stretton  ·  Draft for discussion  ·  Website: </w:t>
      </w:r>
      <w:hyperlink r:id="rIdL1" w:history="1">
        <w:r>
          <w:rPr>
            <w:rStyle w:val="Hyperlink"/>
          </w:rPr>
          <w:t xml:space="preserve">https://climatefiscalfinance.org/</w:t>
        </w:r>
      </w:hyperlink>
    </w:p>
    <w:p>
      <w:pPr>
        <w:keepNext/>
        <w:spacing w:before="400" w:after="200"/>
      </w:pPr>
      <w:r>
        <w:rPr>
          <w:b/>
          <w:bCs/>
          <w:color w:val="1F3864"/>
          <w:sz w:val="32"/>
          <w:szCs w:val="32"/>
        </w:rPr>
        <w:t xml:space="preserve">Contents</w:t>
      </w:r>
    </w:p>
    <w:sdt>
      <w:sdtPr>
        <w:alias w:val="Contents"/>
        <w:id w:val="1509020707"/>
        <w:docPartObj>
          <w:docPartGallery w:val="Table of Contents"/>
          <w:docPartUnique/>
        </w:docPartObj>
      </w:sdtPr>
      <w:sdtContent>
        <w:p>
          <w:pPr>
            <w:pStyle w:val="TOC1"/>
            <w:tabs>
              <w:tab w:val="right" w:leader="dot" w:pos="9062"/>
            </w:tabs>
            <w:rPr>
              <w:noProof/>
            </w:rPr>
          </w:pPr>
          <w:r>
            <w:fldChar w:fldCharType="begin"/>
          </w:r>
          <w:r>
            <w:instrText xml:space="preserve">TOC \o "1-3" \h \z \u</w:instrText>
          </w:r>
          <w:r>
            <w:fldChar w:fldCharType="separate"/>
          </w:r>
          <w:hyperlink w:anchor="_Toc900000101" w:history="1">
            <w:r>
              <w:rPr>
                <w:noProof/>
              </w:rPr>
              <w:t xml:space="preserve">Part I. Introduction</w:t>
            </w:r>
            <w:r>
              <w:rPr>
                <w:noProof/>
              </w:rPr>
              <w:tab/>
            </w:r>
            <w:r>
              <w:rPr>
                <w:noProof/>
              </w:rPr>
              <w:fldChar w:fldCharType="begin"/>
            </w:r>
            <w:r>
              <w:rPr>
                <w:noProof/>
              </w:rPr>
              <w:instrText xml:space="preserve"> PAGEREF _Toc900000101 \h </w:instrText>
            </w:r>
            <w:r>
              <w:rPr>
                <w:noProof/>
              </w:rPr>
              <w:fldChar w:fldCharType="separate"/>
            </w:r>
            <w:r>
              <w:rPr>
                <w:noProof/>
              </w:rPr>
              <w:t xml:space="preserve">2</w:t>
            </w:r>
            <w:r>
              <w:rPr>
                <w:noProof/>
              </w:rPr>
              <w:fldChar w:fldCharType="end"/>
            </w:r>
          </w:hyperlink>
        </w:p>
        <w:p>
          <w:pPr>
            <w:pStyle w:val="TOC2"/>
            <w:tabs>
              <w:tab w:val="right" w:leader="dot" w:pos="9062"/>
            </w:tabs>
            <w:rPr>
              <w:noProof/>
            </w:rPr>
          </w:pPr>
          <w:hyperlink w:anchor="_Toc900000102" w:history="1">
            <w:r>
              <w:rPr>
                <w:noProof/>
              </w:rPr>
              <w:t xml:space="preserve">The Mission</w:t>
            </w:r>
            <w:r>
              <w:rPr>
                <w:noProof/>
              </w:rPr>
              <w:tab/>
            </w:r>
            <w:r>
              <w:rPr>
                <w:noProof/>
              </w:rPr>
              <w:fldChar w:fldCharType="begin"/>
            </w:r>
            <w:r>
              <w:rPr>
                <w:noProof/>
              </w:rPr>
              <w:instrText xml:space="preserve"> PAGEREF _Toc900000102 \h </w:instrText>
            </w:r>
            <w:r>
              <w:rPr>
                <w:noProof/>
              </w:rPr>
              <w:fldChar w:fldCharType="separate"/>
            </w:r>
            <w:r>
              <w:rPr>
                <w:noProof/>
              </w:rPr>
              <w:t xml:space="preserve">2</w:t>
            </w:r>
            <w:r>
              <w:rPr>
                <w:noProof/>
              </w:rPr>
              <w:fldChar w:fldCharType="end"/>
            </w:r>
          </w:hyperlink>
        </w:p>
        <w:p>
          <w:pPr>
            <w:pStyle w:val="TOC2"/>
            <w:tabs>
              <w:tab w:val="right" w:leader="dot" w:pos="9062"/>
            </w:tabs>
            <w:rPr>
              <w:noProof/>
            </w:rPr>
          </w:pPr>
          <w:hyperlink w:anchor="_Toc900000103" w:history="1">
            <w:r>
              <w:rPr>
                <w:noProof/>
              </w:rPr>
              <w:t xml:space="preserve">About GeoProsperity</w:t>
            </w:r>
            <w:r>
              <w:rPr>
                <w:noProof/>
              </w:rPr>
              <w:tab/>
            </w:r>
            <w:r>
              <w:rPr>
                <w:noProof/>
              </w:rPr>
              <w:fldChar w:fldCharType="begin"/>
            </w:r>
            <w:r>
              <w:rPr>
                <w:noProof/>
              </w:rPr>
              <w:instrText xml:space="preserve"> PAGEREF _Toc900000103 \h </w:instrText>
            </w:r>
            <w:r>
              <w:rPr>
                <w:noProof/>
              </w:rPr>
              <w:fldChar w:fldCharType="separate"/>
            </w:r>
            <w:r>
              <w:rPr>
                <w:noProof/>
              </w:rPr>
              <w:t xml:space="preserve">2</w:t>
            </w:r>
            <w:r>
              <w:rPr>
                <w:noProof/>
              </w:rPr>
              <w:fldChar w:fldCharType="end"/>
            </w:r>
          </w:hyperlink>
        </w:p>
        <w:p>
          <w:pPr>
            <w:pStyle w:val="TOC2"/>
            <w:tabs>
              <w:tab w:val="right" w:leader="dot" w:pos="9062"/>
            </w:tabs>
            <w:rPr>
              <w:noProof/>
            </w:rPr>
          </w:pPr>
          <w:hyperlink w:anchor="_Toc900000104" w:history="1">
            <w:r>
              <w:rPr>
                <w:noProof/>
              </w:rPr>
              <w:t xml:space="preserve">The Problem</w:t>
            </w:r>
            <w:r>
              <w:rPr>
                <w:noProof/>
              </w:rPr>
              <w:tab/>
            </w:r>
            <w:r>
              <w:rPr>
                <w:noProof/>
              </w:rPr>
              <w:fldChar w:fldCharType="begin"/>
            </w:r>
            <w:r>
              <w:rPr>
                <w:noProof/>
              </w:rPr>
              <w:instrText xml:space="preserve"> PAGEREF _Toc900000104 \h </w:instrText>
            </w:r>
            <w:r>
              <w:rPr>
                <w:noProof/>
              </w:rPr>
              <w:fldChar w:fldCharType="separate"/>
            </w:r>
            <w:r>
              <w:rPr>
                <w:noProof/>
              </w:rPr>
              <w:t xml:space="preserve">2</w:t>
            </w:r>
            <w:r>
              <w:rPr>
                <w:noProof/>
              </w:rPr>
              <w:fldChar w:fldCharType="end"/>
            </w:r>
          </w:hyperlink>
        </w:p>
        <w:p>
          <w:pPr>
            <w:pStyle w:val="TOC2"/>
            <w:tabs>
              <w:tab w:val="right" w:leader="dot" w:pos="9062"/>
            </w:tabs>
            <w:rPr>
              <w:noProof/>
            </w:rPr>
          </w:pPr>
          <w:hyperlink w:anchor="_Toc900000105" w:history="1">
            <w:r>
              <w:rPr>
                <w:noProof/>
              </w:rPr>
              <w:t xml:space="preserve">Core Ideas</w:t>
            </w:r>
            <w:r>
              <w:rPr>
                <w:noProof/>
              </w:rPr>
              <w:tab/>
            </w:r>
            <w:r>
              <w:rPr>
                <w:noProof/>
              </w:rPr>
              <w:fldChar w:fldCharType="begin"/>
            </w:r>
            <w:r>
              <w:rPr>
                <w:noProof/>
              </w:rPr>
              <w:instrText xml:space="preserve"> PAGEREF _Toc900000105 \h </w:instrText>
            </w:r>
            <w:r>
              <w:rPr>
                <w:noProof/>
              </w:rPr>
              <w:fldChar w:fldCharType="separate"/>
            </w:r>
            <w:r>
              <w:rPr>
                <w:noProof/>
              </w:rPr>
              <w:t xml:space="preserve">3</w:t>
            </w:r>
            <w:r>
              <w:rPr>
                <w:noProof/>
              </w:rPr>
              <w:fldChar w:fldCharType="end"/>
            </w:r>
          </w:hyperlink>
        </w:p>
        <w:p>
          <w:pPr>
            <w:pStyle w:val="TOC2"/>
            <w:tabs>
              <w:tab w:val="right" w:leader="dot" w:pos="9062"/>
            </w:tabs>
            <w:rPr>
              <w:noProof/>
            </w:rPr>
          </w:pPr>
          <w:hyperlink w:anchor="_Toc900000106" w:history="1">
            <w:r>
              <w:rPr>
                <w:noProof/>
              </w:rPr>
              <w:t xml:space="preserve">How the Series Works</w:t>
            </w:r>
            <w:r>
              <w:rPr>
                <w:noProof/>
              </w:rPr>
              <w:tab/>
            </w:r>
            <w:r>
              <w:rPr>
                <w:noProof/>
              </w:rPr>
              <w:fldChar w:fldCharType="begin"/>
            </w:r>
            <w:r>
              <w:rPr>
                <w:noProof/>
              </w:rPr>
              <w:instrText xml:space="preserve"> PAGEREF _Toc900000106 \h </w:instrText>
            </w:r>
            <w:r>
              <w:rPr>
                <w:noProof/>
              </w:rPr>
              <w:fldChar w:fldCharType="separate"/>
            </w:r>
            <w:r>
              <w:rPr>
                <w:noProof/>
              </w:rPr>
              <w:t xml:space="preserve">3</w:t>
            </w:r>
            <w:r>
              <w:rPr>
                <w:noProof/>
              </w:rPr>
              <w:fldChar w:fldCharType="end"/>
            </w:r>
          </w:hyperlink>
        </w:p>
        <w:p>
          <w:pPr>
            <w:pStyle w:val="TOC2"/>
            <w:tabs>
              <w:tab w:val="right" w:leader="dot" w:pos="9062"/>
            </w:tabs>
            <w:rPr>
              <w:noProof/>
            </w:rPr>
          </w:pPr>
          <w:hyperlink w:anchor="_Toc900000107" w:history="1">
            <w:r>
              <w:rPr>
                <w:noProof/>
              </w:rPr>
              <w:t xml:space="preserve">Conclusion</w:t>
            </w:r>
            <w:r>
              <w:rPr>
                <w:noProof/>
              </w:rPr>
              <w:tab/>
            </w:r>
            <w:r>
              <w:rPr>
                <w:noProof/>
              </w:rPr>
              <w:fldChar w:fldCharType="begin"/>
            </w:r>
            <w:r>
              <w:rPr>
                <w:noProof/>
              </w:rPr>
              <w:instrText xml:space="preserve"> PAGEREF _Toc900000107 \h </w:instrText>
            </w:r>
            <w:r>
              <w:rPr>
                <w:noProof/>
              </w:rPr>
              <w:fldChar w:fldCharType="separate"/>
            </w:r>
            <w:r>
              <w:rPr>
                <w:noProof/>
              </w:rPr>
              <w:t xml:space="preserve">4</w:t>
            </w:r>
            <w:r>
              <w:rPr>
                <w:noProof/>
              </w:rPr>
              <w:fldChar w:fldCharType="end"/>
            </w:r>
          </w:hyperlink>
        </w:p>
        <w:p>
          <w:pPr>
            <w:pStyle w:val="TOC1"/>
            <w:tabs>
              <w:tab w:val="right" w:leader="dot" w:pos="9062"/>
            </w:tabs>
            <w:rPr>
              <w:noProof/>
            </w:rPr>
          </w:pPr>
          <w:hyperlink w:anchor="_Toc900000108" w:history="1">
            <w:r>
              <w:rPr>
                <w:noProof/>
              </w:rPr>
              <w:t xml:space="preserve">Part II. The Papers</w:t>
            </w:r>
            <w:r>
              <w:rPr>
                <w:noProof/>
              </w:rPr>
              <w:tab/>
            </w:r>
            <w:r>
              <w:rPr>
                <w:noProof/>
              </w:rPr>
              <w:fldChar w:fldCharType="begin"/>
            </w:r>
            <w:r>
              <w:rPr>
                <w:noProof/>
              </w:rPr>
              <w:instrText xml:space="preserve"> PAGEREF _Toc900000108 \h </w:instrText>
            </w:r>
            <w:r>
              <w:rPr>
                <w:noProof/>
              </w:rPr>
              <w:fldChar w:fldCharType="separate"/>
            </w:r>
            <w:r>
              <w:rPr>
                <w:noProof/>
              </w:rPr>
              <w:t xml:space="preserve">5</w:t>
            </w:r>
            <w:r>
              <w:rPr>
                <w:noProof/>
              </w:rPr>
              <w:fldChar w:fldCharType="end"/>
            </w:r>
          </w:hyperlink>
        </w:p>
        <w:p>
          <w:pPr>
            <w:pStyle w:val="TOC2"/>
            <w:tabs>
              <w:tab w:val="right" w:leader="dot" w:pos="9062"/>
            </w:tabs>
            <w:rPr>
              <w:noProof/>
            </w:rPr>
          </w:pPr>
          <w:hyperlink w:anchor="_Toc900000109" w:history="1">
            <w:r>
              <w:rPr>
                <w:noProof/>
              </w:rPr>
              <w:t xml:space="preserve">1. Climate and Fiscal Policy</w:t>
            </w:r>
            <w:r>
              <w:rPr>
                <w:noProof/>
              </w:rPr>
              <w:tab/>
            </w:r>
            <w:r>
              <w:rPr>
                <w:noProof/>
              </w:rPr>
              <w:fldChar w:fldCharType="begin"/>
            </w:r>
            <w:r>
              <w:rPr>
                <w:noProof/>
              </w:rPr>
              <w:instrText xml:space="preserve"> PAGEREF _Toc900000109 \h </w:instrText>
            </w:r>
            <w:r>
              <w:rPr>
                <w:noProof/>
              </w:rPr>
              <w:fldChar w:fldCharType="separate"/>
            </w:r>
            <w:r>
              <w:rPr>
                <w:noProof/>
              </w:rPr>
              <w:t xml:space="preserve">5</w:t>
            </w:r>
            <w:r>
              <w:rPr>
                <w:noProof/>
              </w:rPr>
              <w:fldChar w:fldCharType="end"/>
            </w:r>
          </w:hyperlink>
        </w:p>
        <w:p>
          <w:pPr>
            <w:pStyle w:val="TOC3"/>
            <w:tabs>
              <w:tab w:val="right" w:leader="dot" w:pos="9062"/>
            </w:tabs>
            <w:rPr>
              <w:noProof/>
            </w:rPr>
          </w:pPr>
          <w:hyperlink w:anchor="_Toc900000110" w:history="1">
            <w:r>
              <w:rPr>
                <w:noProof/>
              </w:rPr>
              <w:t xml:space="preserve">1.1 Open Economy Carbon Pricing</w:t>
            </w:r>
            <w:r>
              <w:rPr>
                <w:noProof/>
              </w:rPr>
              <w:tab/>
            </w:r>
            <w:r>
              <w:rPr>
                <w:noProof/>
              </w:rPr>
              <w:fldChar w:fldCharType="begin"/>
            </w:r>
            <w:r>
              <w:rPr>
                <w:noProof/>
              </w:rPr>
              <w:instrText xml:space="preserve"> PAGEREF _Toc900000110 \h </w:instrText>
            </w:r>
            <w:r>
              <w:rPr>
                <w:noProof/>
              </w:rPr>
              <w:fldChar w:fldCharType="separate"/>
            </w:r>
            <w:r>
              <w:rPr>
                <w:noProof/>
              </w:rPr>
              <w:t xml:space="preserve">5</w:t>
            </w:r>
            <w:r>
              <w:rPr>
                <w:noProof/>
              </w:rPr>
              <w:fldChar w:fldCharType="end"/>
            </w:r>
          </w:hyperlink>
        </w:p>
        <w:p>
          <w:pPr>
            <w:pStyle w:val="TOC3"/>
            <w:tabs>
              <w:tab w:val="right" w:leader="dot" w:pos="9062"/>
            </w:tabs>
            <w:rPr>
              <w:noProof/>
            </w:rPr>
          </w:pPr>
          <w:hyperlink w:anchor="_Toc900000111" w:history="1">
            <w:r>
              <w:rPr>
                <w:noProof/>
              </w:rPr>
              <w:t xml:space="preserve">1.2 Feebates and Output-Based Rebating</w:t>
            </w:r>
            <w:r>
              <w:rPr>
                <w:noProof/>
              </w:rPr>
              <w:tab/>
            </w:r>
            <w:r>
              <w:rPr>
                <w:noProof/>
              </w:rPr>
              <w:fldChar w:fldCharType="begin"/>
            </w:r>
            <w:r>
              <w:rPr>
                <w:noProof/>
              </w:rPr>
              <w:instrText xml:space="preserve"> PAGEREF _Toc900000111 \h </w:instrText>
            </w:r>
            <w:r>
              <w:rPr>
                <w:noProof/>
              </w:rPr>
              <w:fldChar w:fldCharType="separate"/>
            </w:r>
            <w:r>
              <w:rPr>
                <w:noProof/>
              </w:rPr>
              <w:t xml:space="preserve">5</w:t>
            </w:r>
            <w:r>
              <w:rPr>
                <w:noProof/>
              </w:rPr>
              <w:fldChar w:fldCharType="end"/>
            </w:r>
          </w:hyperlink>
        </w:p>
        <w:p>
          <w:pPr>
            <w:pStyle w:val="TOC3"/>
            <w:tabs>
              <w:tab w:val="right" w:leader="dot" w:pos="9062"/>
            </w:tabs>
            <w:rPr>
              <w:noProof/>
            </w:rPr>
          </w:pPr>
          <w:hyperlink w:anchor="_Toc900000112" w:history="1">
            <w:r>
              <w:rPr>
                <w:noProof/>
              </w:rPr>
              <w:t xml:space="preserve">1.3 Iron, Steel, CBAM and the Limits of Point-Source Carbon Pricing</w:t>
            </w:r>
            <w:r>
              <w:rPr>
                <w:noProof/>
              </w:rPr>
              <w:tab/>
            </w:r>
            <w:r>
              <w:rPr>
                <w:noProof/>
              </w:rPr>
              <w:fldChar w:fldCharType="begin"/>
            </w:r>
            <w:r>
              <w:rPr>
                <w:noProof/>
              </w:rPr>
              <w:instrText xml:space="preserve"> PAGEREF _Toc900000112 \h </w:instrText>
            </w:r>
            <w:r>
              <w:rPr>
                <w:noProof/>
              </w:rPr>
              <w:fldChar w:fldCharType="separate"/>
            </w:r>
            <w:r>
              <w:rPr>
                <w:noProof/>
              </w:rPr>
              <w:t xml:space="preserve">5</w:t>
            </w:r>
            <w:r>
              <w:rPr>
                <w:noProof/>
              </w:rPr>
              <w:fldChar w:fldCharType="end"/>
            </w:r>
          </w:hyperlink>
        </w:p>
        <w:p>
          <w:pPr>
            <w:pStyle w:val="TOC2"/>
            <w:tabs>
              <w:tab w:val="right" w:leader="dot" w:pos="9062"/>
            </w:tabs>
            <w:rPr>
              <w:noProof/>
            </w:rPr>
          </w:pPr>
          <w:hyperlink w:anchor="_Toc900000113" w:history="1">
            <w:r>
              <w:rPr>
                <w:noProof/>
              </w:rPr>
              <w:t xml:space="preserve">2. Finance and Risk</w:t>
            </w:r>
            <w:r>
              <w:rPr>
                <w:noProof/>
              </w:rPr>
              <w:tab/>
            </w:r>
            <w:r>
              <w:rPr>
                <w:noProof/>
              </w:rPr>
              <w:fldChar w:fldCharType="begin"/>
            </w:r>
            <w:r>
              <w:rPr>
                <w:noProof/>
              </w:rPr>
              <w:instrText xml:space="preserve"> PAGEREF _Toc900000113 \h </w:instrText>
            </w:r>
            <w:r>
              <w:rPr>
                <w:noProof/>
              </w:rPr>
              <w:fldChar w:fldCharType="separate"/>
            </w:r>
            <w:r>
              <w:rPr>
                <w:noProof/>
              </w:rPr>
              <w:t xml:space="preserve">6</w:t>
            </w:r>
            <w:r>
              <w:rPr>
                <w:noProof/>
              </w:rPr>
              <w:fldChar w:fldCharType="end"/>
            </w:r>
          </w:hyperlink>
        </w:p>
        <w:p>
          <w:pPr>
            <w:pStyle w:val="TOC3"/>
            <w:tabs>
              <w:tab w:val="right" w:leader="dot" w:pos="9062"/>
            </w:tabs>
            <w:rPr>
              <w:noProof/>
            </w:rPr>
          </w:pPr>
          <w:hyperlink w:anchor="_Toc900000114" w:history="1">
            <w:r>
              <w:rPr>
                <w:noProof/>
              </w:rPr>
              <w:t xml:space="preserve">2.1 Climate Finance Intermediation for Clean Power</w:t>
            </w:r>
            <w:r>
              <w:rPr>
                <w:noProof/>
              </w:rPr>
              <w:tab/>
            </w:r>
            <w:r>
              <w:rPr>
                <w:noProof/>
              </w:rPr>
              <w:fldChar w:fldCharType="begin"/>
            </w:r>
            <w:r>
              <w:rPr>
                <w:noProof/>
              </w:rPr>
              <w:instrText xml:space="preserve"> PAGEREF _Toc900000114 \h </w:instrText>
            </w:r>
            <w:r>
              <w:rPr>
                <w:noProof/>
              </w:rPr>
              <w:fldChar w:fldCharType="separate"/>
            </w:r>
            <w:r>
              <w:rPr>
                <w:noProof/>
              </w:rPr>
              <w:t xml:space="preserve">6</w:t>
            </w:r>
            <w:r>
              <w:rPr>
                <w:noProof/>
              </w:rPr>
              <w:fldChar w:fldCharType="end"/>
            </w:r>
          </w:hyperlink>
        </w:p>
        <w:p>
          <w:pPr>
            <w:pStyle w:val="TOC3"/>
            <w:tabs>
              <w:tab w:val="right" w:leader="dot" w:pos="9062"/>
            </w:tabs>
            <w:rPr>
              <w:noProof/>
            </w:rPr>
          </w:pPr>
          <w:hyperlink w:anchor="_Toc900000115" w:history="1">
            <w:r>
              <w:rPr>
                <w:noProof/>
              </w:rPr>
              <w:t xml:space="preserve">2.2 The Climate Investment Trust: Equity Funds as Climate and Sovereign Lending Collateral</w:t>
            </w:r>
            <w:r>
              <w:rPr>
                <w:noProof/>
              </w:rPr>
              <w:tab/>
            </w:r>
            <w:r>
              <w:rPr>
                <w:noProof/>
              </w:rPr>
              <w:fldChar w:fldCharType="begin"/>
            </w:r>
            <w:r>
              <w:rPr>
                <w:noProof/>
              </w:rPr>
              <w:instrText xml:space="preserve"> PAGEREF _Toc900000115 \h </w:instrText>
            </w:r>
            <w:r>
              <w:rPr>
                <w:noProof/>
              </w:rPr>
              <w:fldChar w:fldCharType="separate"/>
            </w:r>
            <w:r>
              <w:rPr>
                <w:noProof/>
              </w:rPr>
              <w:t xml:space="preserve">6</w:t>
            </w:r>
            <w:r>
              <w:rPr>
                <w:noProof/>
              </w:rPr>
              <w:fldChar w:fldCharType="end"/>
            </w:r>
          </w:hyperlink>
        </w:p>
        <w:p>
          <w:pPr>
            <w:pStyle w:val="TOC2"/>
            <w:tabs>
              <w:tab w:val="right" w:leader="dot" w:pos="9062"/>
            </w:tabs>
            <w:rPr>
              <w:noProof/>
            </w:rPr>
          </w:pPr>
          <w:hyperlink w:anchor="_Toc900000116" w:history="1">
            <w:r>
              <w:rPr>
                <w:noProof/>
              </w:rPr>
              <w:t xml:space="preserve">3. Sovereign Incentives and MDBs</w:t>
            </w:r>
            <w:r>
              <w:rPr>
                <w:noProof/>
              </w:rPr>
              <w:tab/>
            </w:r>
            <w:r>
              <w:rPr>
                <w:noProof/>
              </w:rPr>
              <w:fldChar w:fldCharType="begin"/>
            </w:r>
            <w:r>
              <w:rPr>
                <w:noProof/>
              </w:rPr>
              <w:instrText xml:space="preserve"> PAGEREF _Toc900000116 \h </w:instrText>
            </w:r>
            <w:r>
              <w:rPr>
                <w:noProof/>
              </w:rPr>
              <w:fldChar w:fldCharType="separate"/>
            </w:r>
            <w:r>
              <w:rPr>
                <w:noProof/>
              </w:rPr>
              <w:t xml:space="preserve">7</w:t>
            </w:r>
            <w:r>
              <w:rPr>
                <w:noProof/>
              </w:rPr>
              <w:fldChar w:fldCharType="end"/>
            </w:r>
          </w:hyperlink>
        </w:p>
        <w:p>
          <w:pPr>
            <w:pStyle w:val="TOC3"/>
            <w:tabs>
              <w:tab w:val="right" w:leader="dot" w:pos="9062"/>
            </w:tabs>
            <w:rPr>
              <w:noProof/>
            </w:rPr>
          </w:pPr>
          <w:hyperlink w:anchor="_Toc900000117" w:history="1">
            <w:r>
              <w:rPr>
                <w:noProof/>
              </w:rPr>
              <w:t xml:space="preserve">3.1 Notional Capitalised Value and Guarantees</w:t>
            </w:r>
            <w:r>
              <w:rPr>
                <w:noProof/>
              </w:rPr>
              <w:tab/>
            </w:r>
            <w:r>
              <w:rPr>
                <w:noProof/>
              </w:rPr>
              <w:fldChar w:fldCharType="begin"/>
            </w:r>
            <w:r>
              <w:rPr>
                <w:noProof/>
              </w:rPr>
              <w:instrText xml:space="preserve"> PAGEREF _Toc900000117 \h </w:instrText>
            </w:r>
            <w:r>
              <w:rPr>
                <w:noProof/>
              </w:rPr>
              <w:fldChar w:fldCharType="separate"/>
            </w:r>
            <w:r>
              <w:rPr>
                <w:noProof/>
              </w:rPr>
              <w:t xml:space="preserve">7</w:t>
            </w:r>
            <w:r>
              <w:rPr>
                <w:noProof/>
              </w:rPr>
              <w:fldChar w:fldCharType="end"/>
            </w:r>
          </w:hyperlink>
        </w:p>
        <w:p>
          <w:pPr>
            <w:pStyle w:val="TOC3"/>
            <w:tabs>
              <w:tab w:val="right" w:leader="dot" w:pos="9062"/>
            </w:tabs>
            <w:rPr>
              <w:noProof/>
            </w:rPr>
          </w:pPr>
          <w:hyperlink w:anchor="_Toc900000118" w:history="1">
            <w:r>
              <w:rPr>
                <w:noProof/>
              </w:rPr>
              <w:t xml:space="preserve">3.2 Sustainability-Linked Lending and Related Structures at the World Bank</w:t>
            </w:r>
            <w:r>
              <w:rPr>
                <w:noProof/>
              </w:rPr>
              <w:tab/>
            </w:r>
            <w:r>
              <w:rPr>
                <w:noProof/>
              </w:rPr>
              <w:fldChar w:fldCharType="begin"/>
            </w:r>
            <w:r>
              <w:rPr>
                <w:noProof/>
              </w:rPr>
              <w:instrText xml:space="preserve"> PAGEREF _Toc900000118 \h </w:instrText>
            </w:r>
            <w:r>
              <w:rPr>
                <w:noProof/>
              </w:rPr>
              <w:fldChar w:fldCharType="separate"/>
            </w:r>
            <w:r>
              <w:rPr>
                <w:noProof/>
              </w:rPr>
              <w:t xml:space="preserve">7</w:t>
            </w:r>
            <w:r>
              <w:rPr>
                <w:noProof/>
              </w:rPr>
              <w:fldChar w:fldCharType="end"/>
            </w:r>
          </w:hyperlink>
        </w:p>
        <w:p>
          <w:pPr>
            <w:pStyle w:val="TOC1"/>
            <w:tabs>
              <w:tab w:val="right" w:leader="dot" w:pos="9062"/>
            </w:tabs>
            <w:rPr>
              <w:noProof/>
            </w:rPr>
          </w:pPr>
          <w:hyperlink w:anchor="_Toc900000119" w:history="1">
            <w:r>
              <w:rPr>
                <w:noProof/>
              </w:rPr>
              <w:t xml:space="preserve">Appendix: Additional Papers</w:t>
            </w:r>
            <w:r>
              <w:rPr>
                <w:noProof/>
              </w:rPr>
              <w:tab/>
            </w:r>
            <w:r>
              <w:rPr>
                <w:noProof/>
              </w:rPr>
              <w:fldChar w:fldCharType="begin"/>
            </w:r>
            <w:r>
              <w:rPr>
                <w:noProof/>
              </w:rPr>
              <w:instrText xml:space="preserve"> PAGEREF _Toc900000119 \h </w:instrText>
            </w:r>
            <w:r>
              <w:rPr>
                <w:noProof/>
              </w:rPr>
              <w:fldChar w:fldCharType="separate"/>
            </w:r>
            <w:r>
              <w:rPr>
                <w:noProof/>
              </w:rPr>
              <w:t xml:space="preserve">8</w:t>
            </w:r>
            <w:r>
              <w:rPr>
                <w:noProof/>
              </w:rPr>
              <w:fldChar w:fldCharType="end"/>
            </w:r>
          </w:hyperlink>
        </w:p>
        <w:p>
          <w:pPr>
            <w:pStyle w:val="TOC3"/>
            <w:tabs>
              <w:tab w:val="right" w:leader="dot" w:pos="9062"/>
            </w:tabs>
            <w:rPr>
              <w:noProof/>
            </w:rPr>
          </w:pPr>
          <w:hyperlink w:anchor="_Toc900000120" w:history="1">
            <w:r>
              <w:rPr>
                <w:noProof/>
              </w:rPr>
              <w:t xml:space="preserve">A1. Finance, Carbon Pricing and Power Market Reforms to Meet Indian Climate Policy Goals</w:t>
            </w:r>
            <w:r>
              <w:rPr>
                <w:noProof/>
              </w:rPr>
              <w:tab/>
            </w:r>
            <w:r>
              <w:rPr>
                <w:noProof/>
              </w:rPr>
              <w:fldChar w:fldCharType="begin"/>
            </w:r>
            <w:r>
              <w:rPr>
                <w:noProof/>
              </w:rPr>
              <w:instrText xml:space="preserve"> PAGEREF _Toc900000120 \h </w:instrText>
            </w:r>
            <w:r>
              <w:rPr>
                <w:noProof/>
              </w:rPr>
              <w:fldChar w:fldCharType="separate"/>
            </w:r>
            <w:r>
              <w:rPr>
                <w:noProof/>
              </w:rPr>
              <w:t xml:space="preserve">8</w:t>
            </w:r>
            <w:r>
              <w:rPr>
                <w:noProof/>
              </w:rPr>
              <w:fldChar w:fldCharType="end"/>
            </w:r>
          </w:hyperlink>
        </w:p>
        <w:p>
          <w:pPr>
            <w:pStyle w:val="TOC3"/>
            <w:tabs>
              <w:tab w:val="right" w:leader="dot" w:pos="9062"/>
            </w:tabs>
            <w:rPr>
              <w:noProof/>
            </w:rPr>
          </w:pPr>
          <w:hyperlink w:anchor="_Toc900000121" w:history="1">
            <w:r>
              <w:rPr>
                <w:noProof/>
              </w:rPr>
              <w:t xml:space="preserve">A2. A Financial Plan for a Global Solar Economy</w:t>
            </w:r>
            <w:r>
              <w:rPr>
                <w:noProof/>
              </w:rPr>
              <w:tab/>
            </w:r>
            <w:r>
              <w:rPr>
                <w:noProof/>
              </w:rPr>
              <w:fldChar w:fldCharType="begin"/>
            </w:r>
            <w:r>
              <w:rPr>
                <w:noProof/>
              </w:rPr>
              <w:instrText xml:space="preserve"> PAGEREF _Toc900000121 \h </w:instrText>
            </w:r>
            <w:r>
              <w:rPr>
                <w:noProof/>
              </w:rPr>
              <w:fldChar w:fldCharType="separate"/>
            </w:r>
            <w:r>
              <w:rPr>
                <w:noProof/>
              </w:rPr>
              <w:t xml:space="preserve">8</w:t>
            </w:r>
            <w:r>
              <w:rPr>
                <w:noProof/>
              </w:rPr>
              <w:fldChar w:fldCharType="end"/>
            </w:r>
          </w:hyperlink>
        </w:p>
        <w:p>
          <w:pPr>
            <w:pStyle w:val="TOC3"/>
            <w:tabs>
              <w:tab w:val="right" w:leader="dot" w:pos="9062"/>
            </w:tabs>
            <w:rPr>
              <w:noProof/>
            </w:rPr>
          </w:pPr>
          <w:hyperlink w:anchor="_Toc900000122" w:history="1">
            <w:r>
              <w:rPr>
                <w:noProof/>
              </w:rPr>
              <w:t xml:space="preserve">A3. Proposing a Mechanism for Implementing the Evolution Roadmap on Climate</w:t>
            </w:r>
            <w:r>
              <w:rPr>
                <w:noProof/>
              </w:rPr>
              <w:tab/>
            </w:r>
            <w:r>
              <w:rPr>
                <w:noProof/>
              </w:rPr>
              <w:fldChar w:fldCharType="begin"/>
            </w:r>
            <w:r>
              <w:rPr>
                <w:noProof/>
              </w:rPr>
              <w:instrText xml:space="preserve"> PAGEREF _Toc900000122 \h </w:instrText>
            </w:r>
            <w:r>
              <w:rPr>
                <w:noProof/>
              </w:rPr>
              <w:fldChar w:fldCharType="separate"/>
            </w:r>
            <w:r>
              <w:rPr>
                <w:noProof/>
              </w:rPr>
              <w:t xml:space="preserve">8</w:t>
            </w:r>
            <w:r>
              <w:rPr>
                <w:noProof/>
              </w:rPr>
              <w:fldChar w:fldCharType="end"/>
            </w:r>
          </w:hyperlink>
        </w:p>
        <w:p>
          <w:pPr>
            <w:pStyle w:val="TOC3"/>
            <w:tabs>
              <w:tab w:val="right" w:leader="dot" w:pos="9062"/>
            </w:tabs>
            <w:rPr>
              <w:noProof/>
            </w:rPr>
          </w:pPr>
          <w:hyperlink w:anchor="_Toc900000123" w:history="1">
            <w:r>
              <w:rPr>
                <w:noProof/>
              </w:rPr>
              <w:t xml:space="preserve">A4. Mobilizing Private Finance for the Climate Agenda: Introducing Sustainability-Linked Intermediated Debt Instruments</w:t>
            </w:r>
            <w:r>
              <w:rPr>
                <w:noProof/>
              </w:rPr>
              <w:tab/>
            </w:r>
            <w:r>
              <w:rPr>
                <w:noProof/>
              </w:rPr>
              <w:fldChar w:fldCharType="begin"/>
            </w:r>
            <w:r>
              <w:rPr>
                <w:noProof/>
              </w:rPr>
              <w:instrText xml:space="preserve"> PAGEREF _Toc900000123 \h </w:instrText>
            </w:r>
            <w:r>
              <w:rPr>
                <w:noProof/>
              </w:rPr>
              <w:fldChar w:fldCharType="separate"/>
            </w:r>
            <w:r>
              <w:rPr>
                <w:noProof/>
              </w:rPr>
              <w:t xml:space="preserve">9</w:t>
            </w:r>
            <w:r>
              <w:rPr>
                <w:noProof/>
              </w:rPr>
              <w:fldChar w:fldCharType="end"/>
            </w:r>
          </w:hyperlink>
        </w:p>
        <w:p>
          <w:pPr>
            <w:pStyle w:val="TOC3"/>
            <w:tabs>
              <w:tab w:val="right" w:leader="dot" w:pos="9062"/>
            </w:tabs>
            <w:rPr>
              <w:noProof/>
            </w:rPr>
          </w:pPr>
          <w:hyperlink w:anchor="_Toc900000124" w:history="1">
            <w:r>
              <w:rPr>
                <w:noProof/>
              </w:rPr>
              <w:t xml:space="preserve">A5. MDB Reform and Incentives for Paris Agreement Compliance</w:t>
            </w:r>
            <w:r>
              <w:rPr>
                <w:noProof/>
              </w:rPr>
              <w:tab/>
            </w:r>
            <w:r>
              <w:rPr>
                <w:noProof/>
              </w:rPr>
              <w:fldChar w:fldCharType="begin"/>
            </w:r>
            <w:r>
              <w:rPr>
                <w:noProof/>
              </w:rPr>
              <w:instrText xml:space="preserve"> PAGEREF _Toc900000124 \h </w:instrText>
            </w:r>
            <w:r>
              <w:rPr>
                <w:noProof/>
              </w:rPr>
              <w:fldChar w:fldCharType="separate"/>
            </w:r>
            <w:r>
              <w:rPr>
                <w:noProof/>
              </w:rPr>
              <w:t xml:space="preserve">9</w:t>
            </w:r>
            <w:r>
              <w:rPr>
                <w:noProof/>
              </w:rPr>
              <w:fldChar w:fldCharType="end"/>
            </w:r>
          </w:hyperlink>
        </w:p>
        <w:p>
          <w:pPr>
            <w:pStyle w:val="TOC3"/>
            <w:tabs>
              <w:tab w:val="right" w:leader="dot" w:pos="9062"/>
            </w:tabs>
            <w:rPr>
              <w:noProof/>
            </w:rPr>
          </w:pPr>
          <w:hyperlink w:anchor="_Toc900000125" w:history="1">
            <w:r>
              <w:rPr>
                <w:noProof/>
              </w:rPr>
              <w:t xml:space="preserve">A6. Multi-Tiered Sustainable Infrastructure Project Portfolio Loan Guarantee System</w:t>
            </w:r>
            <w:r>
              <w:rPr>
                <w:noProof/>
              </w:rPr>
              <w:tab/>
            </w:r>
            <w:r>
              <w:rPr>
                <w:noProof/>
              </w:rPr>
              <w:fldChar w:fldCharType="begin"/>
            </w:r>
            <w:r>
              <w:rPr>
                <w:noProof/>
              </w:rPr>
              <w:instrText xml:space="preserve"> PAGEREF _Toc900000125 \h </w:instrText>
            </w:r>
            <w:r>
              <w:rPr>
                <w:noProof/>
              </w:rPr>
              <w:fldChar w:fldCharType="separate"/>
            </w:r>
            <w:r>
              <w:rPr>
                <w:noProof/>
              </w:rPr>
              <w:t xml:space="preserve">9</w:t>
            </w:r>
            <w:r>
              <w:rPr>
                <w:noProof/>
              </w:rPr>
              <w:fldChar w:fldCharType="end"/>
            </w:r>
          </w:hyperlink>
        </w:p>
        <w:p>
          <w:pPr>
            <w:pStyle w:val="TOC3"/>
            <w:tabs>
              <w:tab w:val="right" w:leader="dot" w:pos="9062"/>
            </w:tabs>
            <w:rPr>
              <w:noProof/>
            </w:rPr>
          </w:pPr>
          <w:hyperlink w:anchor="_Toc900000126" w:history="1">
            <w:r>
              <w:rPr>
                <w:noProof/>
              </w:rPr>
              <w:t xml:space="preserve">A7. 100 Percent Clean Energy Transition Program Assistance</w:t>
            </w:r>
            <w:r>
              <w:rPr>
                <w:noProof/>
              </w:rPr>
              <w:tab/>
            </w:r>
            <w:r>
              <w:rPr>
                <w:noProof/>
              </w:rPr>
              <w:fldChar w:fldCharType="begin"/>
            </w:r>
            <w:r>
              <w:rPr>
                <w:noProof/>
              </w:rPr>
              <w:instrText xml:space="preserve"> PAGEREF _Toc900000126 \h </w:instrText>
            </w:r>
            <w:r>
              <w:rPr>
                <w:noProof/>
              </w:rPr>
              <w:fldChar w:fldCharType="separate"/>
            </w:r>
            <w:r>
              <w:rPr>
                <w:noProof/>
              </w:rPr>
              <w:t xml:space="preserve">10</w:t>
            </w:r>
            <w:r>
              <w:rPr>
                <w:noProof/>
              </w:rPr>
              <w:fldChar w:fldCharType="end"/>
            </w:r>
          </w:hyperlink>
          <w:r>
            <w:fldChar w:fldCharType="end"/>
          </w:r>
        </w:p>
      </w:sdtContent>
    </w:sdt>
    <w:p>
      <w:pPr>
        <w:pStyle w:val="Heading1"/>
        <w:keepNext/>
        <w:pageBreakBefore/>
      </w:pPr>
      <w:bookmarkStart w:id="101" w:name="_Toc900000101"/>
      <w:r>
        <w:t xml:space="preserve">Part I. Introduction</w:t>
      </w:r>
      <w:bookmarkEnd w:id="101"/>
    </w:p>
    <w:p>
      <w:pPr>
        <w:pStyle w:val="Heading2"/>
        <w:keepNext/>
      </w:pPr>
      <w:bookmarkStart w:id="102" w:name="_Toc900000102"/>
      <w:r>
        <w:t xml:space="preserve">The Mission</w:t>
      </w:r>
      <w:bookmarkEnd w:id="102"/>
    </w:p>
    <w:p>
      <w:pPr>
        <w:keepNext/>
        <w:spacing w:before="100" w:after="160" w:line="276" w:lineRule="auto"/>
      </w:pPr>
      <w:r>
        <w:t xml:space="preserve">The moonshot inspired a generation. Transforming the global economy for a livable planet calls for the same resolve. If JFK were speaking about climate rather than space, he might say:</w:t>
      </w:r>
    </w:p>
    <w:p>
      <w:pPr>
        <w:pBdr>
          <w:left w:val="single" w:sz="18" w:space="12" w:color="2E5496"/>
        </w:pBdr>
        <w:spacing w:before="120" w:after="200" w:line="276" w:lineRule="auto"/>
        <w:ind w:left="576" w:right="576"/>
      </w:pPr>
      <w:r>
        <w:rPr>
          <w:i/>
          <w:iCs/>
          <w:color w:val="404040"/>
        </w:rPr>
        <w:t xml:space="preserve">Our goal is a global clean energy financial system that enables the fastest countries to reach net zero by 2030, and incentivizes the rest to adopt Paris-compliant carbon pricing and energy transition strategies by the same date. We choose these goals not because they are easy, but because they are hard; because they will organize and measure the best of our energies and skills; because this is a challenge we are willing to accept, and unwilling to postpone.</w:t>
      </w:r>
    </w:p>
    <w:p>
      <w:pPr>
        <w:spacing w:before="100" w:after="160" w:line="276" w:lineRule="auto"/>
      </w:pPr>
      <w:r>
        <w:t xml:space="preserve">That is the GeoProsperity mission: to give countries the incentives and finance to meet the Paris temperature goals and reach net zero by mid-century, with the fastest there by 2030.</w:t>
      </w:r>
    </w:p>
    <w:p>
      <w:pPr>
        <w:pStyle w:val="Heading2"/>
        <w:keepNext/>
      </w:pPr>
      <w:bookmarkStart w:id="103" w:name="_Toc900000103"/>
      <w:r>
        <w:t xml:space="preserve">About GeoProsperity</w:t>
      </w:r>
      <w:bookmarkEnd w:id="103"/>
    </w:p>
    <w:p>
      <w:pPr>
        <w:spacing w:before="100" w:after="160" w:line="276" w:lineRule="auto"/>
      </w:pPr>
      <w:r>
        <w:t xml:space="preserve">GeoProsperity is an independent initiative to align the global financial system with climate mitigation and adaptation. Its core idea is that climate solutions should pay for themselves. Multilateral development banks (MDBs) such as the World Bank hold de-risking tools that can cut costs, raise returns and spread the gains. The model is solar: once the economics tipped, investment took off on its own.</w:t>
      </w:r>
    </w:p>
    <w:p>
      <w:pPr>
        <w:spacing w:before="100" w:after="160" w:line="276" w:lineRule="auto"/>
      </w:pPr>
      <w:r>
        <w:t xml:space="preserve">The common thread is practical climate statecraft: making climate strategy work for finance ministries, MDBs and country teams through better models, diagnostics, policy instruments and financing structures. The work draws on carbon pricing, public and sustainable finance, political economy and classical economics. The papers are published at </w:t>
      </w:r>
      <w:hyperlink r:id="rIdL1" w:history="1">
        <w:r>
          <w:rPr>
            <w:rStyle w:val="Hyperlink"/>
          </w:rPr>
          <w:t xml:space="preserve">https://climatefiscalfinance.org/</w:t>
        </w:r>
      </w:hyperlink>
      <w:r>
        <w:t xml:space="preserve">. We welcome ideas and submissions from practitioners worldwide.</w:t>
      </w:r>
    </w:p>
    <w:p>
      <w:pPr>
        <w:pStyle w:val="Heading2"/>
        <w:keepNext/>
      </w:pPr>
      <w:bookmarkStart w:id="104" w:name="_Toc900000104"/>
      <w:r>
        <w:t xml:space="preserve">The Problem</w:t>
      </w:r>
      <w:bookmarkEnd w:id="104"/>
    </w:p>
    <w:p>
      <w:pPr>
        <w:keepNext/>
        <w:spacing w:before="100" w:after="160" w:line="276" w:lineRule="auto"/>
      </w:pPr>
      <w:r>
        <w:t xml:space="preserve">The central question is how financial institutions, and MDBs in particular, can make climate mitigation both affordable and enforceable. Developing countries need far more private capital, but six barriers stand in the way:</w:t>
      </w:r>
    </w:p>
    <w:p>
      <w:pPr>
        <w:pStyle w:val="ListParagraph"/>
        <w:numPr>
          <w:ilvl w:val="0"/>
          <w:numId w:val="3"/>
        </w:numPr>
        <w:spacing w:before="40" w:after="100" w:line="276" w:lineRule="auto"/>
      </w:pPr>
      <w:r>
        <w:rPr>
          <w:b/>
          <w:bCs/>
        </w:rPr>
        <w:t xml:space="preserve">Weak policy.</w:t>
      </w:r>
      <w:r>
        <w:t xml:space="preserve"> Too few policies create bankable projects, and the effective carbon price is too low.</w:t>
      </w:r>
    </w:p>
    <w:p>
      <w:pPr>
        <w:pStyle w:val="ListParagraph"/>
        <w:numPr>
          <w:ilvl w:val="0"/>
          <w:numId w:val="3"/>
        </w:numPr>
        <w:spacing w:before="40" w:after="100" w:line="276" w:lineRule="auto"/>
      </w:pPr>
      <w:r>
        <w:rPr>
          <w:b/>
          <w:bCs/>
        </w:rPr>
        <w:t xml:space="preserve">Costly capital.</w:t>
      </w:r>
      <w:r>
        <w:t xml:space="preserve"> Clean projects in developing countries pay too much for finance, and higher interest rates have cut demand for dollar-denominated IBRD loans.</w:t>
      </w:r>
    </w:p>
    <w:p>
      <w:pPr>
        <w:pStyle w:val="ListParagraph"/>
        <w:numPr>
          <w:ilvl w:val="0"/>
          <w:numId w:val="3"/>
        </w:numPr>
        <w:spacing w:before="40" w:after="100" w:line="276" w:lineRule="auto"/>
      </w:pPr>
      <w:r>
        <w:rPr>
          <w:b/>
          <w:bCs/>
        </w:rPr>
        <w:t xml:space="preserve">Thin capacity</w:t>
      </w:r>
      <w:r>
        <w:t xml:space="preserve"> to deliver the projects that net zero needs.</w:t>
      </w:r>
    </w:p>
    <w:p>
      <w:pPr>
        <w:pStyle w:val="ListParagraph"/>
        <w:numPr>
          <w:ilvl w:val="0"/>
          <w:numId w:val="3"/>
        </w:numPr>
        <w:spacing w:before="40" w:after="100" w:line="276" w:lineRule="auto"/>
      </w:pPr>
      <w:r>
        <w:rPr>
          <w:b/>
          <w:bCs/>
        </w:rPr>
        <w:t xml:space="preserve">Weak incentives.</w:t>
      </w:r>
      <w:r>
        <w:t xml:space="preserve"> Little rewards governments for green policy, and almost nothing rewards acting early. High dollar interest rates, young carbon markets and falling clean-tech costs all make waiting look sensible.</w:t>
      </w:r>
    </w:p>
    <w:p>
      <w:pPr>
        <w:pStyle w:val="ListParagraph"/>
        <w:numPr>
          <w:ilvl w:val="0"/>
          <w:numId w:val="3"/>
        </w:numPr>
        <w:spacing w:before="40" w:after="100" w:line="276" w:lineRule="auto"/>
      </w:pPr>
      <w:r>
        <w:rPr>
          <w:b/>
          <w:bCs/>
        </w:rPr>
        <w:t xml:space="preserve">Too little core capital.</w:t>
      </w:r>
      <w:r>
        <w:t xml:space="preserve"> Clean energy needs in developing countries run to thousands of billions of dollars. World Bank lending capacity runs to tens of billions.</w:t>
      </w:r>
    </w:p>
    <w:p>
      <w:pPr>
        <w:pStyle w:val="ListParagraph"/>
        <w:numPr>
          <w:ilvl w:val="0"/>
          <w:numId w:val="3"/>
        </w:numPr>
        <w:spacing w:before="40" w:after="100" w:line="276" w:lineRule="auto"/>
      </w:pPr>
      <w:r>
        <w:rPr>
          <w:b/>
          <w:bCs/>
        </w:rPr>
        <w:t xml:space="preserve">Unclear targets.</w:t>
      </w:r>
      <w:r>
        <w:t xml:space="preserve"> Countries lack clarity on how much clean infrastructure, above all renewable capacity, they must build by when, and on the conditions needed to build it.</w:t>
      </w:r>
    </w:p>
    <w:p>
      <w:pPr>
        <w:spacing w:before="100" w:after="160" w:line="276" w:lineRule="auto"/>
      </w:pPr>
      <w:r>
        <w:t xml:space="preserve">Global climate governance adds to the problem. Pledges are framed as emissions cuts rather than in countries’ own interest, such as renewable scale-up or green growth. They are not enforced, and they come with neither incentives nor finance. Meanwhile the climate finance architecture, built around projects, does little to support the policy reforms that would unlock private investment, and at times discourages them.</w:t>
      </w:r>
    </w:p>
    <w:p>
      <w:pPr>
        <w:pStyle w:val="Heading2"/>
        <w:keepNext/>
      </w:pPr>
      <w:bookmarkStart w:id="105" w:name="_Toc900000105"/>
      <w:r>
        <w:t xml:space="preserve">Core Ideas</w:t>
      </w:r>
      <w:bookmarkEnd w:id="105"/>
    </w:p>
    <w:p>
      <w:pPr>
        <w:keepNext/>
        <w:spacing w:before="100" w:after="160" w:line="276" w:lineRule="auto"/>
      </w:pPr>
      <w:r>
        <w:t xml:space="preserve">Climate policy so far has rarely been both politically and climatically realistic. Apart from renewable subsidies, it has not built momentum. The papers develop six ideas:</w:t>
      </w:r>
    </w:p>
    <w:p>
      <w:pPr>
        <w:pStyle w:val="ListParagraph"/>
        <w:numPr>
          <w:ilvl w:val="0"/>
          <w:numId w:val="1"/>
        </w:numPr>
        <w:spacing w:before="40" w:after="100" w:line="276" w:lineRule="auto"/>
      </w:pPr>
      <w:r>
        <w:rPr>
          <w:b/>
          <w:bCs/>
        </w:rPr>
        <w:t xml:space="preserve">Three collective action problems, not one.</w:t>
      </w:r>
      <w:r>
        <w:t xml:space="preserve"> Climate is a collective action problem between countries, but also within them and over time. Economics has focused almost entirely on the first.</w:t>
      </w:r>
    </w:p>
    <w:p>
      <w:pPr>
        <w:pStyle w:val="ListParagraph"/>
        <w:numPr>
          <w:ilvl w:val="0"/>
          <w:numId w:val="1"/>
        </w:numPr>
        <w:spacing w:before="40" w:after="100" w:line="276" w:lineRule="auto"/>
      </w:pPr>
      <w:r>
        <w:rPr>
          <w:b/>
          <w:bCs/>
        </w:rPr>
        <w:t xml:space="preserve">The carbon budget is nearly spent.</w:t>
      </w:r>
      <w:r>
        <w:t xml:space="preserve"> Safe paths look infeasible, and feasible paths look unsafe. We must cut as fast as we can, and also plan how to pay to draw carbon back down.</w:t>
      </w:r>
    </w:p>
    <w:p>
      <w:pPr>
        <w:pStyle w:val="ListParagraph"/>
        <w:numPr>
          <w:ilvl w:val="0"/>
          <w:numId w:val="1"/>
        </w:numPr>
        <w:spacing w:before="40" w:after="100" w:line="276" w:lineRule="auto"/>
      </w:pPr>
      <w:r>
        <w:rPr>
          <w:b/>
          <w:bCs/>
        </w:rPr>
        <w:t xml:space="preserve">Policy with backstops.</w:t>
      </w:r>
      <w:r>
        <w:t xml:space="preserve"> If carbon pricing fails, investment should carry the load. If national policy fails, international backstops should step in.</w:t>
      </w:r>
    </w:p>
    <w:p>
      <w:pPr>
        <w:pStyle w:val="ListParagraph"/>
        <w:numPr>
          <w:ilvl w:val="0"/>
          <w:numId w:val="1"/>
        </w:numPr>
        <w:spacing w:before="40" w:after="100" w:line="276" w:lineRule="auto"/>
      </w:pPr>
      <w:r>
        <w:rPr>
          <w:b/>
          <w:bCs/>
        </w:rPr>
        <w:t xml:space="preserve">Front-loaded investment can boost growth.</w:t>
      </w:r>
      <w:r>
        <w:t xml:space="preserve"> We need tools to measure the macroeconomic effect of bringing investment forward.</w:t>
      </w:r>
    </w:p>
    <w:p>
      <w:pPr>
        <w:pStyle w:val="ListParagraph"/>
        <w:numPr>
          <w:ilvl w:val="0"/>
          <w:numId w:val="1"/>
        </w:numPr>
        <w:spacing w:before="40" w:after="100" w:line="276" w:lineRule="auto"/>
      </w:pPr>
      <w:r>
        <w:rPr>
          <w:b/>
          <w:bCs/>
        </w:rPr>
        <w:t xml:space="preserve">Focus on the big wins.</w:t>
      </w:r>
      <w:r>
        <w:t xml:space="preserve"> China’s net zero, India’s coal, the Amazon and mid-sized upper-middle-income countries matter most. Preserve carbon in critical biomes, organize the coal-to-renewables transition, and set accelerating norms, such as net zero in a small island state, where many of these mechanisms could be piloted first.</w:t>
      </w:r>
    </w:p>
    <w:p>
      <w:pPr>
        <w:pStyle w:val="ListParagraph"/>
        <w:numPr>
          <w:ilvl w:val="0"/>
          <w:numId w:val="1"/>
        </w:numPr>
        <w:spacing w:before="40" w:after="100" w:line="276" w:lineRule="auto"/>
      </w:pPr>
      <w:r>
        <w:rPr>
          <w:b/>
          <w:bCs/>
        </w:rPr>
        <w:t xml:space="preserve">Policy-based MDB finance.</w:t>
      </w:r>
      <w:r>
        <w:t xml:space="preserve"> MDBs should reward policy, not just projects: value and reward preserved carbon stocks (3.1), give countries a single, lower all-in rate for their energy systems (2.1), and create a long-term global borrowing facility for countries that act. All of this needs a source of global de-risking equity capital (2.2).</w:t>
      </w:r>
    </w:p>
    <w:p>
      <w:pPr>
        <w:pStyle w:val="Heading2"/>
        <w:keepNext/>
      </w:pPr>
      <w:bookmarkStart w:id="106" w:name="_Toc900000106"/>
      <w:r>
        <w:t xml:space="preserve">How the Series Works</w:t>
      </w:r>
      <w:bookmarkEnd w:id="106"/>
    </w:p>
    <w:p>
      <w:pPr>
        <w:spacing w:before="100" w:after="160" w:line="276" w:lineRule="auto"/>
      </w:pPr>
      <w:r>
        <w:t xml:space="preserve">The series has two strands: briefing papers on climate finance and policy, and a short course in interdisciplinary climate economics, with a reading list and short slide deck per topic. The wider GeoProsperity blog is organized around five pillars: clean energy ramp-up, fossil energy ramp-down, ecosystem conservation and regeneration, carbon removal, and planetary thermostat technologies.</w:t>
      </w:r>
    </w:p>
    <w:p>
      <w:pPr>
        <w:keepNext/>
        <w:spacing w:before="100" w:after="160" w:line="276" w:lineRule="auto"/>
      </w:pPr>
      <w:r>
        <w:t xml:space="preserve">Each brief follows the same path:</w:t>
      </w:r>
    </w:p>
    <w:p>
      <w:pPr>
        <w:pStyle w:val="ListParagraph"/>
        <w:numPr>
          <w:ilvl w:val="0"/>
          <w:numId w:val="4"/>
        </w:numPr>
        <w:spacing w:before="40" w:after="100" w:line="276" w:lineRule="auto"/>
      </w:pPr>
      <w:r>
        <w:rPr>
          <w:b/>
          <w:bCs/>
        </w:rPr>
        <w:t xml:space="preserve">Blog.</w:t>
      </w:r>
      <w:r>
        <w:t xml:space="preserve"> A one-page post sets out the idea.</w:t>
      </w:r>
    </w:p>
    <w:p>
      <w:pPr>
        <w:pStyle w:val="ListParagraph"/>
        <w:numPr>
          <w:ilvl w:val="0"/>
          <w:numId w:val="4"/>
        </w:numPr>
        <w:spacing w:before="40" w:after="100" w:line="276" w:lineRule="auto"/>
      </w:pPr>
      <w:r>
        <w:rPr>
          <w:b/>
          <w:bCs/>
        </w:rPr>
        <w:t xml:space="preserve">Brief.</w:t>
      </w:r>
      <w:r>
        <w:t xml:space="preserve"> Two to four pages develop it and set out roles for fiscal authorities, private finance and MDBs, based on agency input and surveys of existing programs. Final briefs are numbered and published at climatefiscalfinance.org.</w:t>
      </w:r>
    </w:p>
    <w:p>
      <w:pPr>
        <w:pStyle w:val="ListParagraph"/>
        <w:numPr>
          <w:ilvl w:val="0"/>
          <w:numId w:val="4"/>
        </w:numPr>
        <w:spacing w:before="40" w:after="100" w:line="276" w:lineRule="auto"/>
      </w:pPr>
      <w:r>
        <w:rPr>
          <w:b/>
          <w:bCs/>
        </w:rPr>
        <w:t xml:space="preserve">Presentation.</w:t>
      </w:r>
      <w:r>
        <w:t xml:space="preserve"> A slide deck with a short narrative, or a podcast.</w:t>
      </w:r>
    </w:p>
    <w:p>
      <w:pPr>
        <w:pStyle w:val="ListParagraph"/>
        <w:numPr>
          <w:ilvl w:val="0"/>
          <w:numId w:val="4"/>
        </w:numPr>
        <w:spacing w:before="40" w:after="100" w:line="276" w:lineRule="auto"/>
      </w:pPr>
      <w:r>
        <w:rPr>
          <w:b/>
          <w:bCs/>
        </w:rPr>
        <w:t xml:space="preserve">Review.</w:t>
      </w:r>
      <w:r>
        <w:t xml:space="preserve"> The brief is discussed within the World Bank, with a focus on how to put it into practice, then peer reviewed and taken to a relevant conference. Reviewers include at least one person each from MTI, FCI, IFC, MIGA and CCG, plus an external reviewer, for example from WRI. The group meets every one to two months.</w:t>
      </w:r>
    </w:p>
    <w:p>
      <w:pPr>
        <w:pStyle w:val="ListParagraph"/>
        <w:numPr>
          <w:ilvl w:val="0"/>
          <w:numId w:val="4"/>
        </w:numPr>
        <w:spacing w:before="40" w:after="100" w:line="276" w:lineRule="auto"/>
      </w:pPr>
      <w:r>
        <w:rPr>
          <w:b/>
          <w:bCs/>
        </w:rPr>
        <w:t xml:space="preserve">Release.</w:t>
      </w:r>
      <w:r>
        <w:t xml:space="preserve"> Each brief is launched on a monthly call, first within the team, with a public event two to three months later. We encourage onward publication, for example as a working paper at a global institution.</w:t>
      </w:r>
    </w:p>
    <w:p>
      <w:pPr>
        <w:pStyle w:val="Heading2"/>
        <w:keepNext/>
      </w:pPr>
      <w:bookmarkStart w:id="107" w:name="_Toc900000107"/>
      <w:r>
        <w:t xml:space="preserve">Conclusion</w:t>
      </w:r>
      <w:bookmarkEnd w:id="107"/>
    </w:p>
    <w:p>
      <w:pPr>
        <w:spacing w:before="100" w:after="160" w:line="276" w:lineRule="auto"/>
      </w:pPr>
      <w:r>
        <w:t xml:space="preserve">The papers focus on mobilizing private capital. They also inform wider reform of international climate finance, and they give countries reasons to act early rather than late. With the right financing, policy and collective will, clean, abundant, affordable energy on a livable planet is within reach.</w:t>
      </w:r>
    </w:p>
    <w:p>
      <w:pPr>
        <w:pStyle w:val="Heading1"/>
        <w:keepNext/>
        <w:pageBreakBefore/>
      </w:pPr>
      <w:bookmarkStart w:id="108" w:name="_Toc900000108"/>
      <w:r>
        <w:t xml:space="preserve">Part II. The Papers</w:t>
      </w:r>
      <w:bookmarkEnd w:id="108"/>
    </w:p>
    <w:p>
      <w:pPr>
        <w:spacing w:before="100" w:after="160" w:line="276" w:lineRule="auto"/>
      </w:pPr>
      <w:r>
        <w:t xml:space="preserve">The papers fall into three themes, numbered as on </w:t>
      </w:r>
      <w:hyperlink r:id="rIdL1" w:history="1">
        <w:r>
          <w:rPr>
            <w:rStyle w:val="Hyperlink"/>
          </w:rPr>
          <w:t xml:space="preserve">climatefiscalfinance.org</w:t>
        </w:r>
      </w:hyperlink>
      <w:r>
        <w:t xml:space="preserve">. Papers from earlier drafts of this series that are not in the current portfolio appear in the appendix as A1 to A7.</w:t>
      </w:r>
    </w:p>
    <w:p>
      <w:pPr>
        <w:pStyle w:val="Heading2"/>
        <w:keepNext/>
      </w:pPr>
      <w:bookmarkStart w:id="109" w:name="_Toc900000109"/>
      <w:r>
        <w:t xml:space="preserve">1. Climate and Fiscal Policy</w:t>
      </w:r>
      <w:bookmarkEnd w:id="109"/>
    </w:p>
    <w:p>
      <w:pPr>
        <w:keepNext/>
        <w:spacing w:before="100" w:after="160" w:line="276" w:lineRule="auto"/>
      </w:pPr>
      <w:r>
        <w:rPr>
          <w:i/>
          <w:iCs/>
          <w:color w:val="404040"/>
        </w:rPr>
        <w:t xml:space="preserve">Carbon pricing a finance ministry can actually use: where the charge lands, what stands in for it when a headline price is not available, and where the point of measurement misfires.</w:t>
      </w:r>
    </w:p>
    <w:p>
      <w:pPr>
        <w:pStyle w:val="Heading3"/>
        <w:keepNext/>
      </w:pPr>
      <w:bookmarkStart w:id="110" w:name="_Toc900000110"/>
      <w:r>
        <w:t xml:space="preserve">1.1 Open Economy Carbon Pricing</w:t>
      </w:r>
      <w:bookmarkEnd w:id="110"/>
    </w:p>
    <w:p>
      <w:pPr>
        <w:spacing w:before="100" w:after="160" w:line="276" w:lineRule="auto"/>
      </w:pPr>
      <w:r>
        <w:t xml:space="preserve">Carbon pricing in open economies trades strong incentives against competitiveness. This paper separates the two. Production-side incentives can use feebates or benchmarked emissions trading. Consumption-side pricing can be applied at destination through VAT-style mechanisms and border rebates; a substantial appendix develops this carbon consumption tax in detail. The result is a more realistic route to comprehensive carbon pricing.</w:t>
      </w:r>
    </w:p>
    <w:p>
      <w:pPr>
        <w:spacing w:before="40" w:after="80" w:line="260" w:lineRule="auto"/>
      </w:pPr>
      <w:hyperlink r:id="rIdL2" w:history="1">
        <w:r>
          <w:rPr>
            <w:rStyle w:val="Hyperlink"/>
            <w:sz w:val="19"/>
            <w:szCs w:val="19"/>
          </w:rPr>
          <w:t xml:space="preserve">Read the paper →</w:t>
        </w:r>
      </w:hyperlink>
    </w:p>
    <w:p>
      <w:pPr>
        <w:pStyle w:val="Heading3"/>
        <w:keepNext/>
      </w:pPr>
      <w:bookmarkStart w:id="111" w:name="_Toc900000111"/>
      <w:r>
        <w:t xml:space="preserve">1.2 Feebates and Output-Based Rebating</w:t>
      </w:r>
      <w:bookmarkEnd w:id="111"/>
    </w:p>
    <w:p>
      <w:pPr>
        <w:keepNext/>
        <w:spacing w:before="100" w:after="160" w:line="276" w:lineRule="auto"/>
      </w:pPr>
      <w:r>
        <w:rPr>
          <w:b/>
          <w:bCs/>
        </w:rPr>
        <w:t xml:space="preserve">Authors:</w:t>
      </w:r>
      <w:r>
        <w:t xml:space="preserve"> Stephen Stretton and Nils Zimmermann.</w:t>
      </w:r>
    </w:p>
    <w:p>
      <w:pPr>
        <w:spacing w:before="100" w:after="160" w:line="276" w:lineRule="auto"/>
      </w:pPr>
      <w:r>
        <w:t xml:space="preserve">Governments that cannot sustain a headline carbon tax can often sustain a revenue-neutral benchmark. This paper treats feebates and output-based rebating as one instrument: a sectoral emissions-intensity benchmark plus a price on deviation from it. It sets out the design, revenue properties and competitiveness advantages over a uniform carbon price. The power sector is the worked case, with a parallel treatment of energy-intensive industry. In coal-heavy systems, a feebate avoids the exemptions and cut rates that carbon taxes attract, and rewards early transition without raising prices across the board.</w:t>
      </w:r>
    </w:p>
    <w:p>
      <w:pPr>
        <w:spacing w:before="40" w:after="80" w:line="260" w:lineRule="auto"/>
      </w:pPr>
      <w:hyperlink r:id="rIdL3" w:history="1">
        <w:r>
          <w:rPr>
            <w:rStyle w:val="Hyperlink"/>
            <w:sz w:val="19"/>
            <w:szCs w:val="19"/>
          </w:rPr>
          <w:t xml:space="preserve">Read the paper →</w:t>
        </w:r>
      </w:hyperlink>
    </w:p>
    <w:p>
      <w:pPr>
        <w:spacing w:before="40" w:after="80" w:line="260" w:lineRule="auto"/>
      </w:pPr>
      <w:r>
        <w:rPr>
          <w:color w:val="595959"/>
          <w:sz w:val="19"/>
          <w:szCs w:val="19"/>
        </w:rPr>
        <w:t xml:space="preserve">Earlier version: </w:t>
      </w:r>
      <w:r>
        <w:rPr>
          <w:i/>
          <w:iCs/>
          <w:color w:val="595959"/>
          <w:sz w:val="19"/>
          <w:szCs w:val="19"/>
        </w:rPr>
        <w:t xml:space="preserve">Power Sector Feebates: A Dynamic Approach to Overcoming Transitional Barriers and Decarbonizing the Capital Stock</w:t>
      </w:r>
      <w:r>
        <w:rPr>
          <w:color w:val="595959"/>
          <w:sz w:val="19"/>
          <w:szCs w:val="19"/>
        </w:rPr>
        <w:t xml:space="preserve"> — </w:t>
      </w:r>
      <w:hyperlink r:id="rIdL4" w:history="1">
        <w:r>
          <w:rPr>
            <w:rStyle w:val="Hyperlink"/>
            <w:sz w:val="19"/>
            <w:szCs w:val="19"/>
          </w:rPr>
          <w:t xml:space="preserve">briefing paper</w:t>
        </w:r>
      </w:hyperlink>
      <w:r>
        <w:rPr>
          <w:color w:val="595959"/>
          <w:sz w:val="19"/>
          <w:szCs w:val="19"/>
        </w:rPr>
        <w:t xml:space="preserve"> (Canva), </w:t>
      </w:r>
      <w:hyperlink r:id="rIdL5" w:history="1">
        <w:r>
          <w:rPr>
            <w:rStyle w:val="Hyperlink"/>
            <w:sz w:val="19"/>
            <w:szCs w:val="19"/>
          </w:rPr>
          <w:t xml:space="preserve">long-form paper</w:t>
        </w:r>
      </w:hyperlink>
      <w:r>
        <w:rPr>
          <w:color w:val="595959"/>
          <w:sz w:val="19"/>
          <w:szCs w:val="19"/>
        </w:rPr>
        <w:t xml:space="preserve"> (Google Drive).</w:t>
      </w:r>
    </w:p>
    <w:p>
      <w:pPr>
        <w:pStyle w:val="Heading3"/>
        <w:keepNext/>
      </w:pPr>
      <w:bookmarkStart w:id="112" w:name="_Toc900000112"/>
      <w:r>
        <w:t xml:space="preserve">1.3 Iron, Steel, CBAM and the Limits of Point-Source Carbon Pricing</w:t>
      </w:r>
      <w:bookmarkEnd w:id="112"/>
    </w:p>
    <w:p>
      <w:pPr>
        <w:spacing w:before="100" w:after="160" w:line="276" w:lineRule="auto"/>
      </w:pPr>
      <w:r>
        <w:t xml:space="preserve">CBAM-style border carbon charges can favor scrap-based steel in ways that cut reported emissions without cutting global emissions. This paper examines the problem in iron and steel, with possible relevance to aluminum, and proposes an opportunity-cost adjustment for scrap-based production. It identifies a potentially material flaw in how point-source carbon pricing treats primary versus secondary production.</w:t>
      </w:r>
    </w:p>
    <w:p>
      <w:pPr>
        <w:spacing w:before="40" w:after="80" w:line="260" w:lineRule="auto"/>
      </w:pPr>
      <w:hyperlink r:id="rIdL6" w:history="1">
        <w:r>
          <w:rPr>
            <w:rStyle w:val="Hyperlink"/>
            <w:sz w:val="19"/>
            <w:szCs w:val="19"/>
          </w:rPr>
          <w:t xml:space="preserve">Read the paper →</w:t>
        </w:r>
      </w:hyperlink>
    </w:p>
    <w:p>
      <w:pPr>
        <w:pStyle w:val="Heading2"/>
        <w:keepNext/>
      </w:pPr>
      <w:bookmarkStart w:id="113" w:name="_Toc900000113"/>
      <w:r>
        <w:t xml:space="preserve">2. Finance and Risk</w:t>
      </w:r>
      <w:bookmarkEnd w:id="113"/>
    </w:p>
    <w:p>
      <w:pPr>
        <w:keepNext/>
        <w:spacing w:before="100" w:after="160" w:line="276" w:lineRule="auto"/>
      </w:pPr>
      <w:r>
        <w:rPr>
          <w:i/>
          <w:iCs/>
          <w:color w:val="404040"/>
        </w:rPr>
        <w:t xml:space="preserve">The cost of capital, not the cost of technology, holds back clean power in developing countries, and that cost reflects five risks, not one.</w:t>
      </w:r>
    </w:p>
    <w:p>
      <w:pPr>
        <w:pStyle w:val="Heading3"/>
        <w:keepNext/>
      </w:pPr>
      <w:bookmarkStart w:id="114" w:name="_Toc900000114"/>
      <w:r>
        <w:t xml:space="preserve">2.1 Climate Finance Intermediation for Clean Power</w:t>
      </w:r>
      <w:bookmarkEnd w:id="114"/>
    </w:p>
    <w:p>
      <w:pPr>
        <w:keepNext/>
        <w:spacing w:before="100" w:after="160" w:line="276" w:lineRule="auto"/>
      </w:pPr>
      <w:r>
        <w:rPr>
          <w:b/>
          <w:bCs/>
        </w:rPr>
        <w:t xml:space="preserve">Authors:</w:t>
      </w:r>
      <w:r>
        <w:t xml:space="preserve"> Stephen Stretton, Nils Zimmermann, Pablo Salas and Claudio Forner.</w:t>
      </w:r>
    </w:p>
    <w:p>
      <w:pPr>
        <w:spacing w:before="100" w:after="160" w:line="276" w:lineRule="auto"/>
      </w:pPr>
      <w:r>
        <w:t xml:space="preserve">The cost of capital for clean power in developing countries is set less by the project than by the creditworthiness of the distribution company that buys the power. This paper removes that risk at source through a Renewable Energy Payment Intermediary Facility, which plays a role like that of the Solar Energy Corporation of India (SECI).</w:t>
      </w:r>
      <w:r>
        <w:rPr>
          <w:rStyle w:val="FootnoteReference"/>
        </w:rPr>
        <w:footnoteReference w:id="1"/>
      </w:r>
      <w:r>
        <w:t xml:space="preserve"> National in large markets and regional in small ones, it buys power under a standard agreement and pays generators in full and on time, whether or not the distributor has paid. A contracted guarantee waterfall backs it, running from the distributor through subnational and national government to a multilateral agency.</w:t>
      </w:r>
    </w:p>
    <w:p>
      <w:pPr>
        <w:spacing w:before="100" w:after="160" w:line="276" w:lineRule="auto"/>
      </w:pPr>
      <w:r>
        <w:t xml:space="preserve">Contracts underwritten this way support synthetic sovereign bonds. These are rated at developed-sovereign levels, co-guaranteed by a consortium of developed countries, and reach institutional investors and domestic savings without using host-country fiscal space.</w:t>
      </w:r>
      <w:r>
        <w:rPr>
          <w:rStyle w:val="FootnoteReference"/>
        </w:rPr>
        <w:footnoteReference w:id="2"/>
      </w:r>
      <w:r>
        <w:t xml:space="preserve"> For countries in debt distress, the same intermediary can sell energy as a pay-as-you-go service rather than finance assets with debt.</w:t>
      </w:r>
    </w:p>
    <w:p>
      <w:pPr>
        <w:spacing w:before="40" w:after="80" w:line="260" w:lineRule="auto"/>
      </w:pPr>
      <w:hyperlink r:id="rIdL7" w:history="1">
        <w:r>
          <w:rPr>
            <w:rStyle w:val="Hyperlink"/>
            <w:sz w:val="19"/>
            <w:szCs w:val="19"/>
          </w:rPr>
          <w:t xml:space="preserve">Read the paper →</w:t>
        </w:r>
      </w:hyperlink>
    </w:p>
    <w:p>
      <w:pPr>
        <w:spacing w:before="40" w:after="80" w:line="260" w:lineRule="auto"/>
      </w:pPr>
      <w:r>
        <w:rPr>
          <w:color w:val="595959"/>
          <w:sz w:val="19"/>
          <w:szCs w:val="19"/>
        </w:rPr>
        <w:t xml:space="preserve">Earlier version: </w:t>
      </w:r>
      <w:r>
        <w:rPr>
          <w:i/>
          <w:iCs/>
          <w:color w:val="595959"/>
          <w:sz w:val="19"/>
          <w:szCs w:val="19"/>
        </w:rPr>
        <w:t xml:space="preserve">A Solar Payments Intermediary and Finance Agency (SPIF)</w:t>
      </w:r>
      <w:r>
        <w:rPr>
          <w:color w:val="595959"/>
          <w:sz w:val="19"/>
          <w:szCs w:val="19"/>
        </w:rPr>
        <w:t xml:space="preserve">.</w:t>
      </w:r>
    </w:p>
    <w:p>
      <w:pPr>
        <w:pStyle w:val="Heading3"/>
        <w:keepNext/>
      </w:pPr>
      <w:bookmarkStart w:id="115" w:name="_Toc900000115"/>
      <w:r>
        <w:t xml:space="preserve">2.2 The Climate Investment Trust: Equity Funds as Climate and Sovereign Lending Collateral</w:t>
      </w:r>
      <w:bookmarkEnd w:id="115"/>
    </w:p>
    <w:p>
      <w:pPr>
        <w:keepNext/>
        <w:spacing w:before="100" w:after="160" w:line="276" w:lineRule="auto"/>
      </w:pPr>
      <w:r>
        <w:rPr>
          <w:b/>
          <w:bCs/>
        </w:rPr>
        <w:t xml:space="preserve">Authors:</w:t>
      </w:r>
      <w:r>
        <w:t xml:space="preserve"> Stephen Stretton and Nils Zimmermann.</w:t>
      </w:r>
    </w:p>
    <w:p>
      <w:pPr>
        <w:keepNext/>
        <w:spacing w:before="100" w:after="160" w:line="276" w:lineRule="auto"/>
      </w:pPr>
      <w:r>
        <w:t xml:space="preserve">Every tool for cutting the cost of clean power debt assumes equity underneath it, and the countries that most need investment lack that equity. Public support also tends to back projects one by one, without creating reusable collateral. This paper proposes leveraged equity funds that do two jobs with one pool of capital: they invest in projects, and they serve as collateral for credit enhancement elsewhere, including climate and sovereign lending. Organized regionally with the multilateral and regional development banks, a fund would:</w:t>
      </w:r>
    </w:p>
    <w:p>
      <w:pPr>
        <w:pStyle w:val="ListParagraph"/>
        <w:numPr>
          <w:ilvl w:val="0"/>
          <w:numId w:val="1"/>
        </w:numPr>
        <w:spacing w:before="40" w:after="100" w:line="276" w:lineRule="auto"/>
      </w:pPr>
      <w:r>
        <w:t xml:space="preserve">co-invest at the development stage, where a credible institution crowds in others;</w:t>
      </w:r>
    </w:p>
    <w:p>
      <w:pPr>
        <w:pStyle w:val="ListParagraph"/>
        <w:numPr>
          <w:ilvl w:val="0"/>
          <w:numId w:val="1"/>
        </w:numPr>
        <w:spacing w:before="40" w:after="100" w:line="276" w:lineRule="auto"/>
      </w:pPr>
      <w:r>
        <w:t xml:space="preserve">hold first loss in portfolios of operating assets, turning the debt raised against them into near risk-free paper; and</w:t>
      </w:r>
    </w:p>
    <w:p>
      <w:pPr>
        <w:pStyle w:val="ListParagraph"/>
        <w:numPr>
          <w:ilvl w:val="0"/>
          <w:numId w:val="1"/>
        </w:numPr>
        <w:spacing w:before="40" w:after="100" w:line="276" w:lineRule="auto"/>
      </w:pPr>
      <w:r>
        <w:t xml:space="preserve">cross-guarantee bonds of projects it does not own, earning a diversification benefit.</w:t>
      </w:r>
    </w:p>
    <w:p>
      <w:pPr>
        <w:spacing w:before="100" w:after="160" w:line="276" w:lineRule="auto"/>
      </w:pPr>
      <w:r>
        <w:t xml:space="preserve">The result is a recyclable public balance-sheet instrument. It lowers the cost of capital, stretches scarce concessional funds, and gives domestic savers a deposit-like green asset where no local-currency capital market exists. Whether it works depends on governance, the price at which first loss is taken, and whether the fund may recycle capital.</w:t>
      </w:r>
    </w:p>
    <w:p>
      <w:pPr>
        <w:spacing w:before="40" w:after="80" w:line="260" w:lineRule="auto"/>
      </w:pPr>
      <w:hyperlink r:id="rIdL8" w:history="1">
        <w:r>
          <w:rPr>
            <w:rStyle w:val="Hyperlink"/>
            <w:sz w:val="19"/>
            <w:szCs w:val="19"/>
          </w:rPr>
          <w:t xml:space="preserve">Read the paper →</w:t>
        </w:r>
      </w:hyperlink>
    </w:p>
    <w:p>
      <w:pPr>
        <w:spacing w:before="40" w:after="80" w:line="260" w:lineRule="auto"/>
      </w:pPr>
      <w:r>
        <w:rPr>
          <w:color w:val="595959"/>
          <w:sz w:val="19"/>
          <w:szCs w:val="19"/>
        </w:rPr>
        <w:t xml:space="preserve">Earlier version: </w:t>
      </w:r>
      <w:r>
        <w:rPr>
          <w:i/>
          <w:iCs/>
          <w:color w:val="595959"/>
          <w:sz w:val="19"/>
          <w:szCs w:val="19"/>
        </w:rPr>
        <w:t xml:space="preserve">The Climate Incentives Trust</w:t>
      </w:r>
      <w:r>
        <w:rPr>
          <w:color w:val="595959"/>
          <w:sz w:val="19"/>
          <w:szCs w:val="19"/>
        </w:rPr>
        <w:t xml:space="preserve">, which also made donor allocations to country accounts conditional on mitigation action, so that the trust rewarded speed rather than delay — </w:t>
      </w:r>
      <w:hyperlink r:id="rIdL9" w:history="1">
        <w:r>
          <w:rPr>
            <w:rStyle w:val="Hyperlink"/>
            <w:sz w:val="19"/>
            <w:szCs w:val="19"/>
          </w:rPr>
          <w:t xml:space="preserve">briefing paper</w:t>
        </w:r>
      </w:hyperlink>
      <w:r>
        <w:rPr>
          <w:color w:val="595959"/>
          <w:sz w:val="19"/>
          <w:szCs w:val="19"/>
        </w:rPr>
        <w:t xml:space="preserve"> (Canva), </w:t>
      </w:r>
      <w:hyperlink r:id="rIdL10" w:history="1">
        <w:r>
          <w:rPr>
            <w:rStyle w:val="Hyperlink"/>
            <w:sz w:val="19"/>
            <w:szCs w:val="19"/>
          </w:rPr>
          <w:t xml:space="preserve">long-form paper</w:t>
        </w:r>
      </w:hyperlink>
      <w:r>
        <w:rPr>
          <w:color w:val="595959"/>
          <w:sz w:val="19"/>
          <w:szCs w:val="19"/>
        </w:rPr>
        <w:t xml:space="preserve">, </w:t>
      </w:r>
      <w:hyperlink r:id="rIdL11" w:history="1">
        <w:r>
          <w:rPr>
            <w:rStyle w:val="Hyperlink"/>
            <w:sz w:val="19"/>
            <w:szCs w:val="19"/>
          </w:rPr>
          <w:t xml:space="preserve">technical summary</w:t>
        </w:r>
      </w:hyperlink>
      <w:r>
        <w:rPr>
          <w:color w:val="595959"/>
          <w:sz w:val="19"/>
          <w:szCs w:val="19"/>
        </w:rPr>
        <w:t xml:space="preserve"> (Google Drive).</w:t>
      </w:r>
    </w:p>
    <w:p>
      <w:pPr>
        <w:pStyle w:val="Heading2"/>
        <w:keepNext/>
      </w:pPr>
      <w:bookmarkStart w:id="116" w:name="_Toc900000116"/>
      <w:r>
        <w:t xml:space="preserve">3. Sovereign Incentives and MDBs</w:t>
      </w:r>
      <w:bookmarkEnd w:id="116"/>
    </w:p>
    <w:p>
      <w:pPr>
        <w:keepNext/>
        <w:spacing w:before="100" w:after="160" w:line="276" w:lineRule="auto"/>
      </w:pPr>
      <w:r>
        <w:rPr>
          <w:i/>
          <w:iCs/>
          <w:color w:val="404040"/>
        </w:rPr>
        <w:t xml:space="preserve">What would make a government choose differently: which performance is rewarded, how the reward reaches the country, where the money comes from, and which institution can deliver it.</w:t>
      </w:r>
    </w:p>
    <w:p>
      <w:pPr>
        <w:pStyle w:val="Heading3"/>
        <w:keepNext/>
      </w:pPr>
      <w:bookmarkStart w:id="117" w:name="_Toc900000117"/>
      <w:r>
        <w:t xml:space="preserve">3.1 Notional Capitalised Value and Guarantees</w:t>
      </w:r>
      <w:bookmarkEnd w:id="117"/>
    </w:p>
    <w:p>
      <w:pPr>
        <w:spacing w:before="100" w:after="160" w:line="276" w:lineRule="auto"/>
      </w:pPr>
      <w:r>
        <w:t xml:space="preserve">Climate finance mostly rewards marginal cuts against a counterfactual nobody can observe. It says too little about absolute emissions, long-run performance, or the value of carbon stocks that were never cut. This paper proposes a notional climate balance for each country, linked to its carbon stocks and long-run emissions performance. Brazil’s Amazon, for example, might be valued at $1 trillion, as might China’s and India’s coal reserves. The balance is delivered as guarantee-based support rather than cash, and business-as-usual emissions slowly use it up.</w:t>
      </w:r>
    </w:p>
    <w:p>
      <w:pPr>
        <w:spacing w:before="100" w:after="160" w:line="276" w:lineRule="auto"/>
      </w:pPr>
      <w:r>
        <w:t xml:space="preserve">A balance rather than a transfer does two things. It can be borrowed against, and it avoids the fiscal-transfer politics that make large climate payments impossible in donor capitals. And because the balance erodes if nothing is done, the incentive to act starts in year one.</w:t>
      </w:r>
    </w:p>
    <w:p>
      <w:pPr>
        <w:pStyle w:val="Heading3"/>
        <w:keepNext/>
      </w:pPr>
      <w:bookmarkStart w:id="118" w:name="_Toc900000118"/>
      <w:r>
        <w:t xml:space="preserve">3.2 Sustainability-Linked Lending and Related Structures at the World Bank</w:t>
      </w:r>
      <w:bookmarkEnd w:id="118"/>
    </w:p>
    <w:p>
      <w:pPr>
        <w:spacing w:before="100" w:after="160" w:line="276" w:lineRule="auto"/>
      </w:pPr>
      <w:r>
        <w:t xml:space="preserve">The World Bank has built several sustainability-linked loans and related structures, but each is bespoke and hard to replicate. This paper proposes a codified approach, with standard key performance indicator (KPI) menus, simpler verification and workable pricing. That opens a path from one-off deals to a scalable sovereign incentive instrument. A related proposal for sustainability-linked intermediated debt appears in A4.</w:t>
      </w:r>
    </w:p>
    <w:p>
      <w:pPr>
        <w:spacing w:before="40" w:after="80" w:line="260" w:lineRule="auto"/>
      </w:pPr>
      <w:hyperlink r:id="rIdL12" w:history="1">
        <w:r>
          <w:rPr>
            <w:rStyle w:val="Hyperlink"/>
            <w:sz w:val="19"/>
            <w:szCs w:val="19"/>
          </w:rPr>
          <w:t xml:space="preserve">Read the paper →</w:t>
        </w:r>
      </w:hyperlink>
    </w:p>
    <w:p>
      <w:pPr>
        <w:pStyle w:val="Heading1"/>
        <w:keepNext/>
        <w:pageBreakBefore/>
      </w:pPr>
      <w:bookmarkStart w:id="119" w:name="_Toc900000119"/>
      <w:r>
        <w:t xml:space="preserve">Appendix: Additional Papers</w:t>
      </w:r>
      <w:bookmarkEnd w:id="119"/>
    </w:p>
    <w:p>
      <w:pPr>
        <w:spacing w:before="100" w:after="160" w:line="276" w:lineRule="auto"/>
      </w:pPr>
      <w:r>
        <w:t xml:space="preserve">These papers come from earlier drafts of the series and are not part of the current portfolio. Where one overlaps with a main paper, the link is noted.</w:t>
      </w:r>
    </w:p>
    <w:p>
      <w:pPr>
        <w:pStyle w:val="Heading3"/>
        <w:keepNext/>
      </w:pPr>
      <w:bookmarkStart w:id="120" w:name="_Toc900000120"/>
      <w:r>
        <w:t xml:space="preserve">A1. Finance, Carbon Pricing and Power Market Reforms to Meet Indian Climate Policy Goals</w:t>
      </w:r>
      <w:bookmarkEnd w:id="120"/>
    </w:p>
    <w:p>
      <w:pPr>
        <w:keepNext/>
        <w:spacing w:before="100" w:after="160" w:line="276" w:lineRule="auto"/>
      </w:pPr>
      <w:r>
        <w:rPr>
          <w:b/>
          <w:bCs/>
        </w:rPr>
        <w:t xml:space="preserve">Authors:</w:t>
      </w:r>
      <w:r>
        <w:t xml:space="preserve"> Stephen Stretton and Nils Zimmermann.</w:t>
      </w:r>
    </w:p>
    <w:p>
      <w:pPr>
        <w:spacing w:before="100" w:after="160" w:line="276" w:lineRule="auto"/>
      </w:pPr>
      <w:r>
        <w:t xml:space="preserve">India aims to scale up renewables, cut carbon intensity and reach net zero by 2070. That needs reform of power markets, carbon pricing and finance to speed the shift from coal. The paper proposes a feebate on power producers based on emissions intensity (see 1.2), which drives decarbonization while keeping electricity prices stable. It calls for concessional finance to repurpose coal plant sites and retrain workers, and for a greener financial sector that manages climate risk and steers capital to low-carbon investment. A faster transition could make India a clean energy leader, with wider market access and a strong place in cleantech supply chains.</w:t>
      </w:r>
    </w:p>
    <w:p>
      <w:pPr>
        <w:spacing w:before="40" w:after="80" w:line="260" w:lineRule="auto"/>
      </w:pPr>
      <w:hyperlink r:id="rIdL13" w:history="1">
        <w:r>
          <w:rPr>
            <w:rStyle w:val="Hyperlink"/>
            <w:sz w:val="19"/>
            <w:szCs w:val="19"/>
          </w:rPr>
          <w:t xml:space="preserve">Briefing paper</w:t>
        </w:r>
      </w:hyperlink>
      <w:r>
        <w:rPr>
          <w:color w:val="595959"/>
          <w:sz w:val="19"/>
          <w:szCs w:val="19"/>
        </w:rPr>
        <w:t xml:space="preserve"> (Canva)  ·  </w:t>
      </w:r>
      <w:hyperlink r:id="rIdL14" w:history="1">
        <w:r>
          <w:rPr>
            <w:rStyle w:val="Hyperlink"/>
            <w:sz w:val="19"/>
            <w:szCs w:val="19"/>
          </w:rPr>
          <w:t xml:space="preserve">Long-form paper</w:t>
        </w:r>
      </w:hyperlink>
      <w:r>
        <w:rPr>
          <w:color w:val="595959"/>
          <w:sz w:val="19"/>
          <w:szCs w:val="19"/>
        </w:rPr>
        <w:t xml:space="preserve">  ·  </w:t>
      </w:r>
      <w:hyperlink r:id="rIdL15" w:history="1">
        <w:r>
          <w:rPr>
            <w:rStyle w:val="Hyperlink"/>
            <w:sz w:val="19"/>
            <w:szCs w:val="19"/>
          </w:rPr>
          <w:t xml:space="preserve">Shorter paper</w:t>
        </w:r>
      </w:hyperlink>
      <w:r>
        <w:rPr>
          <w:color w:val="595959"/>
          <w:sz w:val="19"/>
          <w:szCs w:val="19"/>
        </w:rPr>
        <w:t xml:space="preserve"> (Google Drive)</w:t>
      </w:r>
    </w:p>
    <w:p>
      <w:pPr>
        <w:pStyle w:val="Heading3"/>
        <w:keepNext/>
      </w:pPr>
      <w:bookmarkStart w:id="121" w:name="_Toc900000121"/>
      <w:r>
        <w:t xml:space="preserve">A2. A Financial Plan for a Global Solar Economy</w:t>
      </w:r>
      <w:bookmarkEnd w:id="121"/>
    </w:p>
    <w:p>
      <w:pPr>
        <w:keepNext/>
        <w:spacing w:before="100" w:after="160" w:line="276" w:lineRule="auto"/>
      </w:pPr>
      <w:r>
        <w:rPr>
          <w:b/>
          <w:bCs/>
        </w:rPr>
        <w:t xml:space="preserve">Authors:</w:t>
      </w:r>
      <w:r>
        <w:t xml:space="preserve"> Stephen Stretton, Nils Zimmermann, Pablo Salas and Claudio Forner.</w:t>
      </w:r>
    </w:p>
    <w:p>
      <w:pPr>
        <w:spacing w:before="100" w:after="160" w:line="276" w:lineRule="auto"/>
      </w:pPr>
      <w:r>
        <w:t xml:space="preserve">This paper combines the payment intermediary in 2.1 with a global public equity fund that draws on the trust in 2.2. Power purchase agreements, secured through the intermediary, back green asset-backed securities. Paired with a Global Solar Economy Equity Fund, the model draws in risk-averse investors such as pension and sovereign wealth funds, while profit-sharing rewards countries that act early. It has also circulated as </w:t>
      </w:r>
      <w:r>
        <w:rPr>
          <w:i/>
          <w:iCs/>
        </w:rPr>
        <w:t xml:space="preserve">A Proposal for a Global Solar Economy Financing System</w:t>
      </w:r>
      <w:r>
        <w:t xml:space="preserve">.</w:t>
      </w:r>
    </w:p>
    <w:p>
      <w:pPr>
        <w:spacing w:before="40" w:after="80" w:line="260" w:lineRule="auto"/>
      </w:pPr>
      <w:hyperlink r:id="rIdL16" w:history="1">
        <w:r>
          <w:rPr>
            <w:rStyle w:val="Hyperlink"/>
            <w:sz w:val="19"/>
            <w:szCs w:val="19"/>
          </w:rPr>
          <w:t xml:space="preserve">Briefing paper</w:t>
        </w:r>
      </w:hyperlink>
      <w:r>
        <w:rPr>
          <w:color w:val="595959"/>
          <w:sz w:val="19"/>
          <w:szCs w:val="19"/>
        </w:rPr>
        <w:t xml:space="preserve"> (Canva)  ·  </w:t>
      </w:r>
      <w:hyperlink r:id="rIdL17" w:history="1">
        <w:r>
          <w:rPr>
            <w:rStyle w:val="Hyperlink"/>
            <w:sz w:val="19"/>
            <w:szCs w:val="19"/>
          </w:rPr>
          <w:t xml:space="preserve">Long-form paper</w:t>
        </w:r>
      </w:hyperlink>
      <w:r>
        <w:rPr>
          <w:color w:val="595959"/>
          <w:sz w:val="19"/>
          <w:szCs w:val="19"/>
        </w:rPr>
        <w:t xml:space="preserve"> (Google Drive)</w:t>
      </w:r>
    </w:p>
    <w:p>
      <w:pPr>
        <w:pStyle w:val="Heading3"/>
        <w:keepNext/>
      </w:pPr>
      <w:bookmarkStart w:id="122" w:name="_Toc900000122"/>
      <w:r>
        <w:t xml:space="preserve">A3. Proposing a Mechanism for Implementing the Evolution Roadmap on Climate</w:t>
      </w:r>
      <w:bookmarkEnd w:id="122"/>
    </w:p>
    <w:p>
      <w:pPr>
        <w:keepNext/>
        <w:spacing w:before="100" w:after="160" w:line="276" w:lineRule="auto"/>
      </w:pPr>
      <w:r>
        <w:rPr>
          <w:b/>
          <w:bCs/>
        </w:rPr>
        <w:t xml:space="preserve">Authors:</w:t>
      </w:r>
      <w:r>
        <w:t xml:space="preserve"> Dirk Heine and others. Background paper for this series.</w:t>
      </w:r>
    </w:p>
    <w:p>
      <w:pPr>
        <w:spacing w:before="100" w:after="160" w:line="276" w:lineRule="auto"/>
      </w:pPr>
      <w:r>
        <w:t xml:space="preserve">The climate and fiscal crises of this decade call for a shift in World Bank Group strategy. Emerging markets face record emissions and debt, and mobilizing private investment requires a move from project-based to policy-based climate finance. Yet the current architecture discourages policy reform. The paper proposes strengthening EFI’s capacity for climate policy lending, raising the climate share of Development Policy Financing (DPF) from 25 to 40 percent, and rewarding major climate reforms as global public goods. It sets out two funding options: topping up dedicated DPFs with bilateral climate finance, or a global mechanism that adds funds to any DPF with agreed transformational policy actions. It includes a draft list of such reforms backed by EFI Global Practice programs.</w:t>
      </w:r>
    </w:p>
    <w:p>
      <w:pPr>
        <w:pStyle w:val="Heading3"/>
        <w:keepNext/>
      </w:pPr>
      <w:bookmarkStart w:id="123" w:name="_Toc900000123"/>
      <w:r>
        <w:t xml:space="preserve">A4. Mobilizing Private Finance for the Climate Agenda: Introducing Sustainability-Linked Intermediated Debt Instruments</w:t>
      </w:r>
      <w:bookmarkEnd w:id="123"/>
    </w:p>
    <w:p>
      <w:pPr>
        <w:keepNext/>
        <w:spacing w:before="100" w:after="160" w:line="276" w:lineRule="auto"/>
      </w:pPr>
      <w:r>
        <w:rPr>
          <w:b/>
          <w:bCs/>
        </w:rPr>
        <w:t xml:space="preserve">Authors:</w:t>
      </w:r>
      <w:r>
        <w:t xml:space="preserve"> Marcello Estevão, Stephen Stretton and Nils Zimmermann.</w:t>
      </w:r>
    </w:p>
    <w:p>
      <w:pPr>
        <w:spacing w:before="100" w:after="160" w:line="276" w:lineRule="auto"/>
      </w:pPr>
      <w:r>
        <w:t xml:space="preserve">Sustainability-linked bond issuance has fallen since its 2021 peak. Sustainability-Linked Intermediated Debt Instruments (SLIDIs) remove one cause: return uncertainty for investors. Investors buy bonds with fixed coupons. Borrowers that meet agreed KPIs get interest rebates, funded by a third party such as the World Bank, through results-based payments, or a donor trust fund.</w:t>
      </w:r>
    </w:p>
    <w:p>
      <w:pPr>
        <w:spacing w:before="100" w:after="160" w:line="276" w:lineRule="auto"/>
      </w:pPr>
      <w:r>
        <w:t xml:space="preserve">In the related Trusted Intermediary Model, countries borrow for green infrastructure through a low-risk intermediary: the World Bank itself, or a special purpose vehicle backed by developed countries and a capital buffer. Countries that meet their KPIs pay close to the intermediary’s rate; those that miss pay close to their own sovereign rate. Related: 3.2.</w:t>
      </w:r>
    </w:p>
    <w:p>
      <w:pPr>
        <w:spacing w:before="40" w:after="80" w:line="260" w:lineRule="auto"/>
      </w:pPr>
      <w:hyperlink r:id="rIdL18" w:history="1">
        <w:r>
          <w:rPr>
            <w:rStyle w:val="Hyperlink"/>
            <w:sz w:val="19"/>
            <w:szCs w:val="19"/>
          </w:rPr>
          <w:t xml:space="preserve">Briefing paper</w:t>
        </w:r>
      </w:hyperlink>
      <w:r>
        <w:rPr>
          <w:color w:val="595959"/>
          <w:sz w:val="19"/>
          <w:szCs w:val="19"/>
        </w:rPr>
        <w:t xml:space="preserve"> (Canva)  ·  </w:t>
      </w:r>
      <w:hyperlink r:id="rIdL19" w:history="1">
        <w:r>
          <w:rPr>
            <w:rStyle w:val="Hyperlink"/>
            <w:sz w:val="19"/>
            <w:szCs w:val="19"/>
          </w:rPr>
          <w:t xml:space="preserve">Long-form paper</w:t>
        </w:r>
      </w:hyperlink>
      <w:r>
        <w:rPr>
          <w:color w:val="595959"/>
          <w:sz w:val="19"/>
          <w:szCs w:val="19"/>
        </w:rPr>
        <w:t xml:space="preserve"> (Google Drive)  ·  </w:t>
      </w:r>
      <w:hyperlink r:id="rIdL20" w:history="1">
        <w:r>
          <w:rPr>
            <w:rStyle w:val="Hyperlink"/>
            <w:sz w:val="19"/>
            <w:szCs w:val="19"/>
          </w:rPr>
          <w:t xml:space="preserve">Published article</w:t>
        </w:r>
      </w:hyperlink>
      <w:r>
        <w:rPr>
          <w:color w:val="595959"/>
          <w:sz w:val="19"/>
          <w:szCs w:val="19"/>
        </w:rPr>
        <w:t xml:space="preserve"> (IFC Review)</w:t>
      </w:r>
    </w:p>
    <w:p>
      <w:pPr>
        <w:pStyle w:val="Heading3"/>
        <w:keepNext/>
      </w:pPr>
      <w:bookmarkStart w:id="124" w:name="_Toc900000124"/>
      <w:r>
        <w:t xml:space="preserve">A5. MDB Reform and Incentives for Paris Agreement Compliance</w:t>
      </w:r>
      <w:bookmarkEnd w:id="124"/>
    </w:p>
    <w:p>
      <w:pPr>
        <w:keepNext/>
        <w:spacing w:before="100" w:after="160" w:line="276" w:lineRule="auto"/>
      </w:pPr>
      <w:r>
        <w:rPr>
          <w:b/>
          <w:bCs/>
        </w:rPr>
        <w:t xml:space="preserve">Author:</w:t>
      </w:r>
      <w:r>
        <w:t xml:space="preserve"> Stephen Stretton.</w:t>
      </w:r>
    </w:p>
    <w:p>
      <w:pPr>
        <w:spacing w:before="100" w:after="160" w:line="276" w:lineRule="auto"/>
      </w:pPr>
      <w:r>
        <w:t xml:space="preserve">This paper looks at how MDBs, and the World Bank Group above all, can scale up climate action as both lenders and policy influencers, including through their work on carbon market instruments. It names two problems to solve: scale and policy incentives. It argues that the Group should expand its mandate to prioritize nature protection and sharply increase mitigation finance.</w:t>
      </w:r>
    </w:p>
    <w:p>
      <w:pPr>
        <w:spacing w:before="40" w:after="80" w:line="260" w:lineRule="auto"/>
      </w:pPr>
      <w:hyperlink r:id="rIdL21" w:history="1">
        <w:r>
          <w:rPr>
            <w:rStyle w:val="Hyperlink"/>
            <w:sz w:val="19"/>
            <w:szCs w:val="19"/>
          </w:rPr>
          <w:t xml:space="preserve">Briefing paper</w:t>
        </w:r>
      </w:hyperlink>
      <w:r>
        <w:rPr>
          <w:color w:val="595959"/>
          <w:sz w:val="19"/>
          <w:szCs w:val="19"/>
        </w:rPr>
        <w:t xml:space="preserve"> (Canva)  ·  </w:t>
      </w:r>
      <w:hyperlink r:id="rIdL22" w:history="1">
        <w:r>
          <w:rPr>
            <w:rStyle w:val="Hyperlink"/>
            <w:sz w:val="19"/>
            <w:szCs w:val="19"/>
          </w:rPr>
          <w:t xml:space="preserve">Long-form paper</w:t>
        </w:r>
      </w:hyperlink>
      <w:r>
        <w:rPr>
          <w:color w:val="595959"/>
          <w:sz w:val="19"/>
          <w:szCs w:val="19"/>
        </w:rPr>
        <w:t xml:space="preserve"> (Google Drive)</w:t>
      </w:r>
    </w:p>
    <w:p>
      <w:pPr>
        <w:pStyle w:val="Heading3"/>
        <w:keepNext/>
      </w:pPr>
      <w:bookmarkStart w:id="125" w:name="_Toc900000125"/>
      <w:r>
        <w:t xml:space="preserve">A6. Multi-Tiered Sustainable Infrastructure Project Portfolio Loan Guarantee System</w:t>
      </w:r>
      <w:bookmarkEnd w:id="125"/>
    </w:p>
    <w:p>
      <w:pPr>
        <w:keepNext/>
        <w:spacing w:before="100" w:after="160" w:line="276" w:lineRule="auto"/>
      </w:pPr>
      <w:r>
        <w:t xml:space="preserve">This system would let the World Bank, or another multilateral backed by safe developed-country sovereigns, act as guarantor of last resort on loans to approved sustainable infrastructure projects in participating developing countries, or as co-guarantor of renewable power purchase agreement cash flows. Three tiers protect lenders:</w:t>
      </w:r>
    </w:p>
    <w:p>
      <w:pPr>
        <w:pStyle w:val="ListParagraph"/>
        <w:numPr>
          <w:ilvl w:val="0"/>
          <w:numId w:val="1"/>
        </w:numPr>
        <w:spacing w:before="40" w:after="100" w:line="276" w:lineRule="auto"/>
      </w:pPr>
      <w:r>
        <w:rPr>
          <w:b/>
          <w:bCs/>
        </w:rPr>
        <w:t xml:space="preserve">First line:</w:t>
      </w:r>
      <w:r>
        <w:t xml:space="preserve"> the host government holds lenders harmless if a project defaults, either directly or by adding the default to its debt with the World Bank.</w:t>
      </w:r>
    </w:p>
    <w:p>
      <w:pPr>
        <w:pStyle w:val="ListParagraph"/>
        <w:numPr>
          <w:ilvl w:val="0"/>
          <w:numId w:val="1"/>
        </w:numPr>
        <w:spacing w:before="40" w:after="100" w:line="276" w:lineRule="auto"/>
      </w:pPr>
      <w:r>
        <w:rPr>
          <w:b/>
          <w:bCs/>
        </w:rPr>
        <w:t xml:space="preserve">Second line:</w:t>
      </w:r>
      <w:r>
        <w:t xml:space="preserve"> a buffer account for that country, such as an account in the trust described in 2.2. It could be funded by returns on a global infrastructure equity portfolio, a trust fund topped up by developed-country carbon taxes, the IMF’s Resilience and Sustainability Trust, or wealthy sovereigns.</w:t>
      </w:r>
    </w:p>
    <w:p>
      <w:pPr>
        <w:pStyle w:val="ListParagraph"/>
        <w:numPr>
          <w:ilvl w:val="0"/>
          <w:numId w:val="1"/>
        </w:numPr>
        <w:spacing w:before="40" w:after="100" w:line="276" w:lineRule="auto"/>
      </w:pPr>
      <w:r>
        <w:rPr>
          <w:b/>
          <w:bCs/>
        </w:rPr>
        <w:t xml:space="preserve">Third line:</w:t>
      </w:r>
      <w:r>
        <w:t xml:space="preserve"> only if both fail does the World Bank or a designated multilateral step in.</w:t>
      </w:r>
    </w:p>
    <w:p>
      <w:pPr>
        <w:spacing w:before="100" w:after="160" w:line="276" w:lineRule="auto"/>
      </w:pPr>
      <w:r>
        <w:t xml:space="preserve">The AAA rating is used but not used up. Backers bear risk only once the first two buffers are exhausted, yet projects borrow far more cheaply. The same structure, called the Risk Absorption Model in earlier drafts, can also mobilize international capital markets, mobile payment systems and domestic bank finance. Related: the guarantee waterfall in 2.1.</w:t>
      </w:r>
    </w:p>
    <w:p>
      <w:pPr>
        <w:pStyle w:val="Heading3"/>
        <w:keepNext/>
      </w:pPr>
      <w:bookmarkStart w:id="126" w:name="_Toc900000126"/>
      <w:r>
        <w:t xml:space="preserve">A7. 100 Percent Clean Energy Transition Program Assistance</w:t>
      </w:r>
      <w:bookmarkEnd w:id="126"/>
    </w:p>
    <w:p>
      <w:pPr>
        <w:keepNext/>
        <w:spacing w:before="100" w:after="160" w:line="276" w:lineRule="auto"/>
      </w:pPr>
      <w:r>
        <w:t xml:space="preserve">Could the World Bank, with the International Renewable Energy Agency (IRENA) and the International Solar Alliance (ISA), make a standard offer of full support to any country ready to move fast to a near-100 percent clean energy economy? Or further, to net negative CO₂ emissions, as mid-century demand for carbon removal grows to several billion tons a year? This paper surveys the pathways, and the enabling conditions for clean energy buildout and fossil ramp-down that concessional finance would reward:</w:t>
      </w:r>
    </w:p>
    <w:p>
      <w:pPr>
        <w:pStyle w:val="ListParagraph"/>
        <w:numPr>
          <w:ilvl w:val="0"/>
          <w:numId w:val="1"/>
        </w:numPr>
        <w:spacing w:before="40" w:after="100" w:line="276" w:lineRule="auto"/>
      </w:pPr>
      <w:r>
        <w:rPr>
          <w:b/>
          <w:bCs/>
        </w:rPr>
        <w:t xml:space="preserve">Physical infrastructure</w:t>
      </w:r>
      <w:r>
        <w:t xml:space="preserve">, such as expanded transmission and distribution networks.</w:t>
      </w:r>
    </w:p>
    <w:p>
      <w:pPr>
        <w:pStyle w:val="ListParagraph"/>
        <w:numPr>
          <w:ilvl w:val="0"/>
          <w:numId w:val="1"/>
        </w:numPr>
        <w:spacing w:before="40" w:after="100" w:line="276" w:lineRule="auto"/>
      </w:pPr>
      <w:r>
        <w:rPr>
          <w:b/>
          <w:bCs/>
        </w:rPr>
        <w:t xml:space="preserve">Enabling regulation</w:t>
      </w:r>
      <w:r>
        <w:t xml:space="preserve">, such as power purchase agreement frameworks, feed-in tariffs, fast project approval and land for utility-scale solar.</w:t>
      </w:r>
    </w:p>
    <w:p>
      <w:pPr>
        <w:pStyle w:val="ListParagraph"/>
        <w:numPr>
          <w:ilvl w:val="0"/>
          <w:numId w:val="1"/>
        </w:numPr>
        <w:spacing w:before="40" w:after="100" w:line="276" w:lineRule="auto"/>
      </w:pPr>
      <w:r>
        <w:rPr>
          <w:b/>
          <w:bCs/>
        </w:rPr>
        <w:t xml:space="preserve">Financial incentives</w:t>
      </w:r>
      <w:r>
        <w:t xml:space="preserve">, such as tax breaks, carbon taxes and low-cost finance through national development banks.</w:t>
      </w:r>
    </w:p>
    <w:p>
      <w:pPr>
        <w:spacing w:before="100" w:after="160" w:line="276" w:lineRule="auto"/>
      </w:pPr>
      <w:r>
        <w:t xml:space="preserve">The World Bank’s Energy Sector Management Assistance Program (ESMAP) already advises countries along these lines, but not yet on whole-economy transitions or net carbon removal. Its remit could expand to cover both.</w:t>
      </w:r>
    </w:p>
    <w:sectPr w:rsidR="00FD1CDA">
      <w:footerReference w:type="even" r:id="rId24"/>
      <w:footerReference w:type="default" r:id="rId25"/>
      <w:footerReference w:type="first" r:id="rId26"/>
      <w:pgSz w:w="12240" w:h="15840"/>
      <w:pgMar w:top="1440" w:right="1584" w:bottom="1440" w:left="158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13FFAA" w14:textId="77777777" w:rsidR="00D720E3" w:rsidRDefault="00D720E3">
      <w:r>
        <w:separator/>
      </w:r>
    </w:p>
  </w:endnote>
  <w:endnote w:type="continuationSeparator" w:id="0">
    <w:p w14:paraId="21C911C3" w14:textId="77777777" w:rsidR="00D720E3" w:rsidRDefault="00D720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2BBDF" w14:textId="29B644A8" w:rsidR="00906002" w:rsidRDefault="00906002">
    <w:pPr>
      <w:pStyle w:val="Footer"/>
    </w:pPr>
    <w:r>
      <w:rPr>
        <w:noProof/>
      </w:rPr>
      <mc:AlternateContent>
        <mc:Choice Requires="wps">
          <w:drawing>
            <wp:anchor distT="0" distB="0" distL="0" distR="0" simplePos="0" relativeHeight="251659264" behindDoc="0" locked="0" layoutInCell="1" allowOverlap="1" wp14:anchorId="5074BD31" wp14:editId="5D5340D1">
              <wp:simplePos x="635" y="635"/>
              <wp:positionH relativeFrom="page">
                <wp:align>right</wp:align>
              </wp:positionH>
              <wp:positionV relativeFrom="page">
                <wp:align>bottom</wp:align>
              </wp:positionV>
              <wp:extent cx="1172210" cy="345440"/>
              <wp:effectExtent l="0" t="0" r="0" b="0"/>
              <wp:wrapNone/>
              <wp:docPr id="227413887" name="Text Box 2"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45440"/>
                      </a:xfrm>
                      <a:prstGeom prst="rect">
                        <a:avLst/>
                      </a:prstGeom>
                      <a:noFill/>
                      <a:ln>
                        <a:noFill/>
                      </a:ln>
                    </wps:spPr>
                    <wps:txbx>
                      <w:txbxContent>
                        <w:p w14:paraId="7A7DD03D" w14:textId="47AAAC32" w:rsidR="00906002" w:rsidRPr="00906002" w:rsidRDefault="00906002" w:rsidP="00906002">
                          <w:pPr>
                            <w:rPr>
                              <w:rFonts w:ascii="Aptos" w:eastAsia="Aptos" w:hAnsi="Aptos" w:cs="Aptos"/>
                              <w:noProof/>
                              <w:color w:val="000000"/>
                              <w:sz w:val="20"/>
                              <w:szCs w:val="20"/>
                            </w:rPr>
                          </w:pPr>
                          <w:r w:rsidRPr="00906002">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074BD31" id="_x0000_t202" coordsize="21600,21600" o:spt="202" path="m,l,21600r21600,l21600,xe">
              <v:stroke joinstyle="miter"/>
              <v:path gradientshapeok="t" o:connecttype="rect"/>
            </v:shapetype>
            <v:shape id="Text Box 2" o:spid="_x0000_s1026" type="#_x0000_t202" alt="Official Use Only" style="position:absolute;margin-left:41.1pt;margin-top:0;width:92.3pt;height:27.2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" filled="f" stroked="f">
              <v:fill o:detectmouseclick="t"/>
              <v:textbox style="mso-fit-shape-to-text:t" inset="0,0,20pt,15pt">
                <w:txbxContent>
                  <w:p w14:paraId="7A7DD03D" w14:textId="47AAAC32" w:rsidR="00906002" w:rsidRPr="00906002" w:rsidRDefault="00906002" w:rsidP="00906002">
                    <w:pPr>
                      <w:rPr>
                        <w:rFonts w:ascii="Aptos" w:eastAsia="Aptos" w:hAnsi="Aptos" w:cs="Aptos"/>
                        <w:noProof/>
                        <w:color w:val="000000"/>
                        <w:sz w:val="20"/>
                        <w:szCs w:val="20"/>
                      </w:rPr>
                    </w:pPr>
                    <w:r w:rsidRPr="00906002">
                      <w:rPr>
                        <w:rFonts w:ascii="Aptos" w:eastAsia="Aptos" w:hAnsi="Aptos" w:cs="Aptos"/>
                        <w:noProof/>
                        <w:color w:val="000000"/>
                        <w:sz w:val="20"/>
                        <w:szCs w:val="20"/>
                      </w:rPr>
                      <w:t>Official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1CFA5" w14:textId="09DB1A56" w:rsidR="00FD1CDA" w:rsidRDefault="00906002">
    <w:pPr>
      <w:jc w:val="center"/>
    </w:pPr>
    <w:r>
      <w:rPr>
        <w:noProof/>
        <w:color w:val="808080"/>
        <w:sz w:val="18"/>
        <w:szCs w:val="18"/>
      </w:rPr>
      <mc:AlternateContent>
        <mc:Choice Requires="wps">
          <w:drawing>
            <wp:anchor distT="0" distB="0" distL="0" distR="0" simplePos="0" relativeHeight="251660288" behindDoc="0" locked="0" layoutInCell="1" allowOverlap="1" wp14:anchorId="358E1C80" wp14:editId="0638B408">
              <wp:simplePos x="1009650" y="9467850"/>
              <wp:positionH relativeFrom="page">
                <wp:align>right</wp:align>
              </wp:positionH>
              <wp:positionV relativeFrom="page">
                <wp:align>bottom</wp:align>
              </wp:positionV>
              <wp:extent cx="1172210" cy="345440"/>
              <wp:effectExtent l="0" t="0" r="0" b="0"/>
              <wp:wrapNone/>
              <wp:docPr id="1949562960" name="Text Box 3"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45440"/>
                      </a:xfrm>
                      <a:prstGeom prst="rect">
                        <a:avLst/>
                      </a:prstGeom>
                      <a:noFill/>
                      <a:ln>
                        <a:noFill/>
                      </a:ln>
                    </wps:spPr>
                    <wps:txbx>
                      <w:txbxContent>
                        <w:p w14:paraId="0F1DDCBA" w14:textId="07A98E56" w:rsidR="00906002" w:rsidRPr="00906002" w:rsidRDefault="00906002" w:rsidP="00906002">
                          <w:pPr>
                            <w:rPr>
                              <w:rFonts w:ascii="Aptos" w:eastAsia="Aptos" w:hAnsi="Aptos" w:cs="Aptos"/>
                              <w:noProof/>
                              <w:color w:val="000000"/>
                              <w:sz w:val="20"/>
                              <w:szCs w:val="20"/>
                            </w:rPr>
                          </w:pPr>
                          <w:r w:rsidRPr="00906002">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58E1C80" id="_x0000_t202" coordsize="21600,21600" o:spt="202" path="m,l,21600r21600,l21600,xe">
              <v:stroke joinstyle="miter"/>
              <v:path gradientshapeok="t" o:connecttype="rect"/>
            </v:shapetype>
            <v:shape id="Text Box 3" o:spid="_x0000_s1027" type="#_x0000_t202" alt="Official Use Only" style="position:absolute;left:0;text-align:left;margin-left:41.1pt;margin-top:0;width:92.3pt;height:27.2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" filled="f" stroked="f">
              <v:fill o:detectmouseclick="t"/>
              <v:textbox style="mso-fit-shape-to-text:t" inset="0,0,20pt,15pt">
                <w:txbxContent>
                  <w:p w14:paraId="0F1DDCBA" w14:textId="07A98E56" w:rsidR="00906002" w:rsidRPr="00906002" w:rsidRDefault="00906002" w:rsidP="00906002">
                    <w:pPr>
                      <w:rPr>
                        <w:rFonts w:ascii="Aptos" w:eastAsia="Aptos" w:hAnsi="Aptos" w:cs="Aptos"/>
                        <w:noProof/>
                        <w:color w:val="000000"/>
                        <w:sz w:val="20"/>
                        <w:szCs w:val="20"/>
                      </w:rPr>
                    </w:pPr>
                    <w:r w:rsidRPr="00906002">
                      <w:rPr>
                        <w:rFonts w:ascii="Aptos" w:eastAsia="Aptos" w:hAnsi="Aptos" w:cs="Aptos"/>
                        <w:noProof/>
                        <w:color w:val="000000"/>
                        <w:sz w:val="20"/>
                        <w:szCs w:val="20"/>
                      </w:rPr>
                      <w:t>Official Use Only</w:t>
                    </w:r>
                  </w:p>
                </w:txbxContent>
              </v:textbox>
              <w10:wrap anchorx="page" anchory="page"/>
            </v:shape>
          </w:pict>
        </mc:Fallback>
      </mc:AlternateContent>
    </w:r>
    <w:r w:rsidR="00000000">
      <w:rPr>
        <w:color w:val="808080"/>
        <w:sz w:val="18"/>
        <w:szCs w:val="18"/>
      </w:rPr>
      <w:fldChar w:fldCharType="begin"/>
    </w:r>
    <w:r w:rsidR="00000000">
      <w:rPr>
        <w:color w:val="808080"/>
        <w:sz w:val="18"/>
        <w:szCs w:val="18"/>
      </w:rPr>
      <w:instrText>PAGE</w:instrText>
    </w:r>
    <w:r w:rsidR="00000000">
      <w:rPr>
        <w:color w:val="808080"/>
        <w:sz w:val="18"/>
        <w:szCs w:val="18"/>
      </w:rPr>
      <w:fldChar w:fldCharType="separate"/>
    </w:r>
    <w:r w:rsidR="00AA3378">
      <w:rPr>
        <w:noProof/>
        <w:color w:val="808080"/>
        <w:sz w:val="18"/>
        <w:szCs w:val="18"/>
      </w:rPr>
      <w:t>1</w:t>
    </w:r>
    <w:r w:rsidR="00000000">
      <w:rPr>
        <w:color w:val="808080"/>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9187C" w14:textId="79318ACC" w:rsidR="00906002" w:rsidRDefault="00906002">
    <w:pPr>
      <w:pStyle w:val="Footer"/>
    </w:pPr>
    <w:r>
      <w:rPr>
        <w:noProof/>
      </w:rPr>
      <mc:AlternateContent>
        <mc:Choice Requires="wps">
          <w:drawing>
            <wp:anchor distT="0" distB="0" distL="0" distR="0" simplePos="0" relativeHeight="251658240" behindDoc="0" locked="0" layoutInCell="1" allowOverlap="1" wp14:anchorId="7CA6B821" wp14:editId="72971480">
              <wp:simplePos x="635" y="635"/>
              <wp:positionH relativeFrom="page">
                <wp:align>right</wp:align>
              </wp:positionH>
              <wp:positionV relativeFrom="page">
                <wp:align>bottom</wp:align>
              </wp:positionV>
              <wp:extent cx="1172210" cy="345440"/>
              <wp:effectExtent l="0" t="0" r="0" b="0"/>
              <wp:wrapNone/>
              <wp:docPr id="1059559190" name="Text Box 1"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45440"/>
                      </a:xfrm>
                      <a:prstGeom prst="rect">
                        <a:avLst/>
                      </a:prstGeom>
                      <a:noFill/>
                      <a:ln>
                        <a:noFill/>
                      </a:ln>
                    </wps:spPr>
                    <wps:txbx>
                      <w:txbxContent>
                        <w:p w14:paraId="6500EF27" w14:textId="6FE3A61F" w:rsidR="00906002" w:rsidRPr="00906002" w:rsidRDefault="00906002" w:rsidP="00906002">
                          <w:pPr>
                            <w:rPr>
                              <w:rFonts w:ascii="Aptos" w:eastAsia="Aptos" w:hAnsi="Aptos" w:cs="Aptos"/>
                              <w:noProof/>
                              <w:color w:val="000000"/>
                              <w:sz w:val="20"/>
                              <w:szCs w:val="20"/>
                            </w:rPr>
                          </w:pPr>
                          <w:r w:rsidRPr="00906002">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CA6B821" id="_x0000_t202" coordsize="21600,21600" o:spt="202" path="m,l,21600r21600,l21600,xe">
              <v:stroke joinstyle="miter"/>
              <v:path gradientshapeok="t" o:connecttype="rect"/>
            </v:shapetype>
            <v:shape id="Text Box 1" o:spid="_x0000_s1028" type="#_x0000_t202" alt="Official Use Only" style="position:absolute;margin-left:41.1pt;margin-top:0;width:92.3pt;height:27.2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" filled="f" stroked="f">
              <v:fill o:detectmouseclick="t"/>
              <v:textbox style="mso-fit-shape-to-text:t" inset="0,0,20pt,15pt">
                <w:txbxContent>
                  <w:p w14:paraId="6500EF27" w14:textId="6FE3A61F" w:rsidR="00906002" w:rsidRPr="00906002" w:rsidRDefault="00906002" w:rsidP="00906002">
                    <w:pPr>
                      <w:rPr>
                        <w:rFonts w:ascii="Aptos" w:eastAsia="Aptos" w:hAnsi="Aptos" w:cs="Aptos"/>
                        <w:noProof/>
                        <w:color w:val="000000"/>
                        <w:sz w:val="20"/>
                        <w:szCs w:val="20"/>
                      </w:rPr>
                    </w:pPr>
                    <w:r w:rsidRPr="00906002">
                      <w:rPr>
                        <w:rFonts w:ascii="Aptos" w:eastAsia="Aptos" w:hAnsi="Aptos" w:cs="Aptos"/>
                        <w:noProof/>
                        <w:color w:val="000000"/>
                        <w:sz w:val="20"/>
                        <w:szCs w:val="20"/>
                      </w:rPr>
                      <w:t>Official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417BB" w14:textId="77777777" w:rsidR="00D720E3" w:rsidRDefault="00D720E3">
      <w:r>
        <w:separator/>
      </w:r>
    </w:p>
  </w:footnote>
  <w:footnote w:type="continuationSeparator" w:id="0">
    <w:p w14:paraId="04B7C68D" w14:textId="77777777" w:rsidR="00D720E3" w:rsidRDefault="00D720E3">
      <w:r>
        <w:continuationSeparator/>
      </w:r>
    </w:p>
  </w:footnote>
  <w:footnote w:id="1">
    <w:p>
      <w:pPr>
        <w:pStyle w:val="FootnoteText"/>
      </w:pPr>
      <w:r>
        <w:rPr>
          <w:rStyle w:val="FootnoteReference"/>
        </w:rPr>
        <w:footnoteRef/>
      </w:r>
      <w:r>
        <w:t xml:space="preserve"> SECI is an Indian government agency that drives renewable energy development across India. Backed by the Government of India, it acts as an intermediary between renewable generators and electricity distribution companies (“Discoms”), ensuring generators are paid in full and on time under their power purchase agreements.</w:t>
      </w:r>
    </w:p>
  </w:footnote>
  <w:footnote w:id="2">
    <w:p>
      <w:pPr>
        <w:pStyle w:val="FootnoteText"/>
      </w:pPr>
      <w:r>
        <w:rPr>
          <w:rStyle w:val="FootnoteReference"/>
        </w:rPr>
        <w:footnoteRef/>
      </w:r>
      <w:r>
        <w:t xml:space="preserve"> Some contingent liabilities would arise, but they would be limited to countries indemnifying their own policy commitments.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219F0"/>
    <w:multiLevelType w:val="multilevel"/>
    <w:tmpl w:val="8FA2A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12D02"/>
    <w:multiLevelType w:val="hybridMultilevel"/>
    <w:tmpl w:val="DD2C6DA8"/>
    <w:lvl w:ilvl="0" w:tplc="5F583F8C">
      <w:start w:val="1"/>
      <w:numFmt w:val="decimal"/>
      <w:lvlText w:val="%1)"/>
      <w:lvlJc w:val="left"/>
      <w:pPr>
        <w:ind w:left="576" w:hanging="360"/>
      </w:pPr>
    </w:lvl>
    <w:lvl w:ilvl="1" w:tplc="275EB17A">
      <w:numFmt w:val="decimal"/>
      <w:lvlText w:val=""/>
      <w:lvlJc w:val="left"/>
    </w:lvl>
    <w:lvl w:ilvl="2" w:tplc="4C58618C">
      <w:numFmt w:val="decimal"/>
      <w:lvlText w:val=""/>
      <w:lvlJc w:val="left"/>
    </w:lvl>
    <w:lvl w:ilvl="3" w:tplc="9B3E35B0">
      <w:numFmt w:val="decimal"/>
      <w:lvlText w:val=""/>
      <w:lvlJc w:val="left"/>
    </w:lvl>
    <w:lvl w:ilvl="4" w:tplc="0C965022">
      <w:numFmt w:val="decimal"/>
      <w:lvlText w:val=""/>
      <w:lvlJc w:val="left"/>
    </w:lvl>
    <w:lvl w:ilvl="5" w:tplc="B47ECE2C">
      <w:numFmt w:val="decimal"/>
      <w:lvlText w:val=""/>
      <w:lvlJc w:val="left"/>
    </w:lvl>
    <w:lvl w:ilvl="6" w:tplc="FA6470BA">
      <w:numFmt w:val="decimal"/>
      <w:lvlText w:val=""/>
      <w:lvlJc w:val="left"/>
    </w:lvl>
    <w:lvl w:ilvl="7" w:tplc="F42E5408">
      <w:numFmt w:val="decimal"/>
      <w:lvlText w:val=""/>
      <w:lvlJc w:val="left"/>
    </w:lvl>
    <w:lvl w:ilvl="8" w:tplc="0C2692B6">
      <w:numFmt w:val="decimal"/>
      <w:lvlText w:val=""/>
      <w:lvlJc w:val="left"/>
    </w:lvl>
  </w:abstractNum>
  <w:abstractNum w:abstractNumId="2" w15:restartNumberingAfterBreak="0">
    <w:nsid w:val="0E237E59"/>
    <w:multiLevelType w:val="multilevel"/>
    <w:tmpl w:val="DDD61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8C331D"/>
    <w:multiLevelType w:val="hybridMultilevel"/>
    <w:tmpl w:val="25A82316"/>
    <w:lvl w:ilvl="0" w:tplc="5A7259DE">
      <w:start w:val="1"/>
      <w:numFmt w:val="lowerLetter"/>
      <w:lvlText w:val="%1)"/>
      <w:lvlJc w:val="left"/>
      <w:pPr>
        <w:ind w:left="576" w:hanging="360"/>
      </w:pPr>
    </w:lvl>
    <w:lvl w:ilvl="1" w:tplc="26EC948E">
      <w:numFmt w:val="decimal"/>
      <w:lvlText w:val=""/>
      <w:lvlJc w:val="left"/>
    </w:lvl>
    <w:lvl w:ilvl="2" w:tplc="B03EA76A">
      <w:numFmt w:val="decimal"/>
      <w:lvlText w:val=""/>
      <w:lvlJc w:val="left"/>
    </w:lvl>
    <w:lvl w:ilvl="3" w:tplc="1F54410E">
      <w:numFmt w:val="decimal"/>
      <w:lvlText w:val=""/>
      <w:lvlJc w:val="left"/>
    </w:lvl>
    <w:lvl w:ilvl="4" w:tplc="0DFE4C66">
      <w:numFmt w:val="decimal"/>
      <w:lvlText w:val=""/>
      <w:lvlJc w:val="left"/>
    </w:lvl>
    <w:lvl w:ilvl="5" w:tplc="37CE2D22">
      <w:numFmt w:val="decimal"/>
      <w:lvlText w:val=""/>
      <w:lvlJc w:val="left"/>
    </w:lvl>
    <w:lvl w:ilvl="6" w:tplc="C2C6DEBA">
      <w:numFmt w:val="decimal"/>
      <w:lvlText w:val=""/>
      <w:lvlJc w:val="left"/>
    </w:lvl>
    <w:lvl w:ilvl="7" w:tplc="1AF6C258">
      <w:numFmt w:val="decimal"/>
      <w:lvlText w:val=""/>
      <w:lvlJc w:val="left"/>
    </w:lvl>
    <w:lvl w:ilvl="8" w:tplc="4BC8CC72">
      <w:numFmt w:val="decimal"/>
      <w:lvlText w:val=""/>
      <w:lvlJc w:val="left"/>
    </w:lvl>
  </w:abstractNum>
  <w:abstractNum w:abstractNumId="4" w15:restartNumberingAfterBreak="0">
    <w:nsid w:val="24C54DD1"/>
    <w:multiLevelType w:val="multilevel"/>
    <w:tmpl w:val="11CAB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E26614"/>
    <w:multiLevelType w:val="multilevel"/>
    <w:tmpl w:val="A82E6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5F048C"/>
    <w:multiLevelType w:val="multilevel"/>
    <w:tmpl w:val="2564B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866043"/>
    <w:multiLevelType w:val="multilevel"/>
    <w:tmpl w:val="57BE9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F5632E"/>
    <w:multiLevelType w:val="multilevel"/>
    <w:tmpl w:val="44B68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A458BD"/>
    <w:multiLevelType w:val="hybridMultilevel"/>
    <w:tmpl w:val="4766786E"/>
    <w:lvl w:ilvl="0" w:tplc="7A2C901C">
      <w:start w:val="1"/>
      <w:numFmt w:val="decimal"/>
      <w:lvlText w:val="%1."/>
      <w:lvlJc w:val="left"/>
      <w:pPr>
        <w:ind w:left="576" w:hanging="360"/>
      </w:pPr>
    </w:lvl>
    <w:lvl w:ilvl="1" w:tplc="07F479E8">
      <w:numFmt w:val="decimal"/>
      <w:lvlText w:val=""/>
      <w:lvlJc w:val="left"/>
    </w:lvl>
    <w:lvl w:ilvl="2" w:tplc="21DEA87A">
      <w:numFmt w:val="decimal"/>
      <w:lvlText w:val=""/>
      <w:lvlJc w:val="left"/>
    </w:lvl>
    <w:lvl w:ilvl="3" w:tplc="E71252AC">
      <w:numFmt w:val="decimal"/>
      <w:lvlText w:val=""/>
      <w:lvlJc w:val="left"/>
    </w:lvl>
    <w:lvl w:ilvl="4" w:tplc="E0D4C1D4">
      <w:numFmt w:val="decimal"/>
      <w:lvlText w:val=""/>
      <w:lvlJc w:val="left"/>
    </w:lvl>
    <w:lvl w:ilvl="5" w:tplc="72F23366">
      <w:numFmt w:val="decimal"/>
      <w:lvlText w:val=""/>
      <w:lvlJc w:val="left"/>
    </w:lvl>
    <w:lvl w:ilvl="6" w:tplc="25440D7A">
      <w:numFmt w:val="decimal"/>
      <w:lvlText w:val=""/>
      <w:lvlJc w:val="left"/>
    </w:lvl>
    <w:lvl w:ilvl="7" w:tplc="49FE16BA">
      <w:numFmt w:val="decimal"/>
      <w:lvlText w:val=""/>
      <w:lvlJc w:val="left"/>
    </w:lvl>
    <w:lvl w:ilvl="8" w:tplc="4B6E519E">
      <w:numFmt w:val="decimal"/>
      <w:lvlText w:val=""/>
      <w:lvlJc w:val="left"/>
    </w:lvl>
  </w:abstractNum>
  <w:abstractNum w:abstractNumId="10" w15:restartNumberingAfterBreak="0">
    <w:nsid w:val="68CB7906"/>
    <w:multiLevelType w:val="multilevel"/>
    <w:tmpl w:val="3C724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4CF74FD"/>
    <w:multiLevelType w:val="hybridMultilevel"/>
    <w:tmpl w:val="B13E485E"/>
    <w:lvl w:ilvl="0" w:tplc="9950FB4C">
      <w:start w:val="1"/>
      <w:numFmt w:val="decimal"/>
      <w:lvlText w:val="%1."/>
      <w:lvlJc w:val="left"/>
      <w:pPr>
        <w:ind w:left="576" w:hanging="360"/>
      </w:pPr>
    </w:lvl>
    <w:lvl w:ilvl="1" w:tplc="5F829A72">
      <w:numFmt w:val="decimal"/>
      <w:lvlText w:val=""/>
      <w:lvlJc w:val="left"/>
    </w:lvl>
    <w:lvl w:ilvl="2" w:tplc="B2D05790">
      <w:numFmt w:val="decimal"/>
      <w:lvlText w:val=""/>
      <w:lvlJc w:val="left"/>
    </w:lvl>
    <w:lvl w:ilvl="3" w:tplc="AD46E8B8">
      <w:numFmt w:val="decimal"/>
      <w:lvlText w:val=""/>
      <w:lvlJc w:val="left"/>
    </w:lvl>
    <w:lvl w:ilvl="4" w:tplc="940E59AA">
      <w:numFmt w:val="decimal"/>
      <w:lvlText w:val=""/>
      <w:lvlJc w:val="left"/>
    </w:lvl>
    <w:lvl w:ilvl="5" w:tplc="518AAC12">
      <w:numFmt w:val="decimal"/>
      <w:lvlText w:val=""/>
      <w:lvlJc w:val="left"/>
    </w:lvl>
    <w:lvl w:ilvl="6" w:tplc="B538A0B0">
      <w:numFmt w:val="decimal"/>
      <w:lvlText w:val=""/>
      <w:lvlJc w:val="left"/>
    </w:lvl>
    <w:lvl w:ilvl="7" w:tplc="03DEADCA">
      <w:numFmt w:val="decimal"/>
      <w:lvlText w:val=""/>
      <w:lvlJc w:val="left"/>
    </w:lvl>
    <w:lvl w:ilvl="8" w:tplc="B3BCE5E6">
      <w:numFmt w:val="decimal"/>
      <w:lvlText w:val=""/>
      <w:lvlJc w:val="left"/>
    </w:lvl>
  </w:abstractNum>
  <w:abstractNum w:abstractNumId="12" w15:restartNumberingAfterBreak="0">
    <w:nsid w:val="77943407"/>
    <w:multiLevelType w:val="hybridMultilevel"/>
    <w:tmpl w:val="3B047EDC"/>
    <w:lvl w:ilvl="0" w:tplc="54F2424C">
      <w:start w:val="1"/>
      <w:numFmt w:val="bullet"/>
      <w:lvlText w:val="●"/>
      <w:lvlJc w:val="left"/>
      <w:pPr>
        <w:ind w:left="720" w:hanging="360"/>
      </w:pPr>
    </w:lvl>
    <w:lvl w:ilvl="1" w:tplc="C3F4FA10">
      <w:start w:val="1"/>
      <w:numFmt w:val="bullet"/>
      <w:lvlText w:val="○"/>
      <w:lvlJc w:val="left"/>
      <w:pPr>
        <w:ind w:left="1440" w:hanging="360"/>
      </w:pPr>
    </w:lvl>
    <w:lvl w:ilvl="2" w:tplc="E22091A0">
      <w:start w:val="1"/>
      <w:numFmt w:val="bullet"/>
      <w:lvlText w:val="■"/>
      <w:lvlJc w:val="left"/>
      <w:pPr>
        <w:ind w:left="2160" w:hanging="360"/>
      </w:pPr>
    </w:lvl>
    <w:lvl w:ilvl="3" w:tplc="52A4F1C4">
      <w:start w:val="1"/>
      <w:numFmt w:val="bullet"/>
      <w:lvlText w:val="●"/>
      <w:lvlJc w:val="left"/>
      <w:pPr>
        <w:ind w:left="2880" w:hanging="360"/>
      </w:pPr>
    </w:lvl>
    <w:lvl w:ilvl="4" w:tplc="832C96BA">
      <w:start w:val="1"/>
      <w:numFmt w:val="bullet"/>
      <w:lvlText w:val="○"/>
      <w:lvlJc w:val="left"/>
      <w:pPr>
        <w:ind w:left="3600" w:hanging="360"/>
      </w:pPr>
    </w:lvl>
    <w:lvl w:ilvl="5" w:tplc="FD926084">
      <w:start w:val="1"/>
      <w:numFmt w:val="bullet"/>
      <w:lvlText w:val="■"/>
      <w:lvlJc w:val="left"/>
      <w:pPr>
        <w:ind w:left="4320" w:hanging="360"/>
      </w:pPr>
    </w:lvl>
    <w:lvl w:ilvl="6" w:tplc="3A5E7D92">
      <w:start w:val="1"/>
      <w:numFmt w:val="bullet"/>
      <w:lvlText w:val="●"/>
      <w:lvlJc w:val="left"/>
      <w:pPr>
        <w:ind w:left="5040" w:hanging="360"/>
      </w:pPr>
    </w:lvl>
    <w:lvl w:ilvl="7" w:tplc="BD52A358">
      <w:start w:val="1"/>
      <w:numFmt w:val="bullet"/>
      <w:lvlText w:val="●"/>
      <w:lvlJc w:val="left"/>
      <w:pPr>
        <w:ind w:left="5760" w:hanging="360"/>
      </w:pPr>
    </w:lvl>
    <w:lvl w:ilvl="8" w:tplc="16F62448">
      <w:start w:val="1"/>
      <w:numFmt w:val="bullet"/>
      <w:lvlText w:val="●"/>
      <w:lvlJc w:val="left"/>
      <w:pPr>
        <w:ind w:left="6480" w:hanging="360"/>
      </w:pPr>
    </w:lvl>
  </w:abstractNum>
  <w:abstractNum w:abstractNumId="13" w15:restartNumberingAfterBreak="0">
    <w:nsid w:val="7863477E"/>
    <w:multiLevelType w:val="multilevel"/>
    <w:tmpl w:val="F550C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144992">
    <w:abstractNumId w:val="12"/>
    <w:lvlOverride w:ilvl="0">
      <w:startOverride w:val="1"/>
    </w:lvlOverride>
  </w:num>
  <w:num w:numId="2" w16cid:durableId="69157853">
    <w:abstractNumId w:val="3"/>
    <w:lvlOverride w:ilvl="0">
      <w:startOverride w:val="1"/>
    </w:lvlOverride>
  </w:num>
  <w:num w:numId="3" w16cid:durableId="597249065">
    <w:abstractNumId w:val="1"/>
    <w:lvlOverride w:ilvl="0">
      <w:startOverride w:val="1"/>
    </w:lvlOverride>
  </w:num>
  <w:num w:numId="4" w16cid:durableId="642274129">
    <w:abstractNumId w:val="9"/>
    <w:lvlOverride w:ilvl="0">
      <w:startOverride w:val="1"/>
    </w:lvlOverride>
  </w:num>
  <w:num w:numId="5" w16cid:durableId="1929848029">
    <w:abstractNumId w:val="11"/>
    <w:lvlOverride w:ilvl="0">
      <w:startOverride w:val="1"/>
    </w:lvlOverride>
  </w:num>
  <w:num w:numId="6" w16cid:durableId="339087277">
    <w:abstractNumId w:val="10"/>
  </w:num>
  <w:num w:numId="7" w16cid:durableId="1840924828">
    <w:abstractNumId w:val="4"/>
  </w:num>
  <w:num w:numId="8" w16cid:durableId="131288711">
    <w:abstractNumId w:val="8"/>
  </w:num>
  <w:num w:numId="9" w16cid:durableId="643313575">
    <w:abstractNumId w:val="6"/>
  </w:num>
  <w:num w:numId="10" w16cid:durableId="1031877915">
    <w:abstractNumId w:val="7"/>
  </w:num>
  <w:num w:numId="11" w16cid:durableId="1280262271">
    <w:abstractNumId w:val="0"/>
  </w:num>
  <w:num w:numId="12" w16cid:durableId="622155421">
    <w:abstractNumId w:val="13"/>
  </w:num>
  <w:num w:numId="13" w16cid:durableId="1866749882">
    <w:abstractNumId w:val="2"/>
  </w:num>
  <w:num w:numId="14" w16cid:durableId="20813202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1CDA"/>
    <w:rsid w:val="00906002"/>
    <w:rsid w:val="00A45799"/>
    <w:rsid w:val="00AA3378"/>
    <w:rsid w:val="00B34E76"/>
    <w:rsid w:val="00B50FDE"/>
    <w:rsid w:val="00BD0C27"/>
    <w:rsid w:val="00D720E3"/>
    <w:rsid w:val="00FD1C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62401"/>
  <w15:docId w15:val="{C90DC564-0FE3-4B15-B8E4-6EE1E3323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2"/>
      <w:szCs w:val="32"/>
    </w:rPr>
  </w:style>
  <w:style w:type="paragraph" w:styleId="Heading2">
    <w:name w:val="heading 2"/>
    <w:uiPriority w:val="9"/>
    <w:unhideWhenUsed/>
    <w:qFormat/>
    <w:pPr>
      <w:spacing w:before="320" w:after="160"/>
      <w:outlineLvl w:val="1"/>
    </w:pPr>
    <w:rPr>
      <w:b/>
      <w:bCs/>
      <w:color w:val="2E5496"/>
      <w:sz w:val="26"/>
      <w:szCs w:val="26"/>
    </w:rPr>
  </w:style>
  <w:style w:type="paragraph" w:styleId="Heading3">
    <w:name w:val="heading 3"/>
    <w:uiPriority w:val="9"/>
    <w:unhideWhenUsed/>
    <w:qFormat/>
    <w:pPr>
      <w:spacing w:before="280" w:after="140"/>
      <w:outlineLvl w:val="2"/>
    </w:pPr>
    <w:rPr>
      <w:b/>
      <w:bCs/>
      <w:sz w:val="23"/>
      <w:szCs w:val="23"/>
    </w:rPr>
  </w:style>
  <w:style w:type="paragraph" w:styleId="Heading4">
    <w:name w:val="heading 4"/>
    <w:uiPriority w:val="9"/>
    <w:unhideWhenUsed/>
    <w:qFormat/>
    <w:pPr>
      <w:spacing w:before="240" w:after="120"/>
      <w:outlineLvl w:val="3"/>
    </w:pPr>
    <w:rPr>
      <w:b/>
      <w:bCs/>
      <w:i/>
      <w:iCs/>
      <w:color w:val="404040"/>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DocTitle">
    <w:name w:val="Doc Title"/>
    <w:qFormat/>
    <w:pPr>
      <w:spacing w:after="120"/>
    </w:pPr>
    <w:rPr>
      <w:b/>
      <w:bCs/>
      <w:color w:val="1F3864"/>
      <w:sz w:val="48"/>
      <w:szCs w:val="48"/>
    </w:rPr>
  </w:style>
  <w:style w:type="paragraph" w:customStyle="1" w:styleId="DocSubtitle">
    <w:name w:val="Doc Subtitle"/>
    <w:qFormat/>
    <w:pPr>
      <w:spacing w:after="240"/>
    </w:pPr>
    <w:rPr>
      <w:color w:val="2E5496"/>
      <w:sz w:val="26"/>
      <w:szCs w:val="26"/>
    </w:rPr>
  </w:style>
  <w:style w:type="paragraph" w:styleId="TOC1">
    <w:name w:val="toc 1"/>
    <w:basedOn w:val="Normal"/>
    <w:next w:val="Normal"/>
    <w:autoRedefine/>
    <w:uiPriority w:val="39"/>
    <w:unhideWhenUsed/>
    <w:rsid w:val="00AA3378"/>
    <w:pPr>
      <w:spacing w:after="100"/>
    </w:pPr>
  </w:style>
  <w:style w:type="paragraph" w:styleId="TOC2">
    <w:name w:val="toc 2"/>
    <w:basedOn w:val="Normal"/>
    <w:next w:val="Normal"/>
    <w:autoRedefine/>
    <w:uiPriority w:val="39"/>
    <w:unhideWhenUsed/>
    <w:rsid w:val="00AA3378"/>
    <w:pPr>
      <w:spacing w:after="100"/>
      <w:ind w:left="220"/>
    </w:pPr>
  </w:style>
  <w:style w:type="paragraph" w:styleId="TOC3">
    <w:name w:val="toc 3"/>
    <w:basedOn w:val="Normal"/>
    <w:next w:val="Normal"/>
    <w:autoRedefine/>
    <w:uiPriority w:val="39"/>
    <w:unhideWhenUsed/>
    <w:rsid w:val="00AA3378"/>
    <w:pPr>
      <w:spacing w:after="100"/>
      <w:ind w:left="440"/>
    </w:pPr>
  </w:style>
  <w:style w:type="paragraph" w:styleId="Footer">
    <w:name w:val="footer"/>
    <w:basedOn w:val="Normal"/>
    <w:link w:val="FooterChar"/>
    <w:uiPriority w:val="99"/>
    <w:unhideWhenUsed/>
    <w:rsid w:val="00906002"/>
    <w:pPr>
      <w:tabs>
        <w:tab w:val="center" w:pos="4680"/>
        <w:tab w:val="right" w:pos="9360"/>
      </w:tabs>
    </w:pPr>
  </w:style>
  <w:style w:type="character" w:customStyle="1" w:styleId="FooterChar">
    <w:name w:val="Footer Char"/>
    <w:basedOn w:val="DefaultParagraphFont"/>
    <w:link w:val="Footer"/>
    <w:uiPriority w:val="99"/>
    <w:rsid w:val="009060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footer" Target="footer3.xml"/><Relationship Id="rId3" Type="http://schemas.openxmlformats.org/officeDocument/2006/relationships/settings" Target="settings.xml"/><Relationship Id="rId25"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24" Type="http://schemas.openxmlformats.org/officeDocument/2006/relationships/footer" Target="footer1.xml"/><Relationship Id="rId5" Type="http://schemas.openxmlformats.org/officeDocument/2006/relationships/footnotes" Target="footnotes.xml"/><Relationship Id="rId28" Type="http://schemas.openxmlformats.org/officeDocument/2006/relationships/theme" Target="theme/theme1.xml"/><Relationship Id="rId4" Type="http://schemas.openxmlformats.org/officeDocument/2006/relationships/webSettings" Target="webSettings.xml"/><Relationship Id="rId27" Type="http://schemas.openxmlformats.org/officeDocument/2006/relationships/fontTable" Target="fontTable.xml"/><Relationship Id="rIdL1" Type="http://schemas.openxmlformats.org/officeDocument/2006/relationships/hyperlink" Target="https://climatefiscalfinance.org/" TargetMode="External"/><Relationship Id="rIdL2" Type="http://schemas.openxmlformats.org/officeDocument/2006/relationships/hyperlink" Target="https://climatefiscalfinance.org/papers/OpenEconomyCarbonPricing.docx" TargetMode="External"/><Relationship Id="rIdL3" Type="http://schemas.openxmlformats.org/officeDocument/2006/relationships/hyperlink" Target="https://climatefiscalfinance.org/papers/FeebatesAndOutputBasedRebating.docx" TargetMode="External"/><Relationship Id="rIdL4" Type="http://schemas.openxmlformats.org/officeDocument/2006/relationships/hyperlink" Target="https://www.canva.com/design/DAGTBie5QeE/KuoD5zMi2ySWySMNyhILxA/view?utm_content=DAGTBie5QeE&amp;utm_campaign=designshare&amp;utm_medium=link&amp;utm_source=editor" TargetMode="External"/><Relationship Id="rIdL5" Type="http://schemas.openxmlformats.org/officeDocument/2006/relationships/hyperlink" Target="https://docs.google.com/document/d/1p4A3UKCcHTztTSBXTQ043xGK9BwfpQ0_/edit?usp=sharing&amp;ouid=108769401394786307900&amp;rtpof=true&amp;sd=true" TargetMode="External"/><Relationship Id="rIdL6" Type="http://schemas.openxmlformats.org/officeDocument/2006/relationships/hyperlink" Target="https://climatefiscalfinance.org/papers/IronSteelCBAM.docx" TargetMode="External"/><Relationship Id="rIdL7" Type="http://schemas.openxmlformats.org/officeDocument/2006/relationships/hyperlink" Target="https://climatefiscalfinance.org/papers/ClimateFinanceIntermediationForCleanPower.docx" TargetMode="External"/><Relationship Id="rIdL8" Type="http://schemas.openxmlformats.org/officeDocument/2006/relationships/hyperlink" Target="https://climatefiscalfinance.org/papers/ClimateInvestmentTrust.docx" TargetMode="External"/><Relationship Id="rIdL9" Type="http://schemas.openxmlformats.org/officeDocument/2006/relationships/hyperlink" Target="https://www.canva.com/design/DAGS2_bCZqQ/U3yffG5Ww5o1lP17yoYgrw/view?utm_content=DAGS2_bCZqQ&amp;utm_campaign=designshare&amp;utm_medium=link&amp;utm_source=editor" TargetMode="External"/><Relationship Id="rIdL10" Type="http://schemas.openxmlformats.org/officeDocument/2006/relationships/hyperlink" Target="https://docs.google.com/document/d/1hr43bVQu1vsuop_2VBpJsTxLVBFcgS5Y/edit?usp=sharing&amp;ouid=108769401394786307900&amp;rtpof=true&amp;sd=true" TargetMode="External"/><Relationship Id="rIdL11" Type="http://schemas.openxmlformats.org/officeDocument/2006/relationships/hyperlink" Target="https://docs.google.com/document/d/1JmErrkg0YiYpUm3AjsqjRxD7q5qjEyOJ/edit?usp=sharing&amp;ouid=108769401394786307900&amp;rtpof=true&amp;sd=true" TargetMode="External"/><Relationship Id="rIdL12" Type="http://schemas.openxmlformats.org/officeDocument/2006/relationships/hyperlink" Target="https://climatefiscalfinance.org/papers/SustainabilityLinkedLending.pdf" TargetMode="External"/><Relationship Id="rIdL13" Type="http://schemas.openxmlformats.org/officeDocument/2006/relationships/hyperlink" Target="https://www.canva.com/design/DAGTK2pYRl8/bf2sB8QaT-ttJShJbNfU3A/view?utm_content=DAGTK2pYRl8&amp;utm_campaign=designshare&amp;utm_medium=link&amp;utm_source=editor" TargetMode="External"/><Relationship Id="rIdL14" Type="http://schemas.openxmlformats.org/officeDocument/2006/relationships/hyperlink" Target="https://docs.google.com/document/d/1jYr2K745-W-7A6XuYYVSYgfbEmkLvvbh/edit?usp=sharing&amp;ouid=108769401394786307900&amp;rtpof=true&amp;sd=true" TargetMode="External"/><Relationship Id="rIdL15" Type="http://schemas.openxmlformats.org/officeDocument/2006/relationships/hyperlink" Target="https://docs.google.com/document/d/1U6m5-AjKGLl18d-dHkDj_IgR9mi5101G/edit?usp=sharing&amp;ouid=108769401394786307900&amp;rtpof=true&amp;sd=true" TargetMode="External"/><Relationship Id="rIdL16" Type="http://schemas.openxmlformats.org/officeDocument/2006/relationships/hyperlink" Target="https://www.canva.com/design/DAGTJa_9XKY/e-n7uCRMlNKnm-6lxEk1BQ/view?utm_content=DAGTJa_9XKY&amp;utm_campaign=designshare&amp;utm_medium=link&amp;utm_source=editor" TargetMode="External"/><Relationship Id="rIdL17" Type="http://schemas.openxmlformats.org/officeDocument/2006/relationships/hyperlink" Target="https://docs.google.com/document/d/1gIkGk9ztvOgxkRvxdksbpviC_9M5Jmj6/edit?rtpof=true&amp;sd=true&amp;tab=t.0" TargetMode="External"/><Relationship Id="rIdL18" Type="http://schemas.openxmlformats.org/officeDocument/2006/relationships/hyperlink" Target="https://www.canva.com/design/DAGS3kKr_pY/bytPR2gBNg2kqEXLlMbsfw/view?utm_content=DAGS3kKr_pY&amp;utm_campaign=designshare&amp;utm_medium=link&amp;utm_source=editor" TargetMode="External"/><Relationship Id="rIdL19" Type="http://schemas.openxmlformats.org/officeDocument/2006/relationships/hyperlink" Target="https://docs.google.com/document/d/1Rnh3smHEm4rMPjcuOm69xqqhC_zuPDWG/edit?usp=sharing&amp;ouid=108769401394786307900&amp;rtpof=true&amp;sd=true" TargetMode="External"/><Relationship Id="rIdL20" Type="http://schemas.openxmlformats.org/officeDocument/2006/relationships/hyperlink" Target="https://www.ifcreview.com/articles/2024/january/trusted-intermediaries-can-channel-concessional-finance-for-lmic-green-development/" TargetMode="External"/><Relationship Id="rIdL21" Type="http://schemas.openxmlformats.org/officeDocument/2006/relationships/hyperlink" Target="https://www.canva.com/design/DAGTCNvfzd8/qUShunRXt39HXyPbxBDO9g/view?utm_content=DAGTCNvfzd8&amp;utm_campaign=designshare&amp;utm_medium=link&amp;utm_source=editor" TargetMode="External"/><Relationship Id="rIdL22" Type="http://schemas.openxmlformats.org/officeDocument/2006/relationships/hyperlink" Target="https://docs.google.com/document/d/1fvHEj_PzSgms3US9OA6cnyzXuOcUbE5z/edit?usp=sharing&amp;ouid=108769401394786307900&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16</Pages>
  <Words>5916</Words>
  <Characters>33726</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Mobilizing Private Capital for the Climate and Clean Energy Agenda</vt:lpstr>
    </vt:vector>
  </TitlesOfParts>
  <Company>WBG</Company>
  <LinksUpToDate>false</LinksUpToDate>
  <CharactersWithSpaces>39563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Mobilizing Private Capital for the Climate and Clean Energy Agenda</dc:title>
  <dc:creator>Working Paper Series Team</dc:creator>
  <dc:description>Consolidated overview of the Climate Financial Innovation Working Paper Series</dc:description>
  <cp:lastModifiedBy>Stephen John Stretton</cp:lastModifiedBy>
  <cp:revision>4</cp:revision>
  <dcterms:created xsi:type="dcterms:W3CDTF">2026-09-04T20:43:00Z</dcterms:created>
  <dcterms:modified xsi:type="dcterms:W3CDTF">2026-09-30T19:37:00Z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3f279716,d8e0f7f,7433f850</vt:lpwstr>
  </property>
  <property fmtid="{D5CDD505-2E9C-101B-9397-08002B2CF9AE}" pid="3" name="ClassificationContentMarkingFooterFontProps">
    <vt:lpwstr>#000000,10,Aptos</vt:lpwstr>
  </property>
  <property fmtid="{D5CDD505-2E9C-101B-9397-08002B2CF9AE}" pid="4" name="ClassificationContentMarkingFooterText">
    <vt:lpwstr>Official Use Only</vt:lpwstr>
  </property>
  <property fmtid="{D5CDD505-2E9C-101B-9397-08002B2CF9AE}" pid="5" name="MSIP_Label_f1bf45b6-5649-4236-82a3-f45024cd282e_Enabled">
    <vt:lpwstr>true</vt:lpwstr>
  </property>
  <property fmtid="{D5CDD505-2E9C-101B-9397-08002B2CF9AE}" pid="6" name="MSIP_Label_f1bf45b6-5649-4236-82a3-f45024cd282e_SetDate">
    <vt:lpwstr>2026-09-30T19:29:24Z</vt:lpwstr>
  </property>
  <property fmtid="{D5CDD505-2E9C-101B-9397-08002B2CF9AE}" pid="7" name="MSIP_Label_f1bf45b6-5649-4236-82a3-f45024cd282e_Method">
    <vt:lpwstr>Standard</vt:lpwstr>
  </property>
  <property fmtid="{D5CDD505-2E9C-101B-9397-08002B2CF9AE}" pid="8" name="MSIP_Label_f1bf45b6-5649-4236-82a3-f45024cd282e_Name">
    <vt:lpwstr>Official Use Only</vt:lpwstr>
  </property>
  <property fmtid="{D5CDD505-2E9C-101B-9397-08002B2CF9AE}" pid="9" name="MSIP_Label_f1bf45b6-5649-4236-82a3-f45024cd282e_SiteId">
    <vt:lpwstr>31a2fec0-266b-4c67-b56e-2796d8f59c36</vt:lpwstr>
  </property>
  <property fmtid="{D5CDD505-2E9C-101B-9397-08002B2CF9AE}" pid="10" name="MSIP_Label_f1bf45b6-5649-4236-82a3-f45024cd282e_ActionId">
    <vt:lpwstr>b378b24b-38c4-4334-82c8-ba3e0bd74e2a</vt:lpwstr>
  </property>
  <property fmtid="{D5CDD505-2E9C-101B-9397-08002B2CF9AE}" pid="11" name="MSIP_Label_f1bf45b6-5649-4236-82a3-f45024cd282e_ContentBits">
    <vt:lpwstr>2</vt:lpwstr>
  </property>
  <property fmtid="{D5CDD505-2E9C-101B-9397-08002B2CF9AE}" pid="12" name="MSIP_Label_f1bf45b6-5649-4236-82a3-f45024cd282e_Tag">
    <vt:lpwstr>10, 3, 0, 1</vt:lpwstr>
  </property>
</Properties>
</file>