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D5C24" w14:textId="59BC93DA" w:rsidR="00A90552" w:rsidRDefault="00FD36B9" w:rsidP="00FD36B9">
      <w:pPr>
        <w:pStyle w:val="Heading1"/>
      </w:pPr>
      <w:r>
        <w:t>Background Info for Paper</w:t>
      </w:r>
    </w:p>
    <w:p w14:paraId="4FB51A0D" w14:textId="77777777" w:rsidR="00FD36B9" w:rsidRDefault="00FD36B9" w:rsidP="00FD36B9">
      <w:pPr>
        <w:spacing w:after="135"/>
        <w:rPr>
          <w:rFonts w:ascii="Times New Roman" w:eastAsiaTheme="minorEastAsia" w:hAnsi="Times New Roman" w:cs="Times New Roman"/>
          <w:color w:val="202124"/>
          <w:sz w:val="24"/>
          <w:szCs w:val="24"/>
        </w:rPr>
      </w:pPr>
      <w:r>
        <w:rPr>
          <w:rFonts w:ascii="Times New Roman" w:eastAsiaTheme="minorEastAsia" w:hAnsi="Times New Roman" w:cs="Times New Roman"/>
          <w:color w:val="202124"/>
          <w:sz w:val="24"/>
          <w:szCs w:val="24"/>
        </w:rPr>
        <w:t>The proposed paper goes over our different innovative mechanisms to attract private investors to the climate agenda, with a stronger focus on what we call KPI bonds. Departing from the flaws of currently available sustainability bonds, the proposals in this paper would help crowd in private institutional investors to ESG programs. Such crowding-in effect can be better achieved via an MDB/development partner-supported bond issued by developing country sovereigns with steady coupon payments to the private sector, clear KPIs, incentive mechanisms for the issuer to achieve them, and de-risking mechanisms. As it is argued in the attached presentation, other alternatives are also possible. Current work (to be done by August 2024) estimates the impact on bond premia of each of the alternatives proposed in the attached presentation and scenarios for donor participation.</w:t>
      </w:r>
    </w:p>
    <w:p w14:paraId="7C603E9D" w14:textId="77777777" w:rsidR="00FD36B9" w:rsidRDefault="00FD36B9" w:rsidP="00FD36B9"/>
    <w:p w14:paraId="15359905" w14:textId="77777777" w:rsidR="00FD36B9" w:rsidRDefault="00FD36B9" w:rsidP="00FD36B9"/>
    <w:p w14:paraId="16B343CF" w14:textId="77777777" w:rsidR="00FD36B9" w:rsidRDefault="00FD36B9" w:rsidP="00FD36B9">
      <w:pPr>
        <w:pStyle w:val="PlainText"/>
      </w:pPr>
    </w:p>
    <w:p w14:paraId="763D1E6F" w14:textId="77777777" w:rsidR="00FD36B9" w:rsidRDefault="00FD36B9" w:rsidP="00FD36B9">
      <w:pPr>
        <w:pStyle w:val="PlainText"/>
      </w:pPr>
      <w:r>
        <w:t xml:space="preserve">We could organize the paper around the following themes: </w:t>
      </w:r>
    </w:p>
    <w:p w14:paraId="21C5780B" w14:textId="77777777" w:rsidR="00FD36B9" w:rsidRDefault="00FD36B9" w:rsidP="00FD36B9">
      <w:pPr>
        <w:pStyle w:val="PlainText"/>
      </w:pPr>
    </w:p>
    <w:p w14:paraId="2F9B113E" w14:textId="77777777" w:rsidR="00FD36B9" w:rsidRDefault="00FD36B9" w:rsidP="00FD36B9">
      <w:pPr>
        <w:pStyle w:val="PlainText"/>
      </w:pPr>
      <w:r>
        <w:t xml:space="preserve">The key challenges to attract private sector capital to the climate agenda are: </w:t>
      </w:r>
    </w:p>
    <w:p w14:paraId="6AF149CB" w14:textId="77777777" w:rsidR="00FD36B9" w:rsidRDefault="00FD36B9" w:rsidP="00FD36B9">
      <w:pPr>
        <w:pStyle w:val="PlainText"/>
      </w:pPr>
    </w:p>
    <w:p w14:paraId="45A8DB85" w14:textId="77777777" w:rsidR="00FD36B9" w:rsidRDefault="00FD36B9" w:rsidP="00FD36B9">
      <w:pPr>
        <w:pStyle w:val="PlainText"/>
      </w:pPr>
      <w:r>
        <w:t>1) Private agents do not endogenize the impact of their investment decisions on the needed climate transitions. This is in part owing to the usual "tragedy of commons" problem but also because money managers have a fiduciary responsibility to deliver on asset profitability.</w:t>
      </w:r>
    </w:p>
    <w:p w14:paraId="79FA5102" w14:textId="77777777" w:rsidR="00FD36B9" w:rsidRDefault="00FD36B9" w:rsidP="00FD36B9">
      <w:pPr>
        <w:pStyle w:val="PlainText"/>
      </w:pPr>
    </w:p>
    <w:p w14:paraId="1302B5D0" w14:textId="77777777" w:rsidR="00FD36B9" w:rsidRDefault="00FD36B9" w:rsidP="00FD36B9">
      <w:pPr>
        <w:pStyle w:val="PlainText"/>
      </w:pPr>
      <w:r>
        <w:t>2) Governments are caught in geo-political disagreements and the fear of bailing out competitors who would benefit from waiting to supply capital for a "common pool" after others have done so.</w:t>
      </w:r>
    </w:p>
    <w:p w14:paraId="6A05983E" w14:textId="77777777" w:rsidR="00FD36B9" w:rsidRDefault="00FD36B9" w:rsidP="00FD36B9">
      <w:pPr>
        <w:pStyle w:val="PlainText"/>
      </w:pPr>
    </w:p>
    <w:p w14:paraId="73AE7EC0" w14:textId="77777777" w:rsidR="00FD36B9" w:rsidRDefault="00FD36B9" w:rsidP="00FD36B9">
      <w:pPr>
        <w:pStyle w:val="PlainText"/>
      </w:pPr>
      <w:r>
        <w:t>3) Multilateral organizations suffer from some of the same problems that governments face (their board of directors/governors are government representatives after all). In addition, bureaucratic practices and inertia prevent them from taking risks and being fully innovative. A key issue in this area is their reluctance of relinquishing their preferred creditor status to the private sector as they work to attenuate risks and create incentives for private capital involvement.</w:t>
      </w:r>
    </w:p>
    <w:p w14:paraId="0841921A" w14:textId="77777777" w:rsidR="00FD36B9" w:rsidRDefault="00FD36B9" w:rsidP="00FD36B9">
      <w:pPr>
        <w:pStyle w:val="PlainText"/>
      </w:pPr>
    </w:p>
    <w:p w14:paraId="568E96C8" w14:textId="77777777" w:rsidR="00FD36B9" w:rsidRDefault="00FD36B9" w:rsidP="00FD36B9">
      <w:pPr>
        <w:pStyle w:val="PlainText"/>
      </w:pPr>
      <w:r>
        <w:t>Our proposal of a KPI bond with different degrees of official participation and guarantees addresses all these problems by:</w:t>
      </w:r>
    </w:p>
    <w:p w14:paraId="373B5E5C" w14:textId="77777777" w:rsidR="00FD36B9" w:rsidRDefault="00FD36B9" w:rsidP="00FD36B9">
      <w:pPr>
        <w:pStyle w:val="PlainText"/>
      </w:pPr>
    </w:p>
    <w:p w14:paraId="7B9FB1E1" w14:textId="77777777" w:rsidR="00FD36B9" w:rsidRDefault="00FD36B9" w:rsidP="00FD36B9">
      <w:pPr>
        <w:pStyle w:val="PlainText"/>
      </w:pPr>
      <w:r>
        <w:t xml:space="preserve">1) Separating private sector returns from incentives for sovereign debtors to act on climate transition. Incentives for strong KPIs and achieving them would come from interactions with point (2) below. For instance, development partner co-lending would depend on achieving KPIs. Private investors get fixed coupon payments, which will be determined by the supply and demand for these bonds. Coupon payments would be lower the stronger de-risking mechanisms discussed below are.  </w:t>
      </w:r>
    </w:p>
    <w:p w14:paraId="3878095D" w14:textId="77777777" w:rsidR="00FD36B9" w:rsidRDefault="00FD36B9" w:rsidP="00FD36B9">
      <w:pPr>
        <w:pStyle w:val="PlainText"/>
      </w:pPr>
    </w:p>
    <w:p w14:paraId="700BFBBD" w14:textId="77777777" w:rsidR="00FD36B9" w:rsidRDefault="00FD36B9" w:rsidP="00FD36B9">
      <w:pPr>
        <w:pStyle w:val="PlainText"/>
      </w:pPr>
      <w:r>
        <w:t>2) Providing different amounts of official guarantees to these bonds to reduce sovereign risks. The guarantees would go, for instance, from:</w:t>
      </w:r>
    </w:p>
    <w:p w14:paraId="16C58264" w14:textId="77777777" w:rsidR="00FD36B9" w:rsidRDefault="00FD36B9" w:rsidP="00FD36B9">
      <w:pPr>
        <w:pStyle w:val="PlainText"/>
      </w:pPr>
      <w:r>
        <w:lastRenderedPageBreak/>
        <w:tab/>
        <w:t>a) Broad guarantees offered by MIGA, which would have implications for WBG's balance sheets as capital would have to be provisioned against these guarantees.</w:t>
      </w:r>
    </w:p>
    <w:p w14:paraId="3227EC34" w14:textId="77777777" w:rsidR="00FD36B9" w:rsidRDefault="00FD36B9" w:rsidP="00FD36B9">
      <w:pPr>
        <w:pStyle w:val="PlainText"/>
      </w:pPr>
      <w:r>
        <w:tab/>
        <w:t>b) Co-lending by a development partner in a way that a default against a private creditor would also mean a default against this development partner. The balance sheet consequences for the development partner would depend on the degree of commitment to close possible balance-sheet holes in case of a default or the amount of development partner's lending. For instance, the amounts could be marginal and de-risking would happen through a reputation and relationship effect between the development partner and the sovereign in case of a default against the pool of creditors (private and official). To be more specific, a default against a tiny loan given by the WBG would have little balance sheet consequences but would imply the sovereign would not get other disbursements, technical assistance, etc. The threat of a relationship breakdown between the sovereign and the WBG would be enough to lower risks to private creditors and thus the interest rate sovereigns would have to pay to issue the bond.</w:t>
      </w:r>
    </w:p>
    <w:p w14:paraId="409D515F" w14:textId="77777777" w:rsidR="00FD36B9" w:rsidRDefault="00FD36B9" w:rsidP="00FD36B9">
      <w:pPr>
        <w:pStyle w:val="PlainText"/>
      </w:pPr>
      <w:r>
        <w:tab/>
        <w:t xml:space="preserve">c) De-risking could happen through stipulations for how the resources borrowed from the market would be used (say, by buying more expensive debt in the market, which would be akin to a debt-for-climate swap, debt sustainability would be boosted). </w:t>
      </w:r>
    </w:p>
    <w:p w14:paraId="6E47721D" w14:textId="77777777" w:rsidR="00FD36B9" w:rsidRDefault="00FD36B9" w:rsidP="00FD36B9">
      <w:pPr>
        <w:pStyle w:val="PlainText"/>
      </w:pPr>
      <w:r>
        <w:tab/>
        <w:t xml:space="preserve">d) </w:t>
      </w:r>
      <w:proofErr w:type="spellStart"/>
      <w:r>
        <w:t>etc</w:t>
      </w:r>
      <w:proofErr w:type="spellEnd"/>
    </w:p>
    <w:p w14:paraId="45F1C31D" w14:textId="77777777" w:rsidR="00FD36B9" w:rsidRDefault="00FD36B9" w:rsidP="00FD36B9">
      <w:pPr>
        <w:pStyle w:val="PlainText"/>
      </w:pPr>
    </w:p>
    <w:p w14:paraId="66D6FDAF" w14:textId="77777777" w:rsidR="00FD36B9" w:rsidRDefault="00FD36B9" w:rsidP="00FD36B9">
      <w:pPr>
        <w:pStyle w:val="PlainText"/>
      </w:pPr>
      <w:r>
        <w:t>3) Hard-coding private and public sector participation in bind issuance and buying would guarantee private capital mobilization for this instrument.</w:t>
      </w:r>
    </w:p>
    <w:p w14:paraId="60CF0DB8" w14:textId="77777777" w:rsidR="00FD36B9" w:rsidRDefault="00FD36B9" w:rsidP="00FD36B9">
      <w:pPr>
        <w:pStyle w:val="PlainText"/>
      </w:pPr>
    </w:p>
    <w:p w14:paraId="024E424F" w14:textId="77777777" w:rsidR="00FD36B9" w:rsidRDefault="00FD36B9" w:rsidP="00FD36B9">
      <w:pPr>
        <w:pStyle w:val="PlainText"/>
      </w:pPr>
      <w:r>
        <w:t xml:space="preserve">This part can </w:t>
      </w:r>
      <w:proofErr w:type="spellStart"/>
      <w:r>
        <w:t>de</w:t>
      </w:r>
      <w:proofErr w:type="spellEnd"/>
      <w:r>
        <w:t xml:space="preserve"> drafted easily. But we need to introduce some technique. For instance, a sense for the amounts to be demanded for this type of bond. Simulations for likely premia asked by buyers to demand such bonds. Some of the bells and whistles you have introduced in the presentation as options on how to set this up, etc.</w:t>
      </w:r>
    </w:p>
    <w:p w14:paraId="519AAE70" w14:textId="77777777" w:rsidR="00FD36B9" w:rsidRPr="00FD36B9" w:rsidRDefault="00FD36B9" w:rsidP="00FD36B9"/>
    <w:sectPr w:rsidR="00FD36B9" w:rsidRPr="00FD36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6B9"/>
    <w:rsid w:val="00A90552"/>
    <w:rsid w:val="00FD3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CDCB1"/>
  <w15:chartTrackingRefBased/>
  <w15:docId w15:val="{B931081B-A443-49C4-853D-1637A037B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6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6B9"/>
    <w:rPr>
      <w:rFonts w:asciiTheme="majorHAnsi" w:eastAsiaTheme="majorEastAsia" w:hAnsiTheme="majorHAnsi" w:cstheme="majorBidi"/>
      <w:color w:val="2F5496" w:themeColor="accent1" w:themeShade="BF"/>
      <w:sz w:val="32"/>
      <w:szCs w:val="32"/>
    </w:rPr>
  </w:style>
  <w:style w:type="paragraph" w:styleId="PlainText">
    <w:name w:val="Plain Text"/>
    <w:basedOn w:val="Normal"/>
    <w:link w:val="PlainTextChar"/>
    <w:uiPriority w:val="99"/>
    <w:semiHidden/>
    <w:unhideWhenUsed/>
    <w:rsid w:val="00FD36B9"/>
    <w:pPr>
      <w:spacing w:after="0" w:line="240" w:lineRule="auto"/>
    </w:pPr>
    <w:rPr>
      <w:rFonts w:ascii="Calibri" w:eastAsia="Times New Roman" w:hAnsi="Calibri"/>
      <w:szCs w:val="21"/>
    </w:rPr>
  </w:style>
  <w:style w:type="character" w:customStyle="1" w:styleId="PlainTextChar">
    <w:name w:val="Plain Text Char"/>
    <w:basedOn w:val="DefaultParagraphFont"/>
    <w:link w:val="PlainText"/>
    <w:uiPriority w:val="99"/>
    <w:semiHidden/>
    <w:rsid w:val="00FD36B9"/>
    <w:rPr>
      <w:rFonts w:ascii="Calibri" w:eastAsia="Times New Roman"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160918">
      <w:bodyDiv w:val="1"/>
      <w:marLeft w:val="0"/>
      <w:marRight w:val="0"/>
      <w:marTop w:val="0"/>
      <w:marBottom w:val="0"/>
      <w:divBdr>
        <w:top w:val="none" w:sz="0" w:space="0" w:color="auto"/>
        <w:left w:val="none" w:sz="0" w:space="0" w:color="auto"/>
        <w:bottom w:val="none" w:sz="0" w:space="0" w:color="auto"/>
        <w:right w:val="none" w:sz="0" w:space="0" w:color="auto"/>
      </w:divBdr>
    </w:div>
    <w:div w:id="912160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692</Words>
  <Characters>3951</Characters>
  <Application>Microsoft Office Word</Application>
  <DocSecurity>0</DocSecurity>
  <Lines>32</Lines>
  <Paragraphs>9</Paragraphs>
  <ScaleCrop>false</ScaleCrop>
  <Company>WBG</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1</cp:revision>
  <dcterms:created xsi:type="dcterms:W3CDTF">2024-08-16T06:09:00Z</dcterms:created>
  <dcterms:modified xsi:type="dcterms:W3CDTF">2024-08-16T06:12:00Z</dcterms:modified>
</cp:coreProperties>
</file>