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Peer_Review_Time_and_Chance</w:t>
      </w:r>
    </w:p>
    <w:bookmarkStart w:id="29" w:name="X00c10912ad1e6dea27c35a8539d930756a6b8a3"/>
    <w:p>
      <w:pPr>
        <w:pStyle w:val="Heading1"/>
      </w:pPr>
      <w:r>
        <w:t xml:space="preserve">Peer Review —</w:t>
      </w:r>
      <w:r>
        <w:t xml:space="preserve"> </w:t>
      </w:r>
      <w:r>
        <w:rPr>
          <w:i/>
          <w:iCs/>
        </w:rPr>
        <w:t xml:space="preserve">Time and Chance: The Elements of Scale in the Green Transition</w:t>
      </w:r>
    </w:p>
    <w:p>
      <w:pPr>
        <w:pStyle w:val="FirstParagraph"/>
      </w:pPr>
      <w:r>
        <w:t xml:space="preserve">Manuscript of 27 chapters, five parts, 38,887 words. Reviewed for quality of read and for gaps in the argument. References are to chapter numbers in the current manuscript.</w:t>
      </w:r>
    </w:p>
    <w:p>
      <w:r>
        <w:pict>
          <v:rect style="width:0;height:1.5pt" o:hralign="center" o:hrstd="t" o:hr="t"/>
        </w:pict>
      </w:r>
    </w:p>
    <w:bookmarkStart w:id="9" w:name="summary-judgment"/>
    <w:p>
      <w:pPr>
        <w:pStyle w:val="Heading2"/>
      </w:pPr>
      <w:r>
        <w:t xml:space="preserve">Summary Judgment</w:t>
      </w:r>
    </w:p>
    <w:p>
      <w:pPr>
        <w:pStyle w:val="FirstParagraph"/>
      </w:pPr>
      <w:r>
        <w:t xml:space="preserve">This is a book with one strong idea and the discipline, mostly, to follow it. The idea is that the cost of capital, not technology or the quantity of money, is the binding constraint on the transition in the countries that matter; that the cost of capital is set by risk; and that a large part of that risk is either informational or institutional and can therefore be engineered away. The preface states this cleanly, and the best chapters — 2, 4, 7, 9, 16 and 24 — earn it.</w:t>
      </w:r>
    </w:p>
    <w:p>
      <w:pPr>
        <w:pStyle w:val="BodyText"/>
      </w:pPr>
      <w:r>
        <w:t xml:space="preserve">The manuscript has two problems that a reader will feel before they can name them. The first is repetition: the same handful of insights are re-presented in successive chapters under different headings, because those chapters began life as separate memos. The second is that the book’s central promise — that risk can be absorbed “without using up” anyone’s balance sheet — is asserted far more often than it is demonstrated, and the manuscript’s own best chapter on risk (3) contains the objection that the later chapters never answer.</w:t>
      </w:r>
    </w:p>
    <w:p>
      <w:pPr>
        <w:pStyle w:val="BodyText"/>
      </w:pPr>
      <w:r>
        <w:t xml:space="preserve">Both are fixable. The first is an editing problem. The second is an argument problem, and it is the one that a hostile reviewer would lead with.</w:t>
      </w:r>
    </w:p>
    <w:p>
      <w:r>
        <w:pict>
          <v:rect style="width:0;height:1.5pt" o:hralign="center" o:hrstd="t" o:hr="t"/>
        </w:pict>
      </w:r>
    </w:p>
    <w:bookmarkEnd w:id="9"/>
    <w:bookmarkStart w:id="10" w:name="what-works"/>
    <w:p>
      <w:pPr>
        <w:pStyle w:val="Heading2"/>
      </w:pPr>
      <w:r>
        <w:t xml:space="preserve">What Works</w:t>
      </w:r>
    </w:p>
    <w:p>
      <w:pPr>
        <w:pStyle w:val="FirstParagraph"/>
      </w:pPr>
      <w:r>
        <w:rPr>
          <w:b/>
          <w:bCs/>
        </w:rPr>
        <w:t xml:space="preserve">The thesis is stated and sustained.</w:t>
      </w:r>
      <w:r>
        <w:t xml:space="preserve"> </w:t>
      </w:r>
      <w:r>
        <w:t xml:space="preserve">Few policy books can be reduced to one sentence without loss. This one can, and the preface does it. The 70-versus-10 percentage point debt figure is well chosen as the number to hang the argument on.</w:t>
      </w:r>
    </w:p>
    <w:p>
      <w:pPr>
        <w:pStyle w:val="BodyText"/>
      </w:pPr>
      <w:r>
        <w:rPr>
          <w:b/>
          <w:bCs/>
        </w:rPr>
        <w:t xml:space="preserve">The bond-like observation.</w:t>
      </w:r>
      <w:r>
        <w:t xml:space="preserve"> </w:t>
      </w:r>
      <w:r>
        <w:t xml:space="preserve">Chapter 2’s point — that a completed, contracted, operating solar park has the cash flow profile of a bond, and that the gap between what it actually pays and what that profile deserves is the value the whole book exists to capture — is the manuscript’s best single sentence. It should be on the cover copy.</w:t>
      </w:r>
    </w:p>
    <w:p>
      <w:pPr>
        <w:pStyle w:val="BodyText"/>
      </w:pPr>
      <w:r>
        <w:rPr>
          <w:b/>
          <w:bCs/>
        </w:rPr>
        <w:t xml:space="preserve">Contracts beat prices.</w:t>
      </w:r>
      <w:r>
        <w:t xml:space="preserve"> </w:t>
      </w:r>
      <w:r>
        <w:t xml:space="preserve">Chapter 4’s reframing, that a reverse auction is not a second-best substitute for a carbon price but does something a price structurally cannot do (create a contract, and therefore a financeable asset), is genuinely useful and not widely made. It also justifies the book’s title claim about timing: quantity instruments coordinate across time.</w:t>
      </w:r>
    </w:p>
    <w:p>
      <w:pPr>
        <w:pStyle w:val="BodyText"/>
      </w:pPr>
      <w:r>
        <w:rPr>
          <w:b/>
          <w:bCs/>
        </w:rPr>
        <w:t xml:space="preserve">Guarantee the offtaker, not the loan.</w:t>
      </w:r>
      <w:r>
        <w:t xml:space="preserve"> </w:t>
      </w:r>
      <w:r>
        <w:t xml:space="preserve">Chapter 9’s argument for why the guarantee should sit at the power purchase agreement rather than at the debt — efficiency, preserved recourse, incentive alignment — is precise and correct, and the SECI case gives it a working example.</w:t>
      </w:r>
    </w:p>
    <w:p>
      <w:pPr>
        <w:pStyle w:val="BodyText"/>
      </w:pPr>
      <w:r>
        <w:rPr>
          <w:b/>
          <w:bCs/>
        </w:rPr>
        <w:t xml:space="preserve">The credit-ledger principle.</w:t>
      </w:r>
      <w:r>
        <w:t xml:space="preserve"> </w:t>
      </w:r>
      <w:r>
        <w:t xml:space="preserve">The idea that a default to a repeat lender becomes a ledger entry rather than a credit event (Chapters 7, 10, 16) is the mechanism that makes the concessionality claim plausible, and it is explained well.</w:t>
      </w:r>
    </w:p>
    <w:p>
      <w:pPr>
        <w:pStyle w:val="BodyText"/>
      </w:pPr>
      <w:r>
        <w:rPr>
          <w:b/>
          <w:bCs/>
        </w:rPr>
        <w:t xml:space="preserve">Funding versus financing.</w:t>
      </w:r>
      <w:r>
        <w:t xml:space="preserve"> </w:t>
      </w:r>
      <w:r>
        <w:t xml:space="preserve">Chapter 15’s distinction, and its observation that solar’s cost collapse has moved a large class of projects from the funding category to the financing category, is the cleanest statement anywhere in the book of why the derisking agenda now does work that used to require grants.</w:t>
      </w:r>
    </w:p>
    <w:p>
      <w:pPr>
        <w:pStyle w:val="BodyText"/>
      </w:pPr>
      <w:r>
        <w:rPr>
          <w:b/>
          <w:bCs/>
        </w:rPr>
        <w:t xml:space="preserve">The theory of concessionality.</w:t>
      </w:r>
      <w:r>
        <w:t xml:space="preserve"> </w:t>
      </w:r>
      <w:r>
        <w:t xml:space="preserve">Chapter 16’s claim that concessionality can be manufactured out of credit ratings, relationships and diversification rather than paid for from aid budgets is the book’s most original contribution and deserves more space than the 900 words it gets.</w:t>
      </w:r>
    </w:p>
    <w:p>
      <w:pPr>
        <w:pStyle w:val="BodyText"/>
      </w:pPr>
      <w:r>
        <w:rPr>
          <w:b/>
          <w:bCs/>
        </w:rPr>
        <w:t xml:space="preserve">Chapter 24.</w:t>
      </w:r>
      <w:r>
        <w:t xml:space="preserve"> </w:t>
      </w:r>
      <w:r>
        <w:t xml:space="preserve">The argument that a fuel import commitment is an unbooked liability, and that borrowing to build solar converts a variable, foreign-currency, open-ended obligation into a fixed, finite, amortizing one, is exactly right and is the sharpest rebuttal available to the debt-sustainability objection. It should be brought forward.</w:t>
      </w:r>
    </w:p>
    <w:p>
      <w:r>
        <w:pict>
          <v:rect style="width:0;height:1.5pt" o:hralign="center" o:hrstd="t" o:hr="t"/>
        </w:pict>
      </w:r>
    </w:p>
    <w:bookmarkEnd w:id="10"/>
    <w:bookmarkStart w:id="15" w:name="quality-of-read"/>
    <w:p>
      <w:pPr>
        <w:pStyle w:val="Heading2"/>
      </w:pPr>
      <w:r>
        <w:t xml:space="preserve">Quality of Read</w:t>
      </w:r>
    </w:p>
    <w:bookmarkStart w:id="11" w:name="the-repetition-problem"/>
    <w:p>
      <w:pPr>
        <w:pStyle w:val="Heading3"/>
      </w:pPr>
      <w:r>
        <w:t xml:space="preserve">The repetition problem</w:t>
      </w:r>
    </w:p>
    <w:p>
      <w:pPr>
        <w:pStyle w:val="FirstParagraph"/>
      </w:pPr>
      <w:r>
        <w:t xml:space="preserve">The manuscript proposes what is essentially one equity buffer fund at least five times, under five names: the Global Climate Risk Equity Fund (Chapter 11), the clean energy equity fund (12), the global equity fund for policy lending (20), the Climate Investment and Insurance Fund (21), and the Climate Incentives Trust (22). The variations between them are real — the CIT adds international incentives and the trust structure; the CIIF is a Financial Intermediary Fund; Chapter 20’s fund absorbs policy-lending risk specifically — but a reader encountering the fifth version has stopped being able to tell whether they are reading a new proposal or a restatement. The same is true of the “guarantee the offtaker” insight, which appears in Chapters 7, 9, 10, 15 and 16, and of the “used but not used up” phrase for the World Bank’s credit rating.</w:t>
      </w:r>
    </w:p>
    <w:p>
      <w:pPr>
        <w:pStyle w:val="BodyText"/>
      </w:pPr>
      <w:r>
        <w:t xml:space="preserve">The fix is not to cut the chapters — each contains material the others lack — but to make the relationship explicit. A short passage at the head of Part IV saying “Parts III and IV describe one structure, seen from four angles; here is how the pieces map onto each other” would convert the repetition from a defect into a design. A single diagram of the full risk stack, appearing once and referred to thereafter, would do more for the reader than any amount of prose.</w:t>
      </w:r>
    </w:p>
    <w:p>
      <w:pPr>
        <w:pStyle w:val="BodyText"/>
      </w:pPr>
      <w:r>
        <w:t xml:space="preserve">Chapter 18, “Five Mechanisms,” compounds this. It summarizes Chapters 20–23 before they arrive. Either it should be moved to the end of Part IV as a consolidation, or it should be folded into the Part IV opening.</w:t>
      </w:r>
    </w:p>
    <w:bookmarkEnd w:id="11"/>
    <w:bookmarkStart w:id="12" w:name="register"/>
    <w:p>
      <w:pPr>
        <w:pStyle w:val="Heading3"/>
      </w:pPr>
      <w:r>
        <w:t xml:space="preserve">Register</w:t>
      </w:r>
    </w:p>
    <w:p>
      <w:pPr>
        <w:pStyle w:val="FirstParagraph"/>
      </w:pPr>
      <w:r>
        <w:t xml:space="preserve">Parts I–III are written for a general policy reader. Part IV shifts, sometimes mid-chapter, to a reader who already knows what DPF, PforR, FIF and the Evolution Roadmap are. Chapter 19 in particular reads as a briefing for Bank management — “we search for needed institutions where there is a gap” — and sits oddly as a standalone chapter. The institutional detail is valuable and should stay, but the acronyms need glossing on first use and the Bank-internal framing needs to be translated into the book’s own voice.</w:t>
      </w:r>
    </w:p>
    <w:bookmarkEnd w:id="12"/>
    <w:bookmarkStart w:id="13" w:name="thin-chapters"/>
    <w:p>
      <w:pPr>
        <w:pStyle w:val="Heading3"/>
      </w:pPr>
      <w:r>
        <w:t xml:space="preserve">Thin chapters</w:t>
      </w:r>
    </w:p>
    <w:p>
      <w:pPr>
        <w:pStyle w:val="FirstParagraph"/>
      </w:pPr>
      <w:r>
        <w:t xml:space="preserve">Chapter 17 (FAQ) is 300 words and answers four questions the surrounding chapters already answer. Chapter 8 (coal and PPAs) is 400 words and would sit better as a section of Chapter 27. Chapter 14 (Green Policy as Growth Policy) is the book’s macroeconomic thesis — the green safe asset — and at 500 words it is underweight for what it claims; it also sits after the Sollar, which is its most speculative application, rather than before it.</w:t>
      </w:r>
    </w:p>
    <w:bookmarkEnd w:id="13"/>
    <w:bookmarkStart w:id="14" w:name="the-ending"/>
    <w:p>
      <w:pPr>
        <w:pStyle w:val="Heading3"/>
      </w:pPr>
      <w:r>
        <w:t xml:space="preserve">The ending</w:t>
      </w:r>
    </w:p>
    <w:p>
      <w:pPr>
        <w:pStyle w:val="FirstParagraph"/>
      </w:pPr>
      <w:r>
        <w:t xml:space="preserve">The book ends on Chapter 27’s list of “what still needs work” — carbon pricing, coordination, financial assumptions, subsidy persistence, success stories. This is honest but it is not an ending. The manuscript has no conclusion. It needs one, and the material for it exists: the preface’s “Time and Chance” passage on thresholds and dynamics, and the argument (currently in the working papers, in the green growth evidence chapter) that the measured growth benefit of renewable deployment appears only above a threshold of investment. A closing chapter that returned to the 4-percent-versus-12-percent worlds, with the threshold evidence, would close the loop the preface opens.</w:t>
      </w:r>
    </w:p>
    <w:p>
      <w:r>
        <w:pict>
          <v:rect style="width:0;height:1.5pt" o:hralign="center" o:hrstd="t" o:hr="t"/>
        </w:pict>
      </w:r>
    </w:p>
    <w:bookmarkEnd w:id="14"/>
    <w:bookmarkEnd w:id="15"/>
    <w:bookmarkStart w:id="26" w:name="gaps-in-the-argument"/>
    <w:p>
      <w:pPr>
        <w:pStyle w:val="Heading2"/>
      </w:pPr>
      <w:r>
        <w:t xml:space="preserve">Gaps in the Argument</w:t>
      </w:r>
    </w:p>
    <w:p>
      <w:pPr>
        <w:pStyle w:val="FirstParagraph"/>
      </w:pPr>
      <w:r>
        <w:t xml:space="preserve">Ordered by how much they threaten the thesis.</w:t>
      </w:r>
    </w:p>
    <w:bookmarkStart w:id="16" w:name="where-does-the-risk-go"/>
    <w:p>
      <w:pPr>
        <w:pStyle w:val="Heading3"/>
      </w:pPr>
      <w:r>
        <w:t xml:space="preserve">1. Where does the risk go?</w:t>
      </w:r>
    </w:p>
    <w:p>
      <w:pPr>
        <w:pStyle w:val="FirstParagraph"/>
      </w:pPr>
      <w:r>
        <w:t xml:space="preserve">This is the central gap. The manuscript’s own Chapter 3 states the objection precisely: “many transfer strategies work normally almost all of the time and then fail together. They have tail risks: the counterparty that was diversified turns out to have been correlated.” It then observes that “a structure that relies entirely on transfer with no reduction is a structure that has hidden its risk rather than dealt with it.”</w:t>
      </w:r>
    </w:p>
    <w:p>
      <w:pPr>
        <w:pStyle w:val="BodyText"/>
      </w:pPr>
      <w:r>
        <w:t xml:space="preserve">The later chapters do not answer this about their own structures. The three-layer stack — sovereign first loss, equity fund second loss, AAA guarantor third — is presented as consuming no one’s balance sheet. But risk is conserved. Diversification across thirty jurisdictions reduces idiosyncratic risk; it does nothing for the systemic case in which a global rate shock, a dollar spike, or an emerging market currency crisis hits every PPA at once. That is precisely the case in which the equity buffer is exhausted and the AAA guarantor pays. The book needs a chapter, or at least a section of Chapter 16, that walks through the correlated-shock scenario honestly: what breaks, who pays, and how large the exposure is. Chapter 11’s own assessment criteria demand it — “it remains crucial to know who ultimately bears the risk” — and then nothing does.</w:t>
      </w:r>
    </w:p>
    <w:bookmarkEnd w:id="16"/>
    <w:bookmarkStart w:id="17" w:name="X9cc6e8fc52f5029bb99f6dfeb3f4f8667a16fb2"/>
    <w:p>
      <w:pPr>
        <w:pStyle w:val="Heading3"/>
      </w:pPr>
      <w:r>
        <w:t xml:space="preserve">2. The fiscal-space claim contradicts the first-loss design</w:t>
      </w:r>
    </w:p>
    <w:p>
      <w:pPr>
        <w:pStyle w:val="FirstParagraph"/>
      </w:pPr>
      <w:r>
        <w:t xml:space="preserve">Chapter 11 states that the structure “does not increase developing country government liabilities.” Chapter 21 makes the developing country government the first-loss guarantor, indemnifying the World Bank. Chapter 9’s sovereign indemnity does the same. These are contingent liabilities, and contingent liabilities are what debt sustainability frameworks — the subject of Chapter 25 — are increasingly designed to capture.</w:t>
      </w:r>
    </w:p>
    <w:p>
      <w:pPr>
        <w:pStyle w:val="BodyText"/>
      </w:pPr>
      <w:r>
        <w:t xml:space="preserve">The book’s real position, which is defensible, is that these liabilities are</w:t>
      </w:r>
      <w:r>
        <w:t xml:space="preserve"> </w:t>
      </w:r>
      <w:r>
        <w:rPr>
          <w:i/>
          <w:iCs/>
        </w:rPr>
        <w:t xml:space="preserve">conditional on the government’s own policy choices</w:t>
      </w:r>
      <w:r>
        <w:t xml:space="preserve"> </w:t>
      </w:r>
      <w:r>
        <w:t xml:space="preserve">and therefore are not risks in the ordinary sense — a government guaranteeing only what it controls. But that argument is made only in passing, and the flat “no increase in liabilities” claim should be retired. The manuscript is stronger admitting the contingent liability and arguing that it is the right kind.</w:t>
      </w:r>
    </w:p>
    <w:bookmarkEnd w:id="17"/>
    <w:bookmarkStart w:id="18" w:name="Xd0896b14ccca35705c42b62b67dae05abc3b04a"/>
    <w:p>
      <w:pPr>
        <w:pStyle w:val="Heading3"/>
      </w:pPr>
      <w:r>
        <w:t xml:space="preserve">3. Currency risk is named as unsolvable and then set aside</w:t>
      </w:r>
    </w:p>
    <w:p>
      <w:pPr>
        <w:pStyle w:val="FirstParagraph"/>
      </w:pPr>
      <w:r>
        <w:t xml:space="preserve">Chapter 9 calls currency mismatch “the risk that cannot be guaranteed away” and offers two mitigants: the declining PPA and local-currency denomination for the domestic savings market. Chapter 21 says the CIIF would be “structured to absorb foreign exchange risk” without saying how. Chapter 13 offers the Sollar as the radical answer but flags it as speculative. Chapter 14 proposes a green numéraire in five hundred words.</w:t>
      </w:r>
    </w:p>
    <w:p>
      <w:pPr>
        <w:pStyle w:val="BodyText"/>
      </w:pPr>
      <w:r>
        <w:t xml:space="preserve">The hardest problem in the book receives its thinnest treatment. A serious version needs at least: an estimate of what fraction of the emerging market cost-of-capital premium is currency risk as against credit risk; a discussion of the existing tools (TCX, local currency guarantee facilities, partial indexation); and an honest statement of whether the book’s structures reduce currency risk or merely reallocate it to the guarantor.</w:t>
      </w:r>
    </w:p>
    <w:bookmarkEnd w:id="18"/>
    <w:bookmarkStart w:id="19" w:name="X2e32ecae718374bd2e27c1eac54afc25843c7db"/>
    <w:p>
      <w:pPr>
        <w:pStyle w:val="Heading3"/>
      </w:pPr>
      <w:r>
        <w:t xml:space="preserve">4. The load-bearing numbers are asserted, not derived</w:t>
      </w:r>
    </w:p>
    <w:p>
      <w:pPr>
        <w:pStyle w:val="FirstParagraph"/>
      </w:pPr>
      <w:r>
        <w:t xml:space="preserve">The preface says a solar park costs roughly twice as much per kWh at 12 percent as at 4 percent. This is broadly right, but nowhere in the book is a levelized cost of electricity actually computed as a function of the discount rate. One table — LCOE for a representative project at 4, 8 and 12 percent — would do more to convince a sceptical reader than the dozen places where the claim is restated. Similarly, the LSE 70-versus-10 figure carries the preface and is cited from a single study without any discussion of its assumptions.</w:t>
      </w:r>
    </w:p>
    <w:p>
      <w:pPr>
        <w:pStyle w:val="BodyText"/>
      </w:pPr>
      <w:r>
        <w:t xml:space="preserve">Chapter 20’s worked example (return on equity doubling from a 4 percent refinancing) and Chapter 22’s financial summary (the trust doubling every two years; $4 trillion of leveraged investment) are flagged as “tentative and indicative,” which is appropriate. But the book’s credibility rests on the reader believing that the mechanism is realistic even if the numbers are illustrative, and the mechanism is never stress-tested. What happens to the doubling if refinancing is available at 6 percent rather than 4? At 8?</w:t>
      </w:r>
    </w:p>
    <w:bookmarkEnd w:id="19"/>
    <w:bookmarkStart w:id="20" w:name="interest-rates-have-moved"/>
    <w:p>
      <w:pPr>
        <w:pStyle w:val="Heading3"/>
      </w:pPr>
      <w:r>
        <w:t xml:space="preserve">5. Interest rates have moved</w:t>
      </w:r>
    </w:p>
    <w:p>
      <w:pPr>
        <w:pStyle w:val="FirstParagraph"/>
      </w:pPr>
      <w:r>
        <w:t xml:space="preserve">The manuscript was drafted across a period that began in a low-rate environment — Chapter 11 still refers to “a low-interest environment currently anyways” — and the refinancing arithmetic everywhere assumes that AAA-rated paper can be placed at around 4 percent. In 2026 that assumption is a live question rather than a given. The argument survives higher rates — the</w:t>
      </w:r>
      <w:r>
        <w:t xml:space="preserve"> </w:t>
      </w:r>
      <w:r>
        <w:rPr>
          <w:i/>
          <w:iCs/>
        </w:rPr>
        <w:t xml:space="preserve">gap</w:t>
      </w:r>
      <w:r>
        <w:t xml:space="preserve"> </w:t>
      </w:r>
      <w:r>
        <w:t xml:space="preserve">between a developing country’s cost of capital and the AAA rate is what matters, not the level — but the book should say so explicitly and rerun its central example at current rates.</w:t>
      </w:r>
    </w:p>
    <w:bookmarkEnd w:id="20"/>
    <w:bookmarkStart w:id="21" w:name="the-evidence-base-is-one-case"/>
    <w:p>
      <w:pPr>
        <w:pStyle w:val="Heading3"/>
      </w:pPr>
      <w:r>
        <w:t xml:space="preserve">6. The evidence base is one case</w:t>
      </w:r>
    </w:p>
    <w:p>
      <w:pPr>
        <w:pStyle w:val="FirstParagraph"/>
      </w:pPr>
      <w:r>
        <w:t xml:space="preserve">The book argues almost entirely from mechanism. The only worked institutional example is SECI, and the book asserts rather than shows that the model would port to Nigeria or Brazil, which lack India’s federal structure, central bank credit lines and state-government indemnity chain. Chapter 10, titled “Key Insights from Existing Structures,” cites no existing structure other than SECI.</w:t>
      </w:r>
    </w:p>
    <w:p>
      <w:pPr>
        <w:pStyle w:val="BodyText"/>
      </w:pPr>
      <w:r>
        <w:t xml:space="preserve">There is a substantial empirical record the book does not use. South Africa’s REIPPPP, Brazil’s and Chile’s auction programmes, Mexico’s pre-2018 auctions, Scaling Solar in Zambia and Senegal — these are exactly the natural experiments the thesis predicts should show falling cost of capital as track record accumulates. If the spreads compressed, the book’s “chance” argument (that much of the premium is ignorance rather than hazard) is confirmed. If they did not, the argument needs revising. Either way, the book should look. And SECI’s own record on Discom arrears deserves an honest paragraph: the model has</w:t>
      </w:r>
      <w:r>
        <w:t xml:space="preserve"> </w:t>
      </w:r>
      <w:r>
        <w:rPr>
          <w:i/>
          <w:iCs/>
        </w:rPr>
        <w:t xml:space="preserve">moved</w:t>
      </w:r>
      <w:r>
        <w:t xml:space="preserve"> </w:t>
      </w:r>
      <w:r>
        <w:t xml:space="preserve">payment risk, which the book argues is the point, but it has not eliminated it.</w:t>
      </w:r>
    </w:p>
    <w:bookmarkEnd w:id="21"/>
    <w:bookmarkStart w:id="22" w:name="the-chance-claim-is-not-decomposed"/>
    <w:p>
      <w:pPr>
        <w:pStyle w:val="Heading3"/>
      </w:pPr>
      <w:r>
        <w:t xml:space="preserve">7. The “chance” claim is not decomposed</w:t>
      </w:r>
    </w:p>
    <w:p>
      <w:pPr>
        <w:pStyle w:val="FirstParagraph"/>
      </w:pPr>
      <w:r>
        <w:t xml:space="preserve">The preface’s most striking claim is that a large part of the developing country risk premium is “the price of an absent track record — of lenders having no basis on which to judge, and therefore charging for their ignorance.” This is the claim that makes the book’s title earn its place. It is also an empirical claim about the decomposition of a risk premium into a real component and an informational one, and the book never attempts the decomposition. Point 6 above is where the evidence would come from.</w:t>
      </w:r>
    </w:p>
    <w:bookmarkEnd w:id="22"/>
    <w:bookmarkStart w:id="23" w:name="X52d518432e92d652dad8c2190a62ca3d401d740"/>
    <w:p>
      <w:pPr>
        <w:pStyle w:val="Heading3"/>
      </w:pPr>
      <w:r>
        <w:t xml:space="preserve">8. The declining PPA shifts risk without saying to whom</w:t>
      </w:r>
    </w:p>
    <w:p>
      <w:pPr>
        <w:pStyle w:val="FirstParagraph"/>
      </w:pPr>
      <w:r>
        <w:t xml:space="preserve">The declining-tariff design (Chapters 9, 11, 24) is presented as the solution to PPA fiscal risk. It is, for the offtaker. But a contract whose price falls on a schedule set in advance is a bet that solar costs will fall at least as fast as the schedule. If they do not — supply chain disruption, mineral constraints, which Chapter 9 itself mentions — the developer is squeezed. Who bears that risk, and does it raise the cost of capital by enough to offset the benefit? The book should say.</w:t>
      </w:r>
    </w:p>
    <w:bookmarkEnd w:id="23"/>
    <w:bookmarkStart w:id="24" w:name="grid-curtailment-and-storage"/>
    <w:p>
      <w:pPr>
        <w:pStyle w:val="Heading3"/>
      </w:pPr>
      <w:r>
        <w:t xml:space="preserve">9. Grid, curtailment and storage</w:t>
      </w:r>
    </w:p>
    <w:p>
      <w:pPr>
        <w:pStyle w:val="FirstParagraph"/>
      </w:pPr>
      <w:r>
        <w:t xml:space="preserve">Chapter 16 admits that grids and batteries “remain to be done.” That is fair for a first book. But a PPA in a weak grid faces curtailment risk — the plant is contracted but the grid cannot take the power — and this is a</w:t>
      </w:r>
      <w:r>
        <w:t xml:space="preserve"> </w:t>
      </w:r>
      <w:r>
        <w:rPr>
          <w:i/>
          <w:iCs/>
        </w:rPr>
        <w:t xml:space="preserve">revenue</w:t>
      </w:r>
      <w:r>
        <w:t xml:space="preserve"> </w:t>
      </w:r>
      <w:r>
        <w:t xml:space="preserve">risk that sits inside the contracted stream the whole book relies on. At minimum, the book should note that “take-or-pay” versus “take-and-pay” contract terms determine whether curtailment risk falls on the offtaker or the developer, and that the bond-like quality of the cash flow depends on the answer.</w:t>
      </w:r>
    </w:p>
    <w:bookmarkEnd w:id="24"/>
    <w:bookmarkStart w:id="25" w:name="distribution-of-the-gains"/>
    <w:p>
      <w:pPr>
        <w:pStyle w:val="Heading3"/>
      </w:pPr>
      <w:r>
        <w:t xml:space="preserve">10. Distribution of the gains</w:t>
      </w:r>
    </w:p>
    <w:p>
      <w:pPr>
        <w:pStyle w:val="FirstParagraph"/>
      </w:pPr>
      <w:r>
        <w:t xml:space="preserve">The classic critique of derisking — socialized risk, privatized return — is answered in Chapter 16 by the public equity fund’s participation. But in Chapter 11’s own worked example the fund holds an option on $150,000 of a $1 million project, and Chapter 11 also says initial high profitability for private investors is desirable to recruit capital. Both claims are reasonable. Together they invite the question of what share of the cost-of-capital saving actually reaches consumers or the public fund, and over what horizon. A paragraph quantifying the split in the worked example would pre-empt the objection.</w:t>
      </w:r>
    </w:p>
    <w:p>
      <w:r>
        <w:pict>
          <v:rect style="width:0;height:1.5pt" o:hralign="center" o:hrstd="t" o:hr="t"/>
        </w:pict>
      </w:r>
    </w:p>
    <w:bookmarkEnd w:id="25"/>
    <w:bookmarkEnd w:id="26"/>
    <w:bookmarkStart w:id="27" w:name="recommendations-in-priority-order"/>
    <w:p>
      <w:pPr>
        <w:pStyle w:val="Heading2"/>
      </w:pPr>
      <w:r>
        <w:t xml:space="preserve">Recommendations, in Priority Order</w:t>
      </w:r>
    </w:p>
    <w:p>
      <w:pPr>
        <w:numPr>
          <w:ilvl w:val="0"/>
          <w:numId w:val="1001"/>
        </w:numPr>
      </w:pPr>
      <w:r>
        <w:rPr>
          <w:b/>
          <w:bCs/>
        </w:rPr>
        <w:t xml:space="preserve">Write the risk chapter.</w:t>
      </w:r>
      <w:r>
        <w:t xml:space="preserve"> </w:t>
      </w:r>
      <w:r>
        <w:t xml:space="preserve">Answer Chapter 3’s tail-risk objection about the book’s own structures: the correlated-shock case, who pays, how much. This is the difference between a proposal and an argument.</w:t>
      </w:r>
    </w:p>
    <w:p>
      <w:pPr>
        <w:numPr>
          <w:ilvl w:val="0"/>
          <w:numId w:val="1001"/>
        </w:numPr>
      </w:pPr>
      <w:r>
        <w:rPr>
          <w:b/>
          <w:bCs/>
        </w:rPr>
        <w:t xml:space="preserve">Write the conclusion.</w:t>
      </w:r>
      <w:r>
        <w:t xml:space="preserve"> </w:t>
      </w:r>
      <w:r>
        <w:t xml:space="preserve">Return to the two worlds — 4 percent and 12 percent — and close with the threshold evidence. The book currently stops rather than ends.</w:t>
      </w:r>
    </w:p>
    <w:p>
      <w:pPr>
        <w:numPr>
          <w:ilvl w:val="0"/>
          <w:numId w:val="1001"/>
        </w:numPr>
      </w:pPr>
      <w:r>
        <w:rPr>
          <w:b/>
          <w:bCs/>
        </w:rPr>
        <w:t xml:space="preserve">Add one LCOE-versus-discount-rate table</w:t>
      </w:r>
      <w:r>
        <w:t xml:space="preserve"> </w:t>
      </w:r>
      <w:r>
        <w:t xml:space="preserve">and one risk-stack diagram. Refer to both throughout instead of restating.</w:t>
      </w:r>
    </w:p>
    <w:p>
      <w:pPr>
        <w:numPr>
          <w:ilvl w:val="0"/>
          <w:numId w:val="1001"/>
        </w:numPr>
      </w:pPr>
      <w:r>
        <w:rPr>
          <w:b/>
          <w:bCs/>
        </w:rPr>
        <w:t xml:space="preserve">Add an evidence chapter</w:t>
      </w:r>
      <w:r>
        <w:t xml:space="preserve"> </w:t>
      </w:r>
      <w:r>
        <w:t xml:space="preserve">on auction programmes with a track record, or fold the evidence into Chapter 10 and make its title honest.</w:t>
      </w:r>
    </w:p>
    <w:p>
      <w:pPr>
        <w:numPr>
          <w:ilvl w:val="0"/>
          <w:numId w:val="1001"/>
        </w:numPr>
      </w:pPr>
      <w:r>
        <w:rPr>
          <w:b/>
          <w:bCs/>
        </w:rPr>
        <w:t xml:space="preserve">Consolidate the equity fund.</w:t>
      </w:r>
      <w:r>
        <w:t xml:space="preserve"> </w:t>
      </w:r>
      <w:r>
        <w:t xml:space="preserve">Open Part IV with a map of how Chapters 11, 12, 20, 21 and 22 relate. Move or absorb Chapter 18.</w:t>
      </w:r>
    </w:p>
    <w:p>
      <w:pPr>
        <w:numPr>
          <w:ilvl w:val="0"/>
          <w:numId w:val="1001"/>
        </w:numPr>
      </w:pPr>
      <w:r>
        <w:rPr>
          <w:b/>
          <w:bCs/>
        </w:rPr>
        <w:t xml:space="preserve">Retire the “no increase in liabilities” claim</w:t>
      </w:r>
      <w:r>
        <w:t xml:space="preserve"> </w:t>
      </w:r>
      <w:r>
        <w:t xml:space="preserve">and replace it with the conditional-liability argument, made explicitly.</w:t>
      </w:r>
    </w:p>
    <w:p>
      <w:pPr>
        <w:numPr>
          <w:ilvl w:val="0"/>
          <w:numId w:val="1001"/>
        </w:numPr>
      </w:pPr>
      <w:r>
        <w:rPr>
          <w:b/>
          <w:bCs/>
        </w:rPr>
        <w:t xml:space="preserve">Expand currency risk</w:t>
      </w:r>
      <w:r>
        <w:t xml:space="preserve"> </w:t>
      </w:r>
      <w:r>
        <w:t xml:space="preserve">into a proper section, engaging existing tools and stating plainly what the book’s structures do and do not do about it.</w:t>
      </w:r>
    </w:p>
    <w:p>
      <w:pPr>
        <w:numPr>
          <w:ilvl w:val="0"/>
          <w:numId w:val="1001"/>
        </w:numPr>
      </w:pPr>
      <w:r>
        <w:rPr>
          <w:b/>
          <w:bCs/>
        </w:rPr>
        <w:t xml:space="preserve">Rerun the central arithmetic at 2026 rates</w:t>
      </w:r>
      <w:r>
        <w:t xml:space="preserve"> </w:t>
      </w:r>
      <w:r>
        <w:t xml:space="preserve">and say why the argument survives.</w:t>
      </w:r>
    </w:p>
    <w:p>
      <w:pPr>
        <w:numPr>
          <w:ilvl w:val="0"/>
          <w:numId w:val="1001"/>
        </w:numPr>
      </w:pPr>
      <w:r>
        <w:rPr>
          <w:b/>
          <w:bCs/>
        </w:rPr>
        <w:t xml:space="preserve">Gloss the Bank acronyms</w:t>
      </w:r>
      <w:r>
        <w:t xml:space="preserve"> </w:t>
      </w:r>
      <w:r>
        <w:t xml:space="preserve">on first use and translate Chapter 19 out of memo register.</w:t>
      </w:r>
    </w:p>
    <w:p>
      <w:pPr>
        <w:numPr>
          <w:ilvl w:val="0"/>
          <w:numId w:val="1001"/>
        </w:numPr>
      </w:pPr>
      <w:r>
        <w:rPr>
          <w:b/>
          <w:bCs/>
        </w:rPr>
        <w:t xml:space="preserve">Merge Chapter 8 into Chapter 27</w:t>
      </w:r>
      <w:r>
        <w:t xml:space="preserve">, expand Chapter 14 or move it to open Part III, and either expand Chapter 17 or cut it.</w:t>
      </w:r>
    </w:p>
    <w:p>
      <w:r>
        <w:pict>
          <v:rect style="width:0;height:1.5pt" o:hralign="center" o:hrstd="t" o:hr="t"/>
        </w:pict>
      </w:r>
    </w:p>
    <w:bookmarkEnd w:id="27"/>
    <w:bookmarkStart w:id="28" w:name="minor"/>
    <w:p>
      <w:pPr>
        <w:pStyle w:val="Heading2"/>
      </w:pPr>
      <w:r>
        <w:t xml:space="preserve">Minor</w:t>
      </w:r>
    </w:p>
    <w:p>
      <w:pPr>
        <w:pStyle w:val="Compact"/>
        <w:numPr>
          <w:ilvl w:val="0"/>
          <w:numId w:val="1002"/>
        </w:numPr>
      </w:pPr>
      <w:r>
        <w:t xml:space="preserve">Chapter 15 shares its title with the book’s subtitle. Consider renaming the chapter.</w:t>
      </w:r>
    </w:p>
    <w:p>
      <w:pPr>
        <w:pStyle w:val="Compact"/>
        <w:numPr>
          <w:ilvl w:val="0"/>
          <w:numId w:val="1002"/>
        </w:numPr>
      </w:pPr>
      <w:r>
        <w:t xml:space="preserve">Chapter 15 still carries “</w:t>
      </w:r>
      <w:r>
        <w:rPr>
          <w:i/>
          <w:iCs/>
        </w:rPr>
        <w:t xml:space="preserve">Note: the remainder of this chapter is work in progress.</w:t>
      </w:r>
      <w:r>
        <w:t xml:space="preserve">” Remove before circulation.</w:t>
      </w:r>
    </w:p>
    <w:p>
      <w:pPr>
        <w:pStyle w:val="Compact"/>
        <w:numPr>
          <w:ilvl w:val="0"/>
          <w:numId w:val="1002"/>
        </w:numPr>
      </w:pPr>
      <w:r>
        <w:t xml:space="preserve">Chapter 22’s “post-2050 populations” as beneficiaries raises governance questions — who represents them, who controls the accounts in the interim, what prevents capture — that a reader will ask and the chapter does not answer.</w:t>
      </w:r>
    </w:p>
    <w:p>
      <w:pPr>
        <w:pStyle w:val="Compact"/>
        <w:numPr>
          <w:ilvl w:val="0"/>
          <w:numId w:val="1002"/>
        </w:numPr>
      </w:pPr>
      <w:r>
        <w:t xml:space="preserve">Chapter 25’s ten recommendations are a list from the literature, not the book’s own; either mark them as such more clearly or cut to the ones the book actually argues for.</w:t>
      </w:r>
    </w:p>
    <w:p>
      <w:pPr>
        <w:pStyle w:val="Compact"/>
        <w:numPr>
          <w:ilvl w:val="0"/>
          <w:numId w:val="1002"/>
        </w:numPr>
      </w:pPr>
      <w:r>
        <w:t xml:space="preserve">Adaptation is absent throughout. That is a legitimate scope choice but should be stated once, in the preface.</w:t>
      </w:r>
    </w:p>
    <w:p>
      <w:pPr>
        <w:pStyle w:val="Compact"/>
        <w:numPr>
          <w:ilvl w:val="0"/>
          <w:numId w:val="1002"/>
        </w:numPr>
      </w:pPr>
      <w:r>
        <w:t xml:space="preserve">The book cites Wright’s law, Olson, Schumpeter and Ramsey by name but has no bibliography of its own; the consolidated bibliography is in the working papers. It needs a short references section.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Peer_Review_Time_and_Chance</dc:title>
  <dc:creator/>
  <cp:keywords/>
  <dcterms:created xsi:type="dcterms:W3CDTF">2026-09-17T23:53:31Z</dcterms:created>
  <dcterms:modified xsi:type="dcterms:W3CDTF">2026-09-17T23:53:31Z</dcterms:modified>
</cp:coreProperties>
</file>

<file path=docProps/custom.xml><?xml version="1.0" encoding="utf-8"?>
<Properties xmlns="http://schemas.openxmlformats.org/officeDocument/2006/custom-properties" xmlns:vt="http://schemas.openxmlformats.org/officeDocument/2006/docPropsVTypes"/>
</file>