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The_Right_Policy_TOC</w:t>
      </w:r>
    </w:p>
    <w:bookmarkStart w:id="9" w:name="the-right-policy-at-the-wrong-time"/>
    <w:p>
      <w:pPr>
        <w:pStyle w:val="Heading1"/>
      </w:pPr>
      <w:r>
        <w:t xml:space="preserve">The Right Policy at the Wrong Time</w:t>
      </w:r>
    </w:p>
    <w:p>
      <w:pPr>
        <w:pStyle w:val="FirstParagraph"/>
      </w:pPr>
      <w:r>
        <w:rPr>
          <w:i/>
          <w:iCs/>
        </w:rPr>
        <w:t xml:space="preserve">Table of contents — final</w:t>
      </w:r>
    </w:p>
    <w:p>
      <w:pPr>
        <w:pStyle w:val="BodyText"/>
      </w:pPr>
      <w:r>
        <w:rPr>
          <w:b/>
          <w:bCs/>
        </w:rPr>
        <w:t xml:space="preserve">Preface</w:t>
      </w:r>
    </w:p>
    <w:p>
      <w:pPr>
        <w:pStyle w:val="BodyText"/>
      </w:pPr>
      <w:r>
        <w:rPr>
          <w:b/>
          <w:bCs/>
        </w:rPr>
        <w:t xml:space="preserve">A Note on Terms</w:t>
      </w:r>
    </w:p>
    <w:p>
      <w:pPr>
        <w:pStyle w:val="BodyText"/>
      </w:pPr>
      <w:r>
        <w:rPr>
          <w:b/>
          <w:bCs/>
        </w:rPr>
        <w:t xml:space="preserve">Part I — Pricing Without the Politics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Why Feebates Beat Carbon Taxes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What a Feebate Is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The Energy Price Crisis and the Case for Feebates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w:r>
        <w:t xml:space="preserve">Scarcity Rent: Prices, Taxes, and Rationing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6"/>
        </w:numPr>
      </w:pPr>
      <w:r>
        <w:t xml:space="preserve">Pricing Across Borders</w:t>
      </w:r>
    </w:p>
    <w:p>
      <w:pPr>
        <w:pStyle w:val="FirstParagraph"/>
      </w:pPr>
      <w:r>
        <w:rPr>
          <w:b/>
          <w:bCs/>
        </w:rPr>
        <w:t xml:space="preserve">Part II — What Carbon Should Cost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08"/>
        </w:numPr>
      </w:pPr>
      <w:r>
        <w:t xml:space="preserve">The Price Set by a Technology Competition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09"/>
        </w:numPr>
      </w:pPr>
      <w:r>
        <w:t xml:space="preserve">Carbon Markets Under Net Zero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10"/>
        </w:numPr>
      </w:pPr>
      <w:r>
        <w:t xml:space="preserve">Positive Framing</w:t>
      </w:r>
    </w:p>
    <w:p>
      <w:pPr>
        <w:pStyle w:val="FirstParagraph"/>
      </w:pPr>
      <w:r>
        <w:rPr>
          <w:b/>
          <w:bCs/>
        </w:rPr>
        <w:t xml:space="preserve">Part III — Transitioning Pricing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2"/>
        </w:numPr>
      </w:pPr>
      <w:r>
        <w:t xml:space="preserve">Innovation in Waves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3"/>
        </w:numPr>
      </w:pPr>
      <w:r>
        <w:t xml:space="preserve">Three Phases of Collective Action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4"/>
        </w:numPr>
      </w:pPr>
      <w:r>
        <w:t xml:space="preserve">The Sequence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5"/>
        </w:numPr>
      </w:pPr>
      <w:r>
        <w:t xml:space="preserve">Dynamic Incentives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6"/>
        </w:numPr>
      </w:pPr>
      <w:r>
        <w:t xml:space="preserve">The Order of Things</w:t>
      </w:r>
    </w:p>
    <w:p>
      <w:pPr>
        <w:pStyle w:val="FirstParagraph"/>
      </w:pPr>
      <w:r>
        <w:rPr>
          <w:b/>
          <w:bCs/>
        </w:rPr>
        <w:t xml:space="preserve">References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1"/>
  </w:num>
  <w:num w:numId="101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The_Right_Policy_TOC</dc:title>
  <dc:creator/>
  <cp:keywords/>
  <dcterms:created xsi:type="dcterms:W3CDTF">2026-09-17T23:53:32Z</dcterms:created>
  <dcterms:modified xsi:type="dcterms:W3CDTF">2026-09-17T23:53:32Z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