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Stephen Stretton</w:t>
      </w:r>
    </w:p>
    <w:p>
      <w:pPr>
        <w:spacing w:after="200"/>
      </w:pPr>
      <w:r>
        <w:rPr>
          <w:rFonts w:ascii="Calibri" w:cs="Calibri" w:eastAsia="Calibri" w:hAnsi="Calibri"/>
          <w:b/>
          <w:bCs/>
          <w:caps/>
          <w:color w:val="2E6B57"/>
          <w:sz w:val="22"/>
          <w:szCs w:val="22"/>
        </w:rPr>
        <w:t xml:space="preserve">Working papers (unpublished)</w:t>
      </w:r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‘Open Economy Carbon Pricing.’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gvh2ubfzpfg8peeg5anxb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https://climatefiscalfinance.org/papers/OpenEconomyCarbonPricing.docx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‘Feebates and Output-Based Rebating.’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uguj75vvospyeyo4fxjhg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https://climatefiscalfinance.org/papers/FeebatesAndOutputBasedRebating.docx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‘Iron, Steel, CBAM and the Limits of Point-Source Carbon Pricing.’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qjz1tt1c3lydiyjotdbo_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https://climatefiscalfinance.org/papers/IronSteelCBAM.docx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‘Climate Finance Intermediation for Clean Power.’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s300ko8uccwdpu_mw2eol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https://climatefiscalfinance.org/papers/ClimateFinanceIntermediationForCleanPower.docx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‘The Climate Investment Trust: Equity funds as climate and sovereign lending collateral.’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eviu2i7vy5bpqmygfbm52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https://climatefiscalfinance.org/papers/ClimateInvestmentTrust.docx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‘Sustainability-Linked Lending and Related Structures at the World Bank.’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z4zy3-9y3kg3tsagc0uld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https://climatefiscalfinance.org/papers/SustainabilityLinkedLending.docx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‘Policy-Equivalent Carbon Price and CES Energy Consumption.’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rzfuhmgzawqux0fxgkhia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https://climatefiscalfinance.org/papers/PolicyEquivalentCarbonPriceAndCES.docx</w:t>
        </w:r>
      </w:hyperlink>
    </w:p>
    <w:p>
      <w:pPr>
        <w:spacing w:after="140"/>
        <w:ind w:left="360" w:hanging="360"/>
      </w:pPr>
      <w:r>
        <w:rPr>
          <w:rFonts w:ascii="Calibri" w:cs="Calibri" w:eastAsia="Calibri" w:hAnsi="Calibri"/>
          <w:sz w:val="21"/>
          <w:szCs w:val="21"/>
        </w:rPr>
        <w:t xml:space="preserve">Stretton, S.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‘Automated Excise-Fiscal Reports: Instruments, externalities and policy pathways.’ </w:t>
      </w:r>
      <w:r>
        <w:rPr>
          <w:rFonts w:ascii="Calibri" w:cs="Calibri" w:eastAsia="Calibri" w:hAnsi="Calibri"/>
          <w:sz w:val="21"/>
          <w:szCs w:val="21"/>
        </w:rPr>
        <w:t xml:space="preserve">Working paper. </w:t>
      </w:r>
      <w:hyperlink w:history="1" r:id="rIdphga7srprzvq5nnizl2h6">
        <w:r>
          <w:rPr>
            <w:rFonts w:ascii="Calibri" w:cs="Calibri" w:eastAsia="Calibri" w:hAnsi="Calibri"/>
            <w:color w:val="1F5673"/>
            <w:sz w:val="20"/>
            <w:szCs w:val="20"/>
            <w:u w:val="single"/>
          </w:rPr>
          <w:t xml:space="preserve">https://climatefiscalfinance.org/papers/ExciseFiscalDiagnostic.docx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vh2ubfzpfg8peeg5anxb" Type="http://schemas.openxmlformats.org/officeDocument/2006/relationships/hyperlink" Target="https://climatefiscalfinance.org/papers/OpenEconomyCarbonPricing.docx" TargetMode="External"/><Relationship Id="rIduguj75vvospyeyo4fxjhg" Type="http://schemas.openxmlformats.org/officeDocument/2006/relationships/hyperlink" Target="https://climatefiscalfinance.org/papers/FeebatesAndOutputBasedRebating.docx" TargetMode="External"/><Relationship Id="rIdqjz1tt1c3lydiyjotdbo_" Type="http://schemas.openxmlformats.org/officeDocument/2006/relationships/hyperlink" Target="https://climatefiscalfinance.org/papers/IronSteelCBAM.docx" TargetMode="External"/><Relationship Id="rIds300ko8uccwdpu_mw2eol" Type="http://schemas.openxmlformats.org/officeDocument/2006/relationships/hyperlink" Target="https://climatefiscalfinance.org/papers/ClimateFinanceIntermediationForCleanPower.docx" TargetMode="External"/><Relationship Id="rIdeviu2i7vy5bpqmygfbm52" Type="http://schemas.openxmlformats.org/officeDocument/2006/relationships/hyperlink" Target="https://climatefiscalfinance.org/papers/ClimateInvestmentTrust.docx" TargetMode="External"/><Relationship Id="rIdz4zy3-9y3kg3tsagc0uld" Type="http://schemas.openxmlformats.org/officeDocument/2006/relationships/hyperlink" Target="https://climatefiscalfinance.org/papers/SustainabilityLinkedLending.docx" TargetMode="External"/><Relationship Id="rIdrzfuhmgzawqux0fxgkhia" Type="http://schemas.openxmlformats.org/officeDocument/2006/relationships/hyperlink" Target="https://climatefiscalfinance.org/papers/PolicyEquivalentCarbonPriceAndCES.docx" TargetMode="External"/><Relationship Id="rIdphga7srprzvq5nnizl2h6" Type="http://schemas.openxmlformats.org/officeDocument/2006/relationships/hyperlink" Target="https://climatefiscalfinance.org/papers/ExciseFiscalDiagnostic.docx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2026-09-17T22:51:35.452Z</dcterms:created>
  <dcterms:modified xsi:type="dcterms:W3CDTF">2026-09-17T22:51:35.461Z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