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Mobilising</w:t>
      </w:r>
      <w:r>
        <w:t xml:space="preserve"> </w:t>
      </w:r>
      <w:r>
        <w:t xml:space="preserve">Private</w:t>
      </w:r>
      <w:r>
        <w:t xml:space="preserve"> </w:t>
      </w:r>
      <w:r>
        <w:t xml:space="preserve">Capital</w:t>
      </w:r>
      <w:r>
        <w:t xml:space="preserve"> </w:t>
      </w:r>
      <w:r>
        <w:t xml:space="preserve">for</w:t>
      </w:r>
      <w:r>
        <w:t xml:space="preserve"> </w:t>
      </w:r>
      <w:r>
        <w:t xml:space="preserve">Clean</w:t>
      </w:r>
      <w:r>
        <w:t xml:space="preserve"> </w:t>
      </w:r>
      <w:r>
        <w:t xml:space="preserve">Power</w:t>
      </w:r>
    </w:p>
    <w:p>
      <w:pPr>
        <w:pStyle w:val="Subtitle"/>
      </w:pPr>
      <w:r>
        <w:t xml:space="preserve">An</w:t>
      </w:r>
      <w:r>
        <w:t xml:space="preserve"> </w:t>
      </w:r>
      <w:r>
        <w:t xml:space="preserve">overview</w:t>
      </w:r>
      <w:r>
        <w:t xml:space="preserve"> </w:t>
      </w:r>
      <w:r>
        <w:t xml:space="preserve">of</w:t>
      </w:r>
      <w:r>
        <w:t xml:space="preserve"> </w:t>
      </w:r>
      <w:r>
        <w:t xml:space="preserve">the</w:t>
      </w:r>
      <w:r>
        <w:t xml:space="preserve"> </w:t>
      </w:r>
      <w:r>
        <w:t xml:space="preserve">risk</w:t>
      </w:r>
      <w:r>
        <w:t xml:space="preserve"> </w:t>
      </w:r>
      <w:r>
        <w:t xml:space="preserve">mechanisms,</w:t>
      </w:r>
      <w:r>
        <w:t xml:space="preserve"> </w:t>
      </w:r>
      <w:r>
        <w:t xml:space="preserve">and</w:t>
      </w:r>
      <w:r>
        <w:t xml:space="preserve"> </w:t>
      </w:r>
      <w:r>
        <w:t xml:space="preserve">how</w:t>
      </w:r>
      <w:r>
        <w:t xml:space="preserve"> </w:t>
      </w:r>
      <w:r>
        <w:t xml:space="preserve">they</w:t>
      </w:r>
      <w:r>
        <w:t xml:space="preserve"> </w:t>
      </w:r>
      <w:r>
        <w:t xml:space="preserve">fit</w:t>
      </w:r>
      <w:r>
        <w:t xml:space="preserve"> </w:t>
      </w:r>
      <w:r>
        <w:t xml:space="preserve">together</w:t>
      </w:r>
    </w:p>
    <w:p>
      <w:pPr>
        <w:pStyle w:val="Author"/>
      </w:pPr>
      <w:r>
        <w:t xml:space="preserve">Stephen</w:t>
      </w:r>
      <w:r>
        <w:t xml:space="preserve"> </w:t>
      </w:r>
      <w:r>
        <w:t xml:space="preserve">J.</w:t>
      </w:r>
      <w:r>
        <w:t xml:space="preserve"> </w:t>
      </w:r>
      <w:r>
        <w:t xml:space="preserve">Stretton</w:t>
      </w:r>
    </w:p>
    <w:p>
      <w:pPr>
        <w:pStyle w:val="AbstractTitle"/>
      </w:pPr>
      <w:r>
        <w:t xml:space="preserve">Abstract</w:t>
      </w:r>
    </w:p>
    <w:p>
      <w:pPr>
        <w:pStyle w:val="Abstract"/>
      </w:pPr>
      <w:r>
        <w:t xml:space="preserve">Clean</w:t>
      </w:r>
      <w:r>
        <w:t xml:space="preserve"> </w:t>
      </w:r>
      <w:r>
        <w:t xml:space="preserve">generation</w:t>
      </w:r>
      <w:r>
        <w:t xml:space="preserve"> </w:t>
      </w:r>
      <w:r>
        <w:t xml:space="preserve">is</w:t>
      </w:r>
      <w:r>
        <w:t xml:space="preserve"> </w:t>
      </w:r>
      <w:r>
        <w:t xml:space="preserve">cost-competitive</w:t>
      </w:r>
      <w:r>
        <w:t xml:space="preserve"> </w:t>
      </w:r>
      <w:r>
        <w:t xml:space="preserve">with</w:t>
      </w:r>
      <w:r>
        <w:t xml:space="preserve"> </w:t>
      </w:r>
      <w:r>
        <w:t xml:space="preserve">fossil</w:t>
      </w:r>
      <w:r>
        <w:t xml:space="preserve"> </w:t>
      </w:r>
      <w:r>
        <w:t xml:space="preserve">generation</w:t>
      </w:r>
      <w:r>
        <w:t xml:space="preserve"> </w:t>
      </w:r>
      <w:r>
        <w:t xml:space="preserve">across</w:t>
      </w:r>
      <w:r>
        <w:t xml:space="preserve"> </w:t>
      </w:r>
      <w:r>
        <w:t xml:space="preserve">much</w:t>
      </w:r>
      <w:r>
        <w:t xml:space="preserve"> </w:t>
      </w:r>
      <w:r>
        <w:t xml:space="preserve">of</w:t>
      </w:r>
      <w:r>
        <w:t xml:space="preserve"> </w:t>
      </w:r>
      <w:r>
        <w:t xml:space="preserve">the</w:t>
      </w:r>
      <w:r>
        <w:t xml:space="preserve"> </w:t>
      </w:r>
      <w:r>
        <w:t xml:space="preserve">developing</w:t>
      </w:r>
      <w:r>
        <w:t xml:space="preserve"> </w:t>
      </w:r>
      <w:r>
        <w:t xml:space="preserve">world</w:t>
      </w:r>
      <w:r>
        <w:t xml:space="preserve"> </w:t>
      </w:r>
      <w:r>
        <w:t xml:space="preserve">and</w:t>
      </w:r>
      <w:r>
        <w:t xml:space="preserve"> </w:t>
      </w:r>
      <w:r>
        <w:t xml:space="preserve">deploys</w:t>
      </w:r>
      <w:r>
        <w:t xml:space="preserve"> </w:t>
      </w:r>
      <w:r>
        <w:t xml:space="preserve">too</w:t>
      </w:r>
      <w:r>
        <w:t xml:space="preserve"> </w:t>
      </w:r>
      <w:r>
        <w:t xml:space="preserve">slowly.</w:t>
      </w:r>
      <w:r>
        <w:t xml:space="preserve"> </w:t>
      </w:r>
      <w:r>
        <w:t xml:space="preserve">The</w:t>
      </w:r>
      <w:r>
        <w:t xml:space="preserve"> </w:t>
      </w:r>
      <w:r>
        <w:t xml:space="preserve">reason</w:t>
      </w:r>
      <w:r>
        <w:t xml:space="preserve"> </w:t>
      </w:r>
      <w:r>
        <w:t xml:space="preserve">is</w:t>
      </w:r>
      <w:r>
        <w:t xml:space="preserve"> </w:t>
      </w:r>
      <w:r>
        <w:t xml:space="preserve">the</w:t>
      </w:r>
      <w:r>
        <w:t xml:space="preserve"> </w:t>
      </w:r>
      <w:r>
        <w:t xml:space="preserve">cost</w:t>
      </w:r>
      <w:r>
        <w:t xml:space="preserve"> </w:t>
      </w:r>
      <w:r>
        <w:t xml:space="preserve">of</w:t>
      </w:r>
      <w:r>
        <w:t xml:space="preserve"> </w:t>
      </w:r>
      <w:r>
        <w:t xml:space="preserve">capital,</w:t>
      </w:r>
      <w:r>
        <w:t xml:space="preserve"> </w:t>
      </w:r>
      <w:r>
        <w:t xml:space="preserve">and</w:t>
      </w:r>
      <w:r>
        <w:t xml:space="preserve"> </w:t>
      </w:r>
      <w:r>
        <w:t xml:space="preserve">the</w:t>
      </w:r>
      <w:r>
        <w:t xml:space="preserve"> </w:t>
      </w:r>
      <w:r>
        <w:t xml:space="preserve">cost</w:t>
      </w:r>
      <w:r>
        <w:t xml:space="preserve"> </w:t>
      </w:r>
      <w:r>
        <w:t xml:space="preserve">of</w:t>
      </w:r>
      <w:r>
        <w:t xml:space="preserve"> </w:t>
      </w:r>
      <w:r>
        <w:t xml:space="preserve">capital</w:t>
      </w:r>
      <w:r>
        <w:t xml:space="preserve"> </w:t>
      </w:r>
      <w:r>
        <w:t xml:space="preserve">is</w:t>
      </w:r>
      <w:r>
        <w:t xml:space="preserve"> </w:t>
      </w:r>
      <w:r>
        <w:t xml:space="preserve">not</w:t>
      </w:r>
      <w:r>
        <w:t xml:space="preserve"> </w:t>
      </w:r>
      <w:r>
        <w:t xml:space="preserve">a</w:t>
      </w:r>
      <w:r>
        <w:t xml:space="preserve"> </w:t>
      </w:r>
      <w:r>
        <w:t xml:space="preserve">single</w:t>
      </w:r>
      <w:r>
        <w:t xml:space="preserve"> </w:t>
      </w:r>
      <w:r>
        <w:t xml:space="preserve">problem.</w:t>
      </w:r>
      <w:r>
        <w:t xml:space="preserve"> </w:t>
      </w:r>
      <w:r>
        <w:t xml:space="preserve">It</w:t>
      </w:r>
      <w:r>
        <w:t xml:space="preserve"> </w:t>
      </w:r>
      <w:r>
        <w:t xml:space="preserve">is</w:t>
      </w:r>
      <w:r>
        <w:t xml:space="preserve"> </w:t>
      </w:r>
      <w:r>
        <w:t xml:space="preserve">the</w:t>
      </w:r>
      <w:r>
        <w:t xml:space="preserve"> </w:t>
      </w:r>
      <w:r>
        <w:t xml:space="preserve">sum</w:t>
      </w:r>
      <w:r>
        <w:t xml:space="preserve"> </w:t>
      </w:r>
      <w:r>
        <w:t xml:space="preserve">of</w:t>
      </w:r>
      <w:r>
        <w:t xml:space="preserve"> </w:t>
      </w:r>
      <w:r>
        <w:t xml:space="preserve">five</w:t>
      </w:r>
      <w:r>
        <w:t xml:space="preserve"> </w:t>
      </w:r>
      <w:r>
        <w:t xml:space="preserve">distinct</w:t>
      </w:r>
      <w:r>
        <w:t xml:space="preserve"> </w:t>
      </w:r>
      <w:r>
        <w:t xml:space="preserve">risks,</w:t>
      </w:r>
      <w:r>
        <w:t xml:space="preserve"> </w:t>
      </w:r>
      <w:r>
        <w:t xml:space="preserve">each</w:t>
      </w:r>
      <w:r>
        <w:t xml:space="preserve"> </w:t>
      </w:r>
      <w:r>
        <w:t xml:space="preserve">of</w:t>
      </w:r>
      <w:r>
        <w:t xml:space="preserve"> </w:t>
      </w:r>
      <w:r>
        <w:t xml:space="preserve">which</w:t>
      </w:r>
      <w:r>
        <w:t xml:space="preserve"> </w:t>
      </w:r>
      <w:r>
        <w:t xml:space="preserve">has</w:t>
      </w:r>
      <w:r>
        <w:t xml:space="preserve"> </w:t>
      </w:r>
      <w:r>
        <w:t xml:space="preserve">a</w:t>
      </w:r>
      <w:r>
        <w:t xml:space="preserve"> </w:t>
      </w:r>
      <w:r>
        <w:t xml:space="preserve">different</w:t>
      </w:r>
      <w:r>
        <w:t xml:space="preserve"> </w:t>
      </w:r>
      <w:r>
        <w:t xml:space="preserve">owner,</w:t>
      </w:r>
      <w:r>
        <w:t xml:space="preserve"> </w:t>
      </w:r>
      <w:r>
        <w:t xml:space="preserve">a</w:t>
      </w:r>
      <w:r>
        <w:t xml:space="preserve"> </w:t>
      </w:r>
      <w:r>
        <w:t xml:space="preserve">different</w:t>
      </w:r>
      <w:r>
        <w:t xml:space="preserve"> </w:t>
      </w:r>
      <w:r>
        <w:t xml:space="preserve">remedy,</w:t>
      </w:r>
      <w:r>
        <w:t xml:space="preserve"> </w:t>
      </w:r>
      <w:r>
        <w:t xml:space="preserve">and</w:t>
      </w:r>
      <w:r>
        <w:t xml:space="preserve"> </w:t>
      </w:r>
      <w:r>
        <w:t xml:space="preserve">a</w:t>
      </w:r>
      <w:r>
        <w:t xml:space="preserve"> </w:t>
      </w:r>
      <w:r>
        <w:t xml:space="preserve">different</w:t>
      </w:r>
      <w:r>
        <w:t xml:space="preserve"> </w:t>
      </w:r>
      <w:r>
        <w:t xml:space="preserve">institution</w:t>
      </w:r>
      <w:r>
        <w:t xml:space="preserve"> </w:t>
      </w:r>
      <w:r>
        <w:t xml:space="preserve">capable</w:t>
      </w:r>
      <w:r>
        <w:t xml:space="preserve"> </w:t>
      </w:r>
      <w:r>
        <w:t xml:space="preserve">of</w:t>
      </w:r>
      <w:r>
        <w:t xml:space="preserve"> </w:t>
      </w:r>
      <w:r>
        <w:t xml:space="preserve">carrying</w:t>
      </w:r>
      <w:r>
        <w:t xml:space="preserve"> </w:t>
      </w:r>
      <w:r>
        <w:t xml:space="preserve">it:</w:t>
      </w:r>
      <w:r>
        <w:t xml:space="preserve"> </w:t>
      </w:r>
      <w:r>
        <w:t xml:space="preserve">the</w:t>
      </w:r>
      <w:r>
        <w:t xml:space="preserve"> </w:t>
      </w:r>
      <w:r>
        <w:t xml:space="preserve">risk</w:t>
      </w:r>
      <w:r>
        <w:t xml:space="preserve"> </w:t>
      </w:r>
      <w:r>
        <w:t xml:space="preserve">that</w:t>
      </w:r>
      <w:r>
        <w:t xml:space="preserve"> </w:t>
      </w:r>
      <w:r>
        <w:t xml:space="preserve">the</w:t>
      </w:r>
      <w:r>
        <w:t xml:space="preserve"> </w:t>
      </w:r>
      <w:r>
        <w:t xml:space="preserve">buyer</w:t>
      </w:r>
      <w:r>
        <w:t xml:space="preserve"> </w:t>
      </w:r>
      <w:r>
        <w:t xml:space="preserve">of</w:t>
      </w:r>
      <w:r>
        <w:t xml:space="preserve"> </w:t>
      </w:r>
      <w:r>
        <w:t xml:space="preserve">the</w:t>
      </w:r>
      <w:r>
        <w:t xml:space="preserve"> </w:t>
      </w:r>
      <w:r>
        <w:t xml:space="preserve">power</w:t>
      </w:r>
      <w:r>
        <w:t xml:space="preserve"> </w:t>
      </w:r>
      <w:r>
        <w:t xml:space="preserve">does</w:t>
      </w:r>
      <w:r>
        <w:t xml:space="preserve"> </w:t>
      </w:r>
      <w:r>
        <w:t xml:space="preserve">not</w:t>
      </w:r>
      <w:r>
        <w:t xml:space="preserve"> </w:t>
      </w:r>
      <w:r>
        <w:t xml:space="preserve">pay;</w:t>
      </w:r>
      <w:r>
        <w:t xml:space="preserve"> </w:t>
      </w:r>
      <w:r>
        <w:t xml:space="preserve">the</w:t>
      </w:r>
      <w:r>
        <w:t xml:space="preserve"> </w:t>
      </w:r>
      <w:r>
        <w:t xml:space="preserve">risk</w:t>
      </w:r>
      <w:r>
        <w:t xml:space="preserve"> </w:t>
      </w:r>
      <w:r>
        <w:t xml:space="preserve">that</w:t>
      </w:r>
      <w:r>
        <w:t xml:space="preserve"> </w:t>
      </w:r>
      <w:r>
        <w:t xml:space="preserve">the</w:t>
      </w:r>
      <w:r>
        <w:t xml:space="preserve"> </w:t>
      </w:r>
      <w:r>
        <w:t xml:space="preserve">plant</w:t>
      </w:r>
      <w:r>
        <w:t xml:space="preserve"> </w:t>
      </w:r>
      <w:r>
        <w:t xml:space="preserve">is</w:t>
      </w:r>
      <w:r>
        <w:t xml:space="preserve"> </w:t>
      </w:r>
      <w:r>
        <w:t xml:space="preserve">not</w:t>
      </w:r>
      <w:r>
        <w:t xml:space="preserve"> </w:t>
      </w:r>
      <w:r>
        <w:t xml:space="preserve">completed;</w:t>
      </w:r>
      <w:r>
        <w:t xml:space="preserve"> </w:t>
      </w:r>
      <w:r>
        <w:t xml:space="preserve">the</w:t>
      </w:r>
      <w:r>
        <w:t xml:space="preserve"> </w:t>
      </w:r>
      <w:r>
        <w:t xml:space="preserve">risk</w:t>
      </w:r>
      <w:r>
        <w:t xml:space="preserve"> </w:t>
      </w:r>
      <w:r>
        <w:t xml:space="preserve">that</w:t>
      </w:r>
      <w:r>
        <w:t xml:space="preserve"> </w:t>
      </w:r>
      <w:r>
        <w:t xml:space="preserve">the</w:t>
      </w:r>
      <w:r>
        <w:t xml:space="preserve"> </w:t>
      </w:r>
      <w:r>
        <w:t xml:space="preserve">currency</w:t>
      </w:r>
      <w:r>
        <w:t xml:space="preserve"> </w:t>
      </w:r>
      <w:r>
        <w:t xml:space="preserve">moves</w:t>
      </w:r>
      <w:r>
        <w:t xml:space="preserve"> </w:t>
      </w:r>
      <w:r>
        <w:t xml:space="preserve">against</w:t>
      </w:r>
      <w:r>
        <w:t xml:space="preserve"> </w:t>
      </w:r>
      <w:r>
        <w:t xml:space="preserve">the</w:t>
      </w:r>
      <w:r>
        <w:t xml:space="preserve"> </w:t>
      </w:r>
      <w:r>
        <w:t xml:space="preserve">contract;</w:t>
      </w:r>
      <w:r>
        <w:t xml:space="preserve"> </w:t>
      </w:r>
      <w:r>
        <w:t xml:space="preserve">the</w:t>
      </w:r>
      <w:r>
        <w:t xml:space="preserve"> </w:t>
      </w:r>
      <w:r>
        <w:t xml:space="preserve">risk</w:t>
      </w:r>
      <w:r>
        <w:t xml:space="preserve"> </w:t>
      </w:r>
      <w:r>
        <w:t xml:space="preserve">that</w:t>
      </w:r>
      <w:r>
        <w:t xml:space="preserve"> </w:t>
      </w:r>
      <w:r>
        <w:t xml:space="preserve">policy</w:t>
      </w:r>
      <w:r>
        <w:t xml:space="preserve"> </w:t>
      </w:r>
      <w:r>
        <w:t xml:space="preserve">changes;</w:t>
      </w:r>
      <w:r>
        <w:t xml:space="preserve"> </w:t>
      </w:r>
      <w:r>
        <w:t xml:space="preserve">and</w:t>
      </w:r>
      <w:r>
        <w:t xml:space="preserve"> </w:t>
      </w:r>
      <w:r>
        <w:t xml:space="preserve">the</w:t>
      </w:r>
      <w:r>
        <w:t xml:space="preserve"> </w:t>
      </w:r>
      <w:r>
        <w:t xml:space="preserve">plain</w:t>
      </w:r>
      <w:r>
        <w:t xml:space="preserve"> </w:t>
      </w:r>
      <w:r>
        <w:t xml:space="preserve">scarcity</w:t>
      </w:r>
      <w:r>
        <w:t xml:space="preserve"> </w:t>
      </w:r>
      <w:r>
        <w:t xml:space="preserve">of</w:t>
      </w:r>
      <w:r>
        <w:t xml:space="preserve"> </w:t>
      </w:r>
      <w:r>
        <w:t xml:space="preserve">equity</w:t>
      </w:r>
      <w:r>
        <w:t xml:space="preserve"> </w:t>
      </w:r>
      <w:r>
        <w:t xml:space="preserve">against</w:t>
      </w:r>
      <w:r>
        <w:t xml:space="preserve"> </w:t>
      </w:r>
      <w:r>
        <w:t xml:space="preserve">which</w:t>
      </w:r>
      <w:r>
        <w:t xml:space="preserve"> </w:t>
      </w:r>
      <w:r>
        <w:t xml:space="preserve">anything</w:t>
      </w:r>
      <w:r>
        <w:t xml:space="preserve"> </w:t>
      </w:r>
      <w:r>
        <w:t xml:space="preserve">can</w:t>
      </w:r>
      <w:r>
        <w:t xml:space="preserve"> </w:t>
      </w:r>
      <w:r>
        <w:t xml:space="preserve">be</w:t>
      </w:r>
      <w:r>
        <w:t xml:space="preserve"> </w:t>
      </w:r>
      <w:r>
        <w:t xml:space="preserve">leveraged.</w:t>
      </w:r>
      <w:r>
        <w:t xml:space="preserve"> </w:t>
      </w:r>
      <w:r>
        <w:t xml:space="preserve">This</w:t>
      </w:r>
      <w:r>
        <w:t xml:space="preserve"> </w:t>
      </w:r>
      <w:r>
        <w:t xml:space="preserve">paper</w:t>
      </w:r>
      <w:r>
        <w:t xml:space="preserve"> </w:t>
      </w:r>
      <w:r>
        <w:t xml:space="preserve">sets</w:t>
      </w:r>
      <w:r>
        <w:t xml:space="preserve"> </w:t>
      </w:r>
      <w:r>
        <w:t xml:space="preserve">out</w:t>
      </w:r>
      <w:r>
        <w:t xml:space="preserve"> </w:t>
      </w:r>
      <w:r>
        <w:t xml:space="preserve">that</w:t>
      </w:r>
      <w:r>
        <w:t xml:space="preserve"> </w:t>
      </w:r>
      <w:r>
        <w:t xml:space="preserve">taxonomy</w:t>
      </w:r>
      <w:r>
        <w:t xml:space="preserve"> </w:t>
      </w:r>
      <w:r>
        <w:t xml:space="preserve">and</w:t>
      </w:r>
      <w:r>
        <w:t xml:space="preserve"> </w:t>
      </w:r>
      <w:r>
        <w:t xml:space="preserve">maps</w:t>
      </w:r>
      <w:r>
        <w:t xml:space="preserve"> </w:t>
      </w:r>
      <w:r>
        <w:t xml:space="preserve">the</w:t>
      </w:r>
      <w:r>
        <w:t xml:space="preserve"> </w:t>
      </w:r>
      <w:r>
        <w:t xml:space="preserve">mechanisms</w:t>
      </w:r>
      <w:r>
        <w:t xml:space="preserve"> </w:t>
      </w:r>
      <w:r>
        <w:t xml:space="preserve">proposed</w:t>
      </w:r>
      <w:r>
        <w:t xml:space="preserve"> </w:t>
      </w:r>
      <w:r>
        <w:t xml:space="preserve">in</w:t>
      </w:r>
      <w:r>
        <w:t xml:space="preserve"> </w:t>
      </w:r>
      <w:r>
        <w:t xml:space="preserve">the</w:t>
      </w:r>
      <w:r>
        <w:t xml:space="preserve"> </w:t>
      </w:r>
      <w:r>
        <w:t xml:space="preserve">accompanying</w:t>
      </w:r>
      <w:r>
        <w:t xml:space="preserve"> </w:t>
      </w:r>
      <w:r>
        <w:t xml:space="preserve">papers</w:t>
      </w:r>
      <w:r>
        <w:t xml:space="preserve"> </w:t>
      </w:r>
      <w:r>
        <w:t xml:space="preserve">onto</w:t>
      </w:r>
      <w:r>
        <w:t xml:space="preserve"> </w:t>
      </w:r>
      <w:r>
        <w:t xml:space="preserve">it.</w:t>
      </w:r>
      <w:r>
        <w:t xml:space="preserve"> </w:t>
      </w:r>
      <w:r>
        <w:t xml:space="preserve">Payment</w:t>
      </w:r>
      <w:r>
        <w:t xml:space="preserve"> </w:t>
      </w:r>
      <w:r>
        <w:t xml:space="preserve">intermediation</w:t>
      </w:r>
      <w:r>
        <w:t xml:space="preserve"> </w:t>
      </w:r>
      <w:r>
        <w:t xml:space="preserve">removes</w:t>
      </w:r>
      <w:r>
        <w:t xml:space="preserve"> </w:t>
      </w:r>
      <w:r>
        <w:t xml:space="preserve">counterparty</w:t>
      </w:r>
      <w:r>
        <w:t xml:space="preserve"> </w:t>
      </w:r>
      <w:r>
        <w:t xml:space="preserve">risk</w:t>
      </w:r>
      <w:r>
        <w:t xml:space="preserve"> </w:t>
      </w:r>
      <w:r>
        <w:t xml:space="preserve">at</w:t>
      </w:r>
      <w:r>
        <w:t xml:space="preserve"> </w:t>
      </w:r>
      <w:r>
        <w:t xml:space="preserve">its</w:t>
      </w:r>
      <w:r>
        <w:t xml:space="preserve"> </w:t>
      </w:r>
      <w:r>
        <w:t xml:space="preserve">source.</w:t>
      </w:r>
      <w:r>
        <w:t xml:space="preserve"> </w:t>
      </w:r>
      <w:r>
        <w:t xml:space="preserve">Two-stage</w:t>
      </w:r>
      <w:r>
        <w:t xml:space="preserve"> </w:t>
      </w:r>
      <w:r>
        <w:t xml:space="preserve">finance</w:t>
      </w:r>
      <w:r>
        <w:t xml:space="preserve"> </w:t>
      </w:r>
      <w:r>
        <w:t xml:space="preserve">splits</w:t>
      </w:r>
      <w:r>
        <w:t xml:space="preserve"> </w:t>
      </w:r>
      <w:r>
        <w:t xml:space="preserve">construction</w:t>
      </w:r>
      <w:r>
        <w:t xml:space="preserve"> </w:t>
      </w:r>
      <w:r>
        <w:t xml:space="preserve">risk</w:t>
      </w:r>
      <w:r>
        <w:t xml:space="preserve"> </w:t>
      </w:r>
      <w:r>
        <w:t xml:space="preserve">from</w:t>
      </w:r>
      <w:r>
        <w:t xml:space="preserve"> </w:t>
      </w:r>
      <w:r>
        <w:t xml:space="preserve">operating</w:t>
      </w:r>
      <w:r>
        <w:t xml:space="preserve"> </w:t>
      </w:r>
      <w:r>
        <w:t xml:space="preserve">risk</w:t>
      </w:r>
      <w:r>
        <w:t xml:space="preserve"> </w:t>
      </w:r>
      <w:r>
        <w:t xml:space="preserve">and</w:t>
      </w:r>
      <w:r>
        <w:t xml:space="preserve"> </w:t>
      </w:r>
      <w:r>
        <w:t xml:space="preserve">gives</w:t>
      </w:r>
      <w:r>
        <w:t xml:space="preserve"> </w:t>
      </w:r>
      <w:r>
        <w:t xml:space="preserve">each</w:t>
      </w:r>
      <w:r>
        <w:t xml:space="preserve"> </w:t>
      </w:r>
      <w:r>
        <w:t xml:space="preserve">to</w:t>
      </w:r>
      <w:r>
        <w:t xml:space="preserve"> </w:t>
      </w:r>
      <w:r>
        <w:t xml:space="preserve">investors</w:t>
      </w:r>
      <w:r>
        <w:t xml:space="preserve"> </w:t>
      </w:r>
      <w:r>
        <w:t xml:space="preserve">suited</w:t>
      </w:r>
      <w:r>
        <w:t xml:space="preserve"> </w:t>
      </w:r>
      <w:r>
        <w:t xml:space="preserve">to</w:t>
      </w:r>
      <w:r>
        <w:t xml:space="preserve"> </w:t>
      </w:r>
      <w:r>
        <w:t xml:space="preserve">it.</w:t>
      </w:r>
      <w:r>
        <w:t xml:space="preserve"> </w:t>
      </w:r>
      <w:r>
        <w:t xml:space="preserve">Synthetic</w:t>
      </w:r>
      <w:r>
        <w:t xml:space="preserve"> </w:t>
      </w:r>
      <w:r>
        <w:t xml:space="preserve">sovereign</w:t>
      </w:r>
      <w:r>
        <w:t xml:space="preserve"> </w:t>
      </w:r>
      <w:r>
        <w:t xml:space="preserve">bonds</w:t>
      </w:r>
      <w:r>
        <w:t xml:space="preserve"> </w:t>
      </w:r>
      <w:r>
        <w:t xml:space="preserve">carry</w:t>
      </w:r>
      <w:r>
        <w:t xml:space="preserve"> </w:t>
      </w:r>
      <w:r>
        <w:t xml:space="preserve">the</w:t>
      </w:r>
      <w:r>
        <w:t xml:space="preserve"> </w:t>
      </w:r>
      <w:r>
        <w:t xml:space="preserve">derisked</w:t>
      </w:r>
      <w:r>
        <w:t xml:space="preserve"> </w:t>
      </w:r>
      <w:r>
        <w:t xml:space="preserve">operating</w:t>
      </w:r>
      <w:r>
        <w:t xml:space="preserve"> </w:t>
      </w:r>
      <w:r>
        <w:t xml:space="preserve">asset</w:t>
      </w:r>
      <w:r>
        <w:t xml:space="preserve"> </w:t>
      </w:r>
      <w:r>
        <w:t xml:space="preserve">to</w:t>
      </w:r>
      <w:r>
        <w:t xml:space="preserve"> </w:t>
      </w:r>
      <w:r>
        <w:t xml:space="preserve">institutional</w:t>
      </w:r>
      <w:r>
        <w:t xml:space="preserve"> </w:t>
      </w:r>
      <w:r>
        <w:t xml:space="preserve">and</w:t>
      </w:r>
      <w:r>
        <w:t xml:space="preserve"> </w:t>
      </w:r>
      <w:r>
        <w:t xml:space="preserve">domestic</w:t>
      </w:r>
      <w:r>
        <w:t xml:space="preserve"> </w:t>
      </w:r>
      <w:r>
        <w:t xml:space="preserve">savers.</w:t>
      </w:r>
      <w:r>
        <w:t xml:space="preserve"> </w:t>
      </w:r>
      <w:r>
        <w:t xml:space="preserve">Risk-absorbing</w:t>
      </w:r>
      <w:r>
        <w:t xml:space="preserve"> </w:t>
      </w:r>
      <w:r>
        <w:t xml:space="preserve">equity</w:t>
      </w:r>
      <w:r>
        <w:t xml:space="preserve"> </w:t>
      </w:r>
      <w:r>
        <w:t xml:space="preserve">funds</w:t>
      </w:r>
      <w:r>
        <w:t xml:space="preserve"> </w:t>
      </w:r>
      <w:r>
        <w:t xml:space="preserve">supply</w:t>
      </w:r>
      <w:r>
        <w:t xml:space="preserve"> </w:t>
      </w:r>
      <w:r>
        <w:t xml:space="preserve">the</w:t>
      </w:r>
      <w:r>
        <w:t xml:space="preserve"> </w:t>
      </w:r>
      <w:r>
        <w:t xml:space="preserve">first-loss</w:t>
      </w:r>
      <w:r>
        <w:t xml:space="preserve"> </w:t>
      </w:r>
      <w:r>
        <w:t xml:space="preserve">layer</w:t>
      </w:r>
      <w:r>
        <w:t xml:space="preserve"> </w:t>
      </w:r>
      <w:r>
        <w:t xml:space="preserve">that</w:t>
      </w:r>
      <w:r>
        <w:t xml:space="preserve"> </w:t>
      </w:r>
      <w:r>
        <w:t xml:space="preserve">lets</w:t>
      </w:r>
      <w:r>
        <w:t xml:space="preserve"> </w:t>
      </w:r>
      <w:r>
        <w:t xml:space="preserve">any</w:t>
      </w:r>
      <w:r>
        <w:t xml:space="preserve"> </w:t>
      </w:r>
      <w:r>
        <w:t xml:space="preserve">of</w:t>
      </w:r>
      <w:r>
        <w:t xml:space="preserve"> </w:t>
      </w:r>
      <w:r>
        <w:t xml:space="preserve">the</w:t>
      </w:r>
      <w:r>
        <w:t xml:space="preserve"> </w:t>
      </w:r>
      <w:r>
        <w:t xml:space="preserve">rest</w:t>
      </w:r>
      <w:r>
        <w:t xml:space="preserve"> </w:t>
      </w:r>
      <w:r>
        <w:t xml:space="preserve">be</w:t>
      </w:r>
      <w:r>
        <w:t xml:space="preserve"> </w:t>
      </w:r>
      <w:r>
        <w:t xml:space="preserve">leveraged.</w:t>
      </w:r>
      <w:r>
        <w:t xml:space="preserve"> </w:t>
      </w:r>
      <w:r>
        <w:t xml:space="preserve">The</w:t>
      </w:r>
      <w:r>
        <w:t xml:space="preserve"> </w:t>
      </w:r>
      <w:r>
        <w:t xml:space="preserve">Sollar</w:t>
      </w:r>
      <w:r>
        <w:t xml:space="preserve"> </w:t>
      </w:r>
      <w:r>
        <w:t xml:space="preserve">sidesteps</w:t>
      </w:r>
      <w:r>
        <w:t xml:space="preserve"> </w:t>
      </w:r>
      <w:r>
        <w:t xml:space="preserve">the</w:t>
      </w:r>
      <w:r>
        <w:t xml:space="preserve"> </w:t>
      </w:r>
      <w:r>
        <w:t xml:space="preserve">credit</w:t>
      </w:r>
      <w:r>
        <w:t xml:space="preserve"> </w:t>
      </w:r>
      <w:r>
        <w:t xml:space="preserve">question</w:t>
      </w:r>
      <w:r>
        <w:t xml:space="preserve"> </w:t>
      </w:r>
      <w:r>
        <w:t xml:space="preserve">entirely</w:t>
      </w:r>
      <w:r>
        <w:t xml:space="preserve"> </w:t>
      </w:r>
      <w:r>
        <w:t xml:space="preserve">by</w:t>
      </w:r>
      <w:r>
        <w:t xml:space="preserve"> </w:t>
      </w:r>
      <w:r>
        <w:t xml:space="preserve">offering</w:t>
      </w:r>
      <w:r>
        <w:t xml:space="preserve"> </w:t>
      </w:r>
      <w:r>
        <w:t xml:space="preserve">a</w:t>
      </w:r>
      <w:r>
        <w:t xml:space="preserve"> </w:t>
      </w:r>
      <w:r>
        <w:t xml:space="preserve">claim</w:t>
      </w:r>
      <w:r>
        <w:t xml:space="preserve"> </w:t>
      </w:r>
      <w:r>
        <w:t xml:space="preserve">on</w:t>
      </w:r>
      <w:r>
        <w:t xml:space="preserve"> </w:t>
      </w:r>
      <w:r>
        <w:t xml:space="preserve">panels</w:t>
      </w:r>
      <w:r>
        <w:t xml:space="preserve"> </w:t>
      </w:r>
      <w:r>
        <w:t xml:space="preserve">rather</w:t>
      </w:r>
      <w:r>
        <w:t xml:space="preserve"> </w:t>
      </w:r>
      <w:r>
        <w:t xml:space="preserve">than</w:t>
      </w:r>
      <w:r>
        <w:t xml:space="preserve"> </w:t>
      </w:r>
      <w:r>
        <w:t xml:space="preserve">on</w:t>
      </w:r>
      <w:r>
        <w:t xml:space="preserve"> </w:t>
      </w:r>
      <w:r>
        <w:t xml:space="preserve">a</w:t>
      </w:r>
      <w:r>
        <w:t xml:space="preserve"> </w:t>
      </w:r>
      <w:r>
        <w:t xml:space="preserve">borrower.</w:t>
      </w:r>
      <w:r>
        <w:t xml:space="preserve"> </w:t>
      </w:r>
      <w:r>
        <w:t xml:space="preserve">Sovereign</w:t>
      </w:r>
      <w:r>
        <w:t xml:space="preserve"> </w:t>
      </w:r>
      <w:r>
        <w:t xml:space="preserve">incentive</w:t>
      </w:r>
      <w:r>
        <w:t xml:space="preserve"> </w:t>
      </w:r>
      <w:r>
        <w:t xml:space="preserve">instruments,</w:t>
      </w:r>
      <w:r>
        <w:t xml:space="preserve"> </w:t>
      </w:r>
      <w:r>
        <w:t xml:space="preserve">treated</w:t>
      </w:r>
      <w:r>
        <w:t xml:space="preserve"> </w:t>
      </w:r>
      <w:r>
        <w:t xml:space="preserve">separately,</w:t>
      </w:r>
      <w:r>
        <w:t xml:space="preserve"> </w:t>
      </w:r>
      <w:r>
        <w:t xml:space="preserve">act</w:t>
      </w:r>
      <w:r>
        <w:t xml:space="preserve"> </w:t>
      </w:r>
      <w:r>
        <w:t xml:space="preserve">on</w:t>
      </w:r>
      <w:r>
        <w:t xml:space="preserve"> </w:t>
      </w:r>
      <w:r>
        <w:t xml:space="preserve">a</w:t>
      </w:r>
      <w:r>
        <w:t xml:space="preserve"> </w:t>
      </w:r>
      <w:r>
        <w:t xml:space="preserve">different</w:t>
      </w:r>
      <w:r>
        <w:t xml:space="preserve"> </w:t>
      </w:r>
      <w:r>
        <w:t xml:space="preserve">margin</w:t>
      </w:r>
      <w:r>
        <w:t xml:space="preserve"> </w:t>
      </w:r>
      <w:r>
        <w:t xml:space="preserve">again:</w:t>
      </w:r>
      <w:r>
        <w:t xml:space="preserve"> </w:t>
      </w:r>
      <w:r>
        <w:t xml:space="preserve">they</w:t>
      </w:r>
      <w:r>
        <w:t xml:space="preserve"> </w:t>
      </w:r>
      <w:r>
        <w:t xml:space="preserve">change</w:t>
      </w:r>
      <w:r>
        <w:t xml:space="preserve"> </w:t>
      </w:r>
      <w:r>
        <w:t xml:space="preserve">what</w:t>
      </w:r>
      <w:r>
        <w:t xml:space="preserve"> </w:t>
      </w:r>
      <w:r>
        <w:t xml:space="preserve">governments</w:t>
      </w:r>
      <w:r>
        <w:t xml:space="preserve"> </w:t>
      </w:r>
      <w:r>
        <w:t xml:space="preserve">choose</w:t>
      </w:r>
      <w:r>
        <w:t xml:space="preserve"> </w:t>
      </w:r>
      <w:r>
        <w:t xml:space="preserve">to</w:t>
      </w:r>
      <w:r>
        <w:t xml:space="preserve"> </w:t>
      </w:r>
      <w:r>
        <w:t xml:space="preserve">do</w:t>
      </w:r>
      <w:r>
        <w:t xml:space="preserve"> </w:t>
      </w:r>
      <w:r>
        <w:t xml:space="preserve">rather</w:t>
      </w:r>
      <w:r>
        <w:t xml:space="preserve"> </w:t>
      </w:r>
      <w:r>
        <w:t xml:space="preserve">than</w:t>
      </w:r>
      <w:r>
        <w:t xml:space="preserve"> </w:t>
      </w:r>
      <w:r>
        <w:t xml:space="preserve">who</w:t>
      </w:r>
      <w:r>
        <w:t xml:space="preserve"> </w:t>
      </w:r>
      <w:r>
        <w:t xml:space="preserve">bears</w:t>
      </w:r>
      <w:r>
        <w:t xml:space="preserve"> </w:t>
      </w:r>
      <w:r>
        <w:t xml:space="preserve">the</w:t>
      </w:r>
      <w:r>
        <w:t xml:space="preserve"> </w:t>
      </w:r>
      <w:r>
        <w:t xml:space="preserve">consequences.</w:t>
      </w:r>
    </w:p>
    <w:p>
      <w:pPr>
        <w:pStyle w:val="FirstParagraph"/>
      </w:pPr>
      <w:r>
        <w:t xml:space="preserve">This overview online:</w:t>
      </w:r>
      <w:r>
        <w:t xml:space="preserve"> </w:t>
      </w:r>
      <w:hyperlink r:id="rId20">
        <w:r>
          <w:rPr>
            <w:rStyle w:val="Hyperlink"/>
          </w:rPr>
          <w:t xml:space="preserve">https://climatefiscalfinance.org/papers/OverviewMobilisingPrivateCapital.docx</w:t>
        </w:r>
      </w:hyperlink>
    </w:p>
    <w:bookmarkStart w:id="21" w:name="executive-summary"/>
    <w:p>
      <w:pPr>
        <w:pStyle w:val="Heading1"/>
      </w:pPr>
      <w:r>
        <w:t xml:space="preserve">Executive summary</w:t>
      </w:r>
    </w:p>
    <w:p>
      <w:pPr>
        <w:pStyle w:val="FirstParagraph"/>
      </w:pPr>
      <w:r>
        <w:rPr>
          <w:bCs/>
          <w:b/>
        </w:rPr>
        <w:t xml:space="preserve">The barrier to clean power in developing countries is the cost of capital, not the cost of technology.</w:t>
      </w:r>
      <w:r>
        <w:t xml:space="preserve"> </w:t>
      </w:r>
      <w:r>
        <w:t xml:space="preserve">Wind and solar costs fell sharply over the decade to 2020 and now compete with new fossil generation in a growing number of markets. Solar is capital-intensive and has no fuel cost, so almost the whole of its delivered price is the cost of the money that built it. The same equipment on the same land produces materially dearer electricity financed at 12 per cent than at 5 per cent. Reducing the financing rate is equivalent to a large reduction in capital cost and is available immediately, without waiting on further technology improvement.</w:t>
      </w:r>
    </w:p>
    <w:p>
      <w:pPr>
        <w:pStyle w:val="BodyText"/>
      </w:pPr>
      <w:r>
        <w:rPr>
          <w:bCs/>
          <w:b/>
        </w:rPr>
        <w:t xml:space="preserve">That rate is not one risk but five, and treating it as one is why single instruments disappoint.</w:t>
      </w:r>
      <w:r>
        <w:t xml:space="preserve"> </w:t>
      </w:r>
      <w:r>
        <w:t xml:space="preserve">A guarantee that addresses payment risk does nothing about currency. An equity fund does nothing about a distribution company that will not pay. Each mechanism below removes one layer; the layers have to be removed together for the rate to fall far.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What it is</w:t>
            </w:r>
          </w:p>
        </w:tc>
        <w:tc>
          <w:tcPr/>
          <w:p>
            <w:pPr>
              <w:pStyle w:val="Compact"/>
              <w:jc w:val="left"/>
            </w:pPr>
            <w:r>
              <w:t xml:space="preserve">Mechanism</w:t>
            </w:r>
          </w:p>
        </w:tc>
        <w:tc>
          <w:tcPr/>
          <w:p>
            <w:pPr>
              <w:pStyle w:val="Compact"/>
              <w:jc w:val="left"/>
            </w:pPr>
            <w:r>
              <w:t xml:space="preserve">Paper</w:t>
            </w:r>
          </w:p>
        </w:tc>
      </w:tr>
      <w:tr>
        <w:tc>
          <w:tcPr/>
          <w:p>
            <w:pPr>
              <w:pStyle w:val="Compact"/>
              <w:jc w:val="left"/>
            </w:pPr>
            <w:r>
              <w:t xml:space="preserve">Payment</w:t>
            </w:r>
          </w:p>
        </w:tc>
        <w:tc>
          <w:tcPr/>
          <w:p>
            <w:pPr>
              <w:pStyle w:val="Compact"/>
              <w:jc w:val="left"/>
            </w:pPr>
            <w:r>
              <w:t xml:space="preserve">The distributor buying the power pays late, partially, or not at all</w:t>
            </w:r>
          </w:p>
        </w:tc>
        <w:tc>
          <w:tcPr/>
          <w:p>
            <w:pPr>
              <w:pStyle w:val="Compact"/>
              <w:jc w:val="left"/>
            </w:pPr>
            <w:r>
              <w:t xml:space="preserve">Payment intermediary facility standing between generator and distributor</w:t>
            </w:r>
          </w:p>
        </w:tc>
        <w:tc>
          <w:tcPr/>
          <w:p>
            <w:pPr>
              <w:pStyle w:val="Compact"/>
              <w:jc w:val="left"/>
            </w:pPr>
            <w:r>
              <w:t xml:space="preserve">2.1</w:t>
            </w:r>
          </w:p>
        </w:tc>
      </w:tr>
      <w:tr>
        <w:tc>
          <w:tcPr/>
          <w:p>
            <w:pPr>
              <w:pStyle w:val="Compact"/>
              <w:jc w:val="left"/>
            </w:pPr>
            <w:r>
              <w:t xml:space="preserve">Construction</w:t>
            </w:r>
          </w:p>
        </w:tc>
        <w:tc>
          <w:tcPr/>
          <w:p>
            <w:pPr>
              <w:pStyle w:val="Compact"/>
              <w:jc w:val="left"/>
            </w:pPr>
            <w:r>
              <w:t xml:space="preserve">The plant is late, over budget, or not completed</w:t>
            </w:r>
          </w:p>
        </w:tc>
        <w:tc>
          <w:tcPr/>
          <w:p>
            <w:pPr>
              <w:pStyle w:val="Compact"/>
              <w:jc w:val="left"/>
            </w:pPr>
            <w:r>
              <w:t xml:space="preserve">Two-stage finance: bank and DFI lending during build, bond refinancing on completion</w:t>
            </w:r>
          </w:p>
        </w:tc>
        <w:tc>
          <w:tcPr/>
          <w:p>
            <w:pPr>
              <w:pStyle w:val="Compact"/>
              <w:jc w:val="left"/>
            </w:pPr>
            <w:r>
              <w:t xml:space="preserve">2.1</w:t>
            </w:r>
          </w:p>
        </w:tc>
      </w:tr>
      <w:tr>
        <w:tc>
          <w:tcPr/>
          <w:p>
            <w:pPr>
              <w:pStyle w:val="Compact"/>
              <w:jc w:val="left"/>
            </w:pPr>
            <w:r>
              <w:t xml:space="preserve">Currency</w:t>
            </w:r>
          </w:p>
        </w:tc>
        <w:tc>
          <w:tcPr/>
          <w:p>
            <w:pPr>
              <w:pStyle w:val="Compact"/>
              <w:jc w:val="left"/>
            </w:pPr>
            <w:r>
              <w:t xml:space="preserve">Obligations fixed in hard currency against revenue earned in local currency</w:t>
            </w:r>
          </w:p>
        </w:tc>
        <w:tc>
          <w:tcPr/>
          <w:p>
            <w:pPr>
              <w:pStyle w:val="Compact"/>
              <w:jc w:val="left"/>
            </w:pPr>
            <w:r>
              <w:t xml:space="preserve">Denomination choice, declining tariffs, local-currency guarantee capacity</w:t>
            </w:r>
          </w:p>
        </w:tc>
        <w:tc>
          <w:tcPr/>
          <w:p>
            <w:pPr>
              <w:pStyle w:val="Compact"/>
              <w:jc w:val="left"/>
            </w:pPr>
            <w:r>
              <w:t xml:space="preserve">2.1, 2.2</w:t>
            </w:r>
          </w:p>
        </w:tc>
      </w:tr>
      <w:tr>
        <w:tc>
          <w:tcPr/>
          <w:p>
            <w:pPr>
              <w:pStyle w:val="Compact"/>
              <w:jc w:val="left"/>
            </w:pPr>
            <w:r>
              <w:t xml:space="preserve">Sovereign and policy</w:t>
            </w:r>
          </w:p>
        </w:tc>
        <w:tc>
          <w:tcPr/>
          <w:p>
            <w:pPr>
              <w:pStyle w:val="Compact"/>
              <w:jc w:val="left"/>
            </w:pPr>
            <w:r>
              <w:t xml:space="preserve">The rules change, or the state cannot stand behind its utilities</w:t>
            </w:r>
          </w:p>
        </w:tc>
        <w:tc>
          <w:tcPr/>
          <w:p>
            <w:pPr>
              <w:pStyle w:val="Compact"/>
              <w:jc w:val="left"/>
            </w:pPr>
            <w:r>
              <w:t xml:space="preserve">Tiered guarantees contracted in advance; conditionality on reform</w:t>
            </w:r>
          </w:p>
        </w:tc>
        <w:tc>
          <w:tcPr/>
          <w:p>
            <w:pPr>
              <w:pStyle w:val="Compact"/>
              <w:jc w:val="left"/>
            </w:pPr>
            <w:r>
              <w:t xml:space="preserve">2.1, section 3</w:t>
            </w:r>
          </w:p>
        </w:tc>
      </w:tr>
      <w:tr>
        <w:tc>
          <w:tcPr/>
          <w:p>
            <w:pPr>
              <w:pStyle w:val="Compact"/>
              <w:jc w:val="left"/>
            </w:pPr>
            <w:r>
              <w:t xml:space="preserve">Equity scarcity</w:t>
            </w:r>
          </w:p>
        </w:tc>
        <w:tc>
          <w:tcPr/>
          <w:p>
            <w:pPr>
              <w:pStyle w:val="Compact"/>
              <w:jc w:val="left"/>
            </w:pPr>
            <w:r>
              <w:t xml:space="preserve">There is nothing to leverage against</w:t>
            </w:r>
          </w:p>
        </w:tc>
        <w:tc>
          <w:tcPr/>
          <w:p>
            <w:pPr>
              <w:pStyle w:val="Compact"/>
              <w:jc w:val="left"/>
            </w:pPr>
            <w:r>
              <w:t xml:space="preserve">Regional risk-absorbing equity funds providing first loss and cross-guarantee</w:t>
            </w:r>
          </w:p>
        </w:tc>
        <w:tc>
          <w:tcPr/>
          <w:p>
            <w:pPr>
              <w:pStyle w:val="Compact"/>
              <w:jc w:val="left"/>
            </w:pPr>
            <w:r>
              <w:t xml:space="preserve">2.2</w:t>
            </w:r>
          </w:p>
        </w:tc>
      </w:tr>
    </w:tbl>
    <w:p>
      <w:pPr>
        <w:pStyle w:val="BodyText"/>
      </w:pPr>
      <w:r>
        <w:rPr>
          <w:bCs/>
          <w:b/>
        </w:rPr>
        <w:t xml:space="preserve">Payment risk is first because it is the one that prices everything else.</w:t>
      </w:r>
      <w:r>
        <w:t xml:space="preserve"> </w:t>
      </w:r>
      <w:r>
        <w:t xml:space="preserve">A completed plant in a sunny location carries little operational risk. What lenders price is the creditworthiness of the entity on the other side of the power purchase agreement. In India most distribution companies are owned by state governments and many are in poor financial condition for structural political reasons. A weak utility balance sheet therefore raises the cost of clean power across an entire country, project by project, whatever the quality of the projects. Removing it at source, through an intermediary that pays the generator whether or not the distributor has paid, is the single highest-leverage intervention available.</w:t>
      </w:r>
    </w:p>
    <w:p>
      <w:pPr>
        <w:pStyle w:val="BodyText"/>
      </w:pPr>
      <w:r>
        <w:rPr>
          <w:bCs/>
          <w:b/>
        </w:rPr>
        <w:t xml:space="preserve">Construction risk and operating risk should not be carried by the same investor.</w:t>
      </w:r>
      <w:r>
        <w:t xml:space="preserve"> </w:t>
      </w:r>
      <w:r>
        <w:t xml:space="preserve">Construction involves completion, cost overrun and schedule risk, and is well suited to banks and development finance institutions that can supervise it. A completed plant selling under a guaranteed contract carries almost none of that, and is well suited to bond investors who want duration and cannot take construction exposure. Splitting the financing at the point the plant connects gets each risk to the party that prices it most cheaply.</w:t>
      </w:r>
    </w:p>
    <w:p>
      <w:pPr>
        <w:pStyle w:val="BodyText"/>
      </w:pPr>
      <w:r>
        <w:rPr>
          <w:bCs/>
          <w:b/>
        </w:rPr>
        <w:t xml:space="preserve">Currency risk is a choice, not a given, and it is usually made by default.</w:t>
      </w:r>
      <w:r>
        <w:t xml:space="preserve"> </w:t>
      </w:r>
      <w:r>
        <w:t xml:space="preserve">A hard-currency power purchase agreement transfers devaluation risk to the host government, in exactly the way hard-currency sovereign debt does. A local-currency contract avoids that and narrows the investor base towards domestic savings. Both are defensible; drifting into the first because it is what international investors ask for is not.</w:t>
      </w:r>
    </w:p>
    <w:p>
      <w:pPr>
        <w:pStyle w:val="BodyText"/>
      </w:pPr>
      <w:r>
        <w:rPr>
          <w:bCs/>
          <w:b/>
        </w:rPr>
        <w:t xml:space="preserve">Policy risk cannot be transferred, only altered.</w:t>
      </w:r>
      <w:r>
        <w:t xml:space="preserve"> </w:t>
      </w:r>
      <w:r>
        <w:t xml:space="preserve">No guarantee structure makes a government’s future decisions predictable. What guarantees can do is price the commitments a government has already made, and make new capital conditional on reforms that reduce the underlying problem — standardised power purchase agreements, cost-reflective tariffs, credible phase-out schedules. This is where the risk mechanisms meet the sovereign incentive instruments treated in section 3, and the two should not be confused. A risk mechanism decides who bears a loss. An incentive instrument changes whether the loss happens.</w:t>
      </w:r>
    </w:p>
    <w:p>
      <w:pPr>
        <w:pStyle w:val="BodyText"/>
      </w:pPr>
      <w:r>
        <w:rPr>
          <w:bCs/>
          <w:b/>
        </w:rPr>
        <w:t xml:space="preserve">Equity scarcity is the constraint that binds all the others.</w:t>
      </w:r>
      <w:r>
        <w:t xml:space="preserve"> </w:t>
      </w:r>
      <w:r>
        <w:t xml:space="preserve">Every structure above is a way of making debt cheaper, and debt has to be leveraged against something. Countries that most need the investment have the least equity to put underneath it. Regional risk-absorbing equity funds — taking the first loss on portfolios of operating assets, cross-guaranteeing the bonds of projects they do not own, and co-investing at the development stage — supply the layer that makes everything else financeable.</w:t>
      </w:r>
    </w:p>
    <w:p>
      <w:pPr>
        <w:pStyle w:val="BodyText"/>
      </w:pPr>
      <w:r>
        <w:rPr>
          <w:bCs/>
          <w:b/>
        </w:rPr>
        <w:t xml:space="preserve">The Sollar answers the same problem from the other end.</w:t>
      </w:r>
      <w:r>
        <w:t xml:space="preserve"> </w:t>
      </w:r>
      <w:r>
        <w:t xml:space="preserve">Rather than making a borrower’s credit acceptable, it offers investors a direct claim on a quantity of installed panels, reinvesting the electricity revenue into more of them and converting into a dividend-paying instrument on redemption. It is an equity-like instrument rather than a credit structure, and so it is largely indifferent to the sovereign risk that the other mechanisms spend their effort neutralising. It belongs in this section because it is a financial product; it does not belong to the taxonomy above because it does not transfer a risk so much as avoid taking it on.</w:t>
      </w:r>
    </w:p>
    <w:p>
      <w:pPr>
        <w:pStyle w:val="BodyText"/>
      </w:pPr>
      <w:r>
        <w:rPr>
          <w:bCs/>
          <w:b/>
        </w:rPr>
        <w:t xml:space="preserve">The mechanisms compose, and the composition is the proposal.</w:t>
      </w:r>
      <w:r>
        <w:t xml:space="preserve"> </w:t>
      </w:r>
      <w:r>
        <w:t xml:space="preserve">A regional payment intermediary makes the offtake contract bankable. A contingent version of that contract, agreed before construction, makes development finance available at a market rate. Completion converts the project into an operating asset that refinances into a synthetic sovereign bond. A regional equity fund sits underneath as first loss, allowing the bond to be rated without the host sovereign’s balance sheet. Conditionality attached to the guarantee improves the utility performance that caused the original problem. No single piece does much on its own.</w:t>
      </w:r>
    </w:p>
    <w:bookmarkEnd w:id="21"/>
    <w:bookmarkStart w:id="22" w:name="the-cost-of-capital-is-the-barrier"/>
    <w:p>
      <w:pPr>
        <w:pStyle w:val="Heading1"/>
      </w:pPr>
      <w:r>
        <w:t xml:space="preserve">1. The cost of capital is the barrier</w:t>
      </w:r>
    </w:p>
    <w:p>
      <w:pPr>
        <w:pStyle w:val="FirstParagraph"/>
      </w:pPr>
      <w:r>
        <w:rPr>
          <w:bCs/>
          <w:b/>
        </w:rPr>
        <w:t xml:space="preserve">The scale required makes financing terms, rather than technology costs, the binding constraint.</w:t>
      </w:r>
      <w:r>
        <w:t xml:space="preserve"> </w:t>
      </w:r>
      <w:r>
        <w:t xml:space="preserve">The International Energy Agency puts global clean energy investment at around $3 trillion a year by 2030 if the Paris goals are to be met, of which roughly one third is needed directly for energy supply, principally renewables (IEA 2021a, 2021b). Later estimates put the total nearer $4 trillion, with over $1 trillion a year required in emerging markets and developing economies. That investment must be raised under fiscal conditions tightened by the pandemic and by energy price shocks, in sectors where the state and the multilateral development banks already carry an outsized role.</w:t>
      </w:r>
    </w:p>
    <w:p>
      <w:pPr>
        <w:pStyle w:val="BodyText"/>
      </w:pPr>
      <w:r>
        <w:rPr>
          <w:bCs/>
          <w:b/>
        </w:rPr>
        <w:t xml:space="preserve">Without concessional financing or de-risking, developing country borrowers pay far more than OECD borrowers for the same asset.</w:t>
      </w:r>
      <w:r>
        <w:t xml:space="preserve"> </w:t>
      </w:r>
      <w:r>
        <w:t xml:space="preserve">The gap is not explained by the engineering, the resource or the operating record. It is explained by country risk, counterparty risk and currency risk, none of which the project can do anything about.</w:t>
      </w:r>
    </w:p>
    <w:p>
      <w:pPr>
        <w:pStyle w:val="BodyText"/>
      </w:pPr>
      <w:r>
        <w:rPr>
          <w:bCs/>
          <w:b/>
        </w:rPr>
        <w:t xml:space="preserve">Five conditions keep the rate high, and they are separable.</w:t>
      </w:r>
      <w:r>
        <w:t xml:space="preserve"> </w:t>
      </w:r>
      <w:r>
        <w:t xml:space="preserve">Low sovereign creditworthiness prices every domestic counterparty accordingly. High existing debt limits the capacity to borrow further. Thin domestic capital markets leave long-term savings with no route to infrastructure. Weak utility finances make the offtake contract itself unreliable. And there is little equity available against which any of this can be leveraged. Each has a different remedy.</w:t>
      </w:r>
    </w:p>
    <w:bookmarkEnd w:id="22"/>
    <w:bookmarkStart w:id="28" w:name="the-risk-taxonomy"/>
    <w:p>
      <w:pPr>
        <w:pStyle w:val="Heading1"/>
      </w:pPr>
      <w:r>
        <w:t xml:space="preserve">2. The risk taxonomy</w:t>
      </w:r>
    </w:p>
    <w:bookmarkStart w:id="23" w:name="payment-risk"/>
    <w:p>
      <w:pPr>
        <w:pStyle w:val="Heading2"/>
      </w:pPr>
      <w:r>
        <w:t xml:space="preserve">2.1 Payment risk</w:t>
      </w:r>
    </w:p>
    <w:p>
      <w:pPr>
        <w:pStyle w:val="FirstParagraph"/>
      </w:pPr>
      <w:r>
        <w:rPr>
          <w:bCs/>
          <w:b/>
        </w:rPr>
        <w:t xml:space="preserve">Payment risk is the creditworthiness of the entity contracted to buy the power, and it sets the price of everything downstream.</w:t>
      </w:r>
      <w:r>
        <w:t xml:space="preserve"> </w:t>
      </w:r>
      <w:r>
        <w:t xml:space="preserve">Power purchase agreements exist to give a capital-intensive project revenue certainty, and they deliver only as much certainty as the counterparty is good for. Where distribution companies are state-owned and financially weak, the contract is worth less than its face value and every project selling into that counterparty pays for it.</w:t>
      </w:r>
    </w:p>
    <w:p>
      <w:pPr>
        <w:pStyle w:val="BodyText"/>
      </w:pPr>
      <w:r>
        <w:rPr>
          <w:bCs/>
          <w:b/>
        </w:rPr>
        <w:t xml:space="preserve">The remedy is to interpose an institution that is better placed both to absorb a late payment and to recover it.</w:t>
      </w:r>
      <w:r>
        <w:t xml:space="preserve"> </w:t>
      </w:r>
      <w:r>
        <w:t xml:space="preserve">This is the payment intermediary facility set out in 2.1, modelled on the Solar Energy Corporation of India: it contracts with generators under a standardised agreement, on-sells the power to distributors, and pays the generator whether or not the distributor has paid. Its own solvency is protected by a waterfall contracted in advance — distributor, subnational government, national government, multilateral agency, donor contingency account.</w:t>
      </w:r>
    </w:p>
    <w:bookmarkEnd w:id="23"/>
    <w:bookmarkStart w:id="24" w:name="construction-risk"/>
    <w:p>
      <w:pPr>
        <w:pStyle w:val="Heading2"/>
      </w:pPr>
      <w:r>
        <w:t xml:space="preserve">2.2 Construction risk</w:t>
      </w:r>
    </w:p>
    <w:p>
      <w:pPr>
        <w:pStyle w:val="FirstParagraph"/>
      </w:pPr>
      <w:r>
        <w:rPr>
          <w:bCs/>
          <w:b/>
        </w:rPr>
        <w:t xml:space="preserve">Construction risk is real, concentrated and temporary, and it should be financed by investors who can supervise it.</w:t>
      </w:r>
      <w:r>
        <w:t xml:space="preserve"> </w:t>
      </w:r>
      <w:r>
        <w:t xml:space="preserve">Completion, cost overrun and schedule slippage are the risks of the build phase. They require active oversight and an appetite for project-level exposure that bond markets do not have.</w:t>
      </w:r>
    </w:p>
    <w:p>
      <w:pPr>
        <w:pStyle w:val="BodyText"/>
      </w:pPr>
      <w:r>
        <w:rPr>
          <w:bCs/>
          <w:b/>
        </w:rPr>
        <w:t xml:space="preserve">The remedy is to split the financing at the point the plant connects.</w:t>
      </w:r>
      <w:r>
        <w:t xml:space="preserve"> </w:t>
      </w:r>
      <w:r>
        <w:t xml:space="preserve">Banks and development finance institutions lend during construction; the project refinances into the bond market once it is operating, when the risk profile has changed fundamentally. A contingent offtake agreement held before construction improves the terms of the first stage as well, because the construction lender is underwriting a project with a contracted buyer waiting for it rather than a merchant project hoping for one.</w:t>
      </w:r>
    </w:p>
    <w:bookmarkEnd w:id="24"/>
    <w:bookmarkStart w:id="25" w:name="currency-risk"/>
    <w:p>
      <w:pPr>
        <w:pStyle w:val="Heading2"/>
      </w:pPr>
      <w:r>
        <w:t xml:space="preserve">2.3 Currency risk</w:t>
      </w:r>
    </w:p>
    <w:p>
      <w:pPr>
        <w:pStyle w:val="FirstParagraph"/>
      </w:pPr>
      <w:r>
        <w:rPr>
          <w:bCs/>
          <w:b/>
        </w:rPr>
        <w:t xml:space="preserve">Currency risk arises whenever the obligation and the revenue are denominated differently, and over a twenty-year contract it is material.</w:t>
      </w:r>
      <w:r>
        <w:t xml:space="preserve"> </w:t>
      </w:r>
      <w:r>
        <w:t xml:space="preserve">A hard-currency power purchase agreement raises the real cost of the contract exactly when a depreciation makes the economy least able to absorb it. This is the mechanism that makes hard-currency sovereign debt dangerous, reproduced inside an energy contract.</w:t>
      </w:r>
    </w:p>
    <w:p>
      <w:pPr>
        <w:pStyle w:val="BodyText"/>
      </w:pPr>
      <w:r>
        <w:rPr>
          <w:bCs/>
          <w:b/>
        </w:rPr>
        <w:t xml:space="preserve">There are three partial remedies and no complete one.</w:t>
      </w:r>
      <w:r>
        <w:t xml:space="preserve"> </w:t>
      </w:r>
      <w:r>
        <w:t xml:space="preserve">Denominating in local currency removes the exposure and narrows the investor base. Declining tariff schedules reduce the size of the long-dated obligation, which reduces the exposure in proportion. And guarantee structures that support local-currency issuance make the domestic savings pool a viable source of long-term finance, which is the only durable answer for countries whose revenue will always be local.</w:t>
      </w:r>
    </w:p>
    <w:bookmarkEnd w:id="25"/>
    <w:bookmarkStart w:id="26" w:name="sovereign-and-policy-risk"/>
    <w:p>
      <w:pPr>
        <w:pStyle w:val="Heading2"/>
      </w:pPr>
      <w:r>
        <w:t xml:space="preserve">2.4 Sovereign and policy risk</w:t>
      </w:r>
    </w:p>
    <w:p>
      <w:pPr>
        <w:pStyle w:val="FirstParagraph"/>
      </w:pPr>
      <w:r>
        <w:rPr>
          <w:bCs/>
          <w:b/>
        </w:rPr>
        <w:t xml:space="preserve">Policy risk cannot be transferred to anyone, because no counterparty can promise what a future government will do.</w:t>
      </w:r>
      <w:r>
        <w:t xml:space="preserve"> </w:t>
      </w:r>
      <w:r>
        <w:t xml:space="preserve">What can be done is to price existing commitments, to make them harder to reverse by contracting them in advance, and to attach conditions to new capital.</w:t>
      </w:r>
    </w:p>
    <w:p>
      <w:pPr>
        <w:pStyle w:val="BodyText"/>
      </w:pPr>
      <w:r>
        <w:rPr>
          <w:bCs/>
          <w:b/>
        </w:rPr>
        <w:t xml:space="preserve">Conditionality is the operative instrument.</w:t>
      </w:r>
      <w:r>
        <w:t xml:space="preserve"> </w:t>
      </w:r>
      <w:r>
        <w:t xml:space="preserve">Guarantees offered only to jurisdictions that adopt standardised power purchase agreements, cost-reflective tariffs, credible fossil phase-out schedules and workable project approval processes do two things at once: they reduce the probability of the loss being guaranteed, and they give reforming governments something concrete in exchange for difficult decisions.</w:t>
      </w:r>
    </w:p>
    <w:p>
      <w:pPr>
        <w:pStyle w:val="BodyText"/>
      </w:pPr>
      <w:r>
        <w:rPr>
          <w:bCs/>
          <w:b/>
        </w:rPr>
        <w:t xml:space="preserve">This is the boundary with the sovereign incentive work.</w:t>
      </w:r>
      <w:r>
        <w:t xml:space="preserve"> </w:t>
      </w:r>
      <w:r>
        <w:t xml:space="preserve">The instruments in section 3 — results-based buffer funds, KPI-linked sovereign structures, guarantee-based international incentives — act on the government’s decision rather than on the investor’s exposure. They are complements to the mechanisms here and should not be folded into them. A risk mechanism decides who bears a loss; an incentive instrument changes whether the loss occurs. The overview in 3.0 takes that side of the boundary, and sets out the four questions an incentive instrument has to answer.</w:t>
      </w:r>
    </w:p>
    <w:bookmarkEnd w:id="26"/>
    <w:bookmarkStart w:id="27" w:name="equity-scarcity"/>
    <w:p>
      <w:pPr>
        <w:pStyle w:val="Heading2"/>
      </w:pPr>
      <w:r>
        <w:t xml:space="preserve">2.5 Equity scarcity</w:t>
      </w:r>
    </w:p>
    <w:p>
      <w:pPr>
        <w:pStyle w:val="FirstParagraph"/>
      </w:pPr>
      <w:r>
        <w:rPr>
          <w:bCs/>
          <w:b/>
        </w:rPr>
        <w:t xml:space="preserve">Every mechanism above makes debt cheaper, and debt requires equity underneath it.</w:t>
      </w:r>
      <w:r>
        <w:t xml:space="preserve"> </w:t>
      </w:r>
      <w:r>
        <w:t xml:space="preserve">The countries that most need clean power investment have the least equity available to leverage, which is why de-risking instruments that assume a well-capitalised sponsor achieve less than they promise.</w:t>
      </w:r>
    </w:p>
    <w:p>
      <w:pPr>
        <w:pStyle w:val="BodyText"/>
      </w:pPr>
      <w:r>
        <w:rPr>
          <w:bCs/>
          <w:b/>
        </w:rPr>
        <w:t xml:space="preserve">The remedy is a dedicated, well-supervised pool of risk-absorbing equity, organised regionally.</w:t>
      </w:r>
      <w:r>
        <w:t xml:space="preserve"> </w:t>
      </w:r>
      <w:r>
        <w:t xml:space="preserve">Such a fund does three jobs: it co-invests at the development stage, where its participation crowds in others; it holds the first-loss position in portfolios of operating assets, allowing near-risk-free debt to be raised against them; and it cross-guarantees the bonds of projects it does not own, earning a diversification benefit for doing so. This is the subject of 2.2.</w:t>
      </w:r>
    </w:p>
    <w:bookmarkEnd w:id="27"/>
    <w:bookmarkEnd w:id="28"/>
    <w:bookmarkStart w:id="29" w:name="how-the-mechanisms-compose"/>
    <w:p>
      <w:pPr>
        <w:pStyle w:val="Heading1"/>
      </w:pPr>
      <w:r>
        <w:t xml:space="preserve">3. How the mechanisms compose</w:t>
      </w:r>
    </w:p>
    <w:p>
      <w:pPr>
        <w:pStyle w:val="FirstParagraph"/>
      </w:pPr>
      <w:r>
        <w:rPr>
          <w:bCs/>
          <w:b/>
        </w:rPr>
        <w:t xml:space="preserve">Taken in sequence, the mechanisms describe the life of a project.</w:t>
      </w:r>
      <w:r>
        <w:t xml:space="preserve"> </w:t>
      </w:r>
      <w:r>
        <w:t xml:space="preserve">A regional payment intermediary makes offtake contracts in its territory bankable. A developer holding a contingent contract raises development finance at a market rate rather than a distressed one. The plant is built, connects, and its risk profile changes. It refinances into a synthetic sovereign bond backed by the guaranteed contract, held by pension funds and domestic savers. A regional equity fund sits beneath the structure as first loss, so that the bond’s rating does not depend on the host sovereign. Conditions attached to the original guarantee have meanwhile been improving the utility performance that created the payment problem in the first place.</w:t>
      </w:r>
    </w:p>
    <w:p>
      <w:pPr>
        <w:pStyle w:val="BodyText"/>
      </w:pPr>
      <w:r>
        <w:rPr>
          <w:bCs/>
          <w:b/>
        </w:rPr>
        <w:t xml:space="preserve">Each piece is weaker alone than in sequence, which is an argument for building them together.</w:t>
      </w:r>
      <w:r>
        <w:t xml:space="preserve"> </w:t>
      </w:r>
      <w:r>
        <w:t xml:space="preserve">A payment guarantee without an equity layer still leaves the bond dependent on the sovereign. An equity fund without a payment intermediary is absorbing a risk that need not have existed. Two-stage finance without either simply relocates the problem to the refinancing date.</w:t>
      </w:r>
    </w:p>
    <w:p>
      <w:pPr>
        <w:pStyle w:val="BodyText"/>
      </w:pPr>
      <w:r>
        <w:rPr>
          <w:bCs/>
          <w:b/>
        </w:rPr>
        <w:t xml:space="preserve">For countries already in debt distress, the sequence does not apply and a different route is needed.</w:t>
      </w:r>
      <w:r>
        <w:t xml:space="preserve"> </w:t>
      </w:r>
      <w:r>
        <w:t xml:space="preserve">Where additional debt is itself the binding constraint — small island developing states above all — the same intermediary can sell energy as a pay-as-you-go service rather than financing an asset, so that the country substitutes domestic renewable supply for imported fuel without adding to its debt stock. This is treated in 2.1.</w:t>
      </w:r>
    </w:p>
    <w:bookmarkEnd w:id="29"/>
    <w:bookmarkStart w:id="30" w:name="how-this-work-is-circulated"/>
    <w:p>
      <w:pPr>
        <w:pStyle w:val="Heading1"/>
      </w:pPr>
      <w:r>
        <w:t xml:space="preserve">4. How this work is circulated</w:t>
      </w:r>
    </w:p>
    <w:p>
      <w:pPr>
        <w:pStyle w:val="FirstParagraph"/>
      </w:pPr>
      <w:r>
        <w:rPr>
          <w:bCs/>
          <w:b/>
        </w:rPr>
        <w:t xml:space="preserve">The papers in this section and the next were conceived as a briefing paper series rather than as journal articles, and the format follows from that.</w:t>
      </w:r>
      <w:r>
        <w:t xml:space="preserve"> </w:t>
      </w:r>
      <w:r>
        <w:t xml:space="preserve">Each is short — an initial proposal of around three pages, expanded only where the mechanism needs it — numbered, and accompanied by a deck. The audience is operational: people inside a multilateral institution who could put a structure into a transaction, not a literature.</w:t>
      </w:r>
    </w:p>
    <w:p>
      <w:pPr>
        <w:pStyle w:val="BodyText"/>
      </w:pPr>
      <w:r>
        <w:rPr>
          <w:bCs/>
          <w:b/>
        </w:rPr>
        <w:t xml:space="preserve">The route each paper takes is deck, then internal circulation, then external comment.</w:t>
      </w:r>
      <w:r>
        <w:t xml:space="preserve"> </w:t>
      </w:r>
      <w:r>
        <w:t xml:space="preserve">A briefing paper is written with its presentation, circulated within the Bank for discussion of how it might be operationalised, and then submitted to a conference for peer comment. A paper that has not been through that sequence is a draft, whatever its state.</w:t>
      </w:r>
    </w:p>
    <w:p>
      <w:pPr>
        <w:pStyle w:val="BodyText"/>
      </w:pPr>
      <w:r>
        <w:rPr>
          <w:bCs/>
          <w:b/>
        </w:rPr>
        <w:t xml:space="preserve">Peer review is a standing group rather than an anonymous process.</w:t>
      </w:r>
      <w:r>
        <w:t xml:space="preserve"> </w:t>
      </w:r>
      <w:r>
        <w:t xml:space="preserve">The intended reviewer community draws at least one representative from each of MTI, FCI, IFC, MIGA and CCG, plus an external reviewer, meeting every two months to look at current work. It grew out of the Climate Café initiative. The point of a standing group is that it accumulates context: the fifth paper is read by people who remember the first four.</w:t>
      </w:r>
    </w:p>
    <w:p>
      <w:pPr>
        <w:pStyle w:val="BodyText"/>
      </w:pPr>
      <w:r>
        <w:rPr>
          <w:bCs/>
          <w:b/>
        </w:rPr>
        <w:t xml:space="preserve">The obstacles the series was written against are worth restating, because they explain the selection.</w:t>
      </w:r>
      <w:r>
        <w:t xml:space="preserve"> </w:t>
      </w:r>
      <w:r>
        <w:t xml:space="preserve">Insufficient policy action to produce bankable projects; too high a cost of capital; insufficient incentive for governments to prioritise green policy, and no reward for acting early rather than late; insufficient core capital to scale climate lending, against needs an order of magnitude above current capacity; and no clear account of how much sustainable infrastructure each country has to build by when. The mechanisms in this section address the second and fourth. The instruments in section 3 address the first and third. The fifth is a modelling question and sits in section 4.</w:t>
      </w:r>
    </w:p>
    <w:bookmarkEnd w:id="30"/>
    <w:bookmarkStart w:id="35" w:name="the-papers-in-this-section"/>
    <w:p>
      <w:pPr>
        <w:pStyle w:val="Heading1"/>
      </w:pPr>
      <w:r>
        <w:t xml:space="preserve">5. The papers in this section</w:t>
      </w:r>
    </w:p>
    <w:p>
      <w:pPr>
        <w:pStyle w:val="FirstParagraph"/>
      </w:pPr>
      <w:r>
        <w:t xml:space="preserve">The abstracts below are those of the papers still under active development. The Sollar is retained in</w:t>
      </w:r>
      <w:r>
        <w:t xml:space="preserve"> </w:t>
      </w:r>
      <w:r>
        <w:rPr>
          <w:rStyle w:val="VerbatimChar"/>
        </w:rPr>
        <w:t xml:space="preserve">9.Additional</w:t>
      </w:r>
      <w:r>
        <w:t xml:space="preserve"> </w:t>
      </w:r>
      <w:r>
        <w:t xml:space="preserve">as 2.3.</w:t>
      </w:r>
    </w:p>
    <w:bookmarkStart w:id="32" w:name="X2d1be9df80ce9e4685ab407f9a2c1f5e7171caf"/>
    <w:p>
      <w:pPr>
        <w:pStyle w:val="Heading2"/>
      </w:pPr>
      <w:r>
        <w:t xml:space="preserve">2.1 Climate Finance Intermediation for Clean Power</w:t>
      </w:r>
    </w:p>
    <w:p>
      <w:pPr>
        <w:pStyle w:val="FirstParagraph"/>
      </w:pPr>
      <w:r>
        <w:t xml:space="preserve">Clean power investment in developing countries is blocked by the cost of capital, and the cost of capital is set by the creditworthiness of the distribution company contracted to buy the power rather than by the project itself. This paper proposes removing that risk at its source through a Renewable Energy Payment Intermediary Facility — national in large markets, regional in small ones — that buys power from generators under a standardised agreement and pays them in full and on time whether or not the distributor has paid, backed by a contracted guarantee waterfall running from the distributor through subnational and national government to a multilateral agency. Contracts underwritten this way support synthetic sovereign bonds: instruments rated at developed-sovereign levels, co-guaranteed by a consortium of developed countries, that reach institutional investors and domestic savings without consuming host-country fiscal space. For countries already in debt distress the same intermediary can sell energy as a pay-as-you-go service rather than financing assets with debt.</w:t>
      </w:r>
    </w:p>
    <w:p>
      <w:pPr>
        <w:pStyle w:val="BodyText"/>
      </w:pPr>
      <w:r>
        <w:rPr>
          <w:iCs/>
          <w:i/>
        </w:rPr>
        <w:t xml:space="preserve">Consolidates three earlier statements of one architecture: the REPIF policy brief with Nils Zimmermann, the SPIFA proposal by Evie Davey, and the synthetic sovereign bonds note, which no longer stands as a paper in its own right.</w:t>
      </w:r>
    </w:p>
    <w:p>
      <w:pPr>
        <w:pStyle w:val="BodyText"/>
      </w:pPr>
      <w:hyperlink r:id="rId31">
        <w:r>
          <w:rPr>
            <w:rStyle w:val="Hyperlink"/>
          </w:rPr>
          <w:t xml:space="preserve">https://climatefiscalfinance.org/papers/ClimateFinanceIntermediationForCleanPower.docx</w:t>
        </w:r>
      </w:hyperlink>
    </w:p>
    <w:bookmarkEnd w:id="32"/>
    <w:bookmarkStart w:id="34" w:name="X2a9b04dbaa274dbe37fbee7b23335bfc46d0829"/>
    <w:p>
      <w:pPr>
        <w:pStyle w:val="Heading2"/>
      </w:pPr>
      <w:r>
        <w:t xml:space="preserve">2.2 The Climate Investment Trust: Equity Funds as Climate and Sovereign Lending Collateral</w:t>
      </w:r>
    </w:p>
    <w:p>
      <w:pPr>
        <w:pStyle w:val="FirstParagraph"/>
      </w:pPr>
      <w:r>
        <w:t xml:space="preserve">Public interventions often support projects one by one without creating reusable collateral or wider financial leverage, and every instrument for lowering the cost of clean power debt assumes equity underneath it that the countries most needing investment do not have. This paper proposes leveraged equity funds that do two jobs with one pool of capital: they invest in projects, and they stand as collateral for risk reduction and credit enhancement elsewhere, including for climate and sovereign lending structures. Organised regionally with the multilateral and regional development banks, such a fund co-invests at the development stage where participation by a credible institution crowds in others, holds the first-loss position in portfolios of operating assets, which converts the debt raised against them into near risk-free paper, and cross-guarantees bonds of projects it does not own, earning a diversification benefit for doing so. The result is a recyclable public balance-sheet instrument that lowers the cost of capital, multiplies scarce concessional resources, and gives domestic savers a deposit-equivalent green instrument in countries with no local-currency capital market. Governance, the price at which first loss is taken, and whether the fund may recycle capital are the questions that decide whether it works.</w:t>
      </w:r>
    </w:p>
    <w:p>
      <w:pPr>
        <w:pStyle w:val="BodyText"/>
      </w:pPr>
      <w:r>
        <w:rPr>
          <w:iCs/>
          <w:i/>
        </w:rPr>
        <w:t xml:space="preserve">Consolidates the Climate Incentives Trust proposal of May 2024 with the equity de-risking work developed from the two-stage climate project finance material with Jasper Zimmermann. Moved here from section 3, because the fund is a risk mechanism before it is an incentive instrument.</w:t>
      </w:r>
    </w:p>
    <w:p>
      <w:pPr>
        <w:pStyle w:val="BodyText"/>
      </w:pPr>
      <w:hyperlink r:id="rId33">
        <w:r>
          <w:rPr>
            <w:rStyle w:val="Hyperlink"/>
          </w:rPr>
          <w:t xml:space="preserve">https://climatefiscalfinance.org/papers/ClimateInvestmentTrust.docx</w:t>
        </w:r>
      </w:hyperlink>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climatefiscalfinance.org/papers/ClimateFinanceIntermediationForCleanPower.docx" TargetMode="External" /><Relationship Type="http://schemas.openxmlformats.org/officeDocument/2006/relationships/hyperlink" Id="rId33" Target="https://climatefiscalfinance.org/papers/ClimateInvestmentTrust.docx" TargetMode="External" /><Relationship Type="http://schemas.openxmlformats.org/officeDocument/2006/relationships/hyperlink" Id="rId20" Target="https://climatefiscalfinance.org/papers/OverviewMobilisingPrivateCapital.docx" TargetMode="External" /></Relationships>
</file>

<file path=word/_rels/footnotes.xml.rels><?xml version="1.0" encoding="UTF-8"?><Relationships xmlns="http://schemas.openxmlformats.org/package/2006/relationships"><Relationship Type="http://schemas.openxmlformats.org/officeDocument/2006/relationships/hyperlink" Id="rId31" Target="https://climatefiscalfinance.org/papers/ClimateFinanceIntermediationForCleanPower.docx" TargetMode="External" /><Relationship Type="http://schemas.openxmlformats.org/officeDocument/2006/relationships/hyperlink" Id="rId33" Target="https://climatefiscalfinance.org/papers/ClimateInvestmentTrust.docx" TargetMode="External" /><Relationship Type="http://schemas.openxmlformats.org/officeDocument/2006/relationships/hyperlink" Id="rId20" Target="https://climatefiscalfinance.org/papers/OverviewMobilisingPrivateCapital.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Mobilising Private Capital for Clean Power</dc:title>
  <dc:creator>Stephen J. Stretton</dc:creator>
  <cp:keywords/>
  <dcterms:created xsi:type="dcterms:W3CDTF">2026-09-17T22:38:01Z</dcterms:created>
  <dcterms:modified xsi:type="dcterms:W3CDTF">2026-09-17T22:38:01Z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Clean generation is cost-competitive with fossil generation across much of the developing world and deploys too slowly. The reason is the cost of capital, and the cost of capital is not a single problem. It is the sum of five distinct risks, each of which has a different owner, a different remedy, and a different institution capable of carrying it: the risk that the buyer of the power does not pay; the risk that the plant is not completed; the risk that the currency moves against the contract; the risk that policy changes; and the plain scarcity of equity against which anything can be leveraged. This paper sets out that taxonomy and maps the mechanisms proposed in the accompanying papers onto it. Payment intermediation removes counterparty risk at its source. Two-stage finance splits construction risk from operating risk and gives each to investors suited to it. Synthetic sovereign bonds carry the derisked operating asset to institutional and domestic savers. Risk-absorbing equity funds supply the first-loss layer that lets any of the rest be leveraged. The Sollar sidesteps the credit question entirely by offering a claim on panels rather than on a borrower. Sovereign incentive instruments, treated separately, act on a different margin again: they change what governments choose to do rather than who bears the consequences.</vt:lpwstr>
  </property>
  <property fmtid="{D5CDD505-2E9C-101B-9397-08002B2CF9AE}" pid="3" name="format">
    <vt:lpwstr/>
  </property>
  <property fmtid="{D5CDD505-2E9C-101B-9397-08002B2CF9AE}" pid="4" name="subtitle">
    <vt:lpwstr>An overview of the risk mechanisms, and how they fit together</vt:lpwstr>
  </property>
</Properties>
</file>