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 Sovereign Bonds for Green Energy Investment</w:t>
      </w:r>
    </w:p>
    <w:p>
      <w:pPr>
        <w:pStyle w:val="Subtitle"/>
      </w:pPr>
      <w:r>
        <w:t xml:space="preserve">Guaranteeing the power purchase agreement, not the debt</w:t>
      </w:r>
    </w:p>
    <w:p>
      <w:pPr>
        <w:pStyle w:val="Author"/>
      </w:pPr>
      <w:r>
        <w:t xml:space="preserve">Stephen J. Stretton</w:t>
      </w:r>
    </w:p>
    <w:p>
      <w:pPr>
        <w:pStyle w:val="AbstractTitle"/>
      </w:pPr>
      <w:r>
        <w:t xml:space="preserve">Abstract</w:t>
      </w:r>
    </w:p>
    <w:p>
      <w:pPr>
        <w:pStyle w:val="Abstract"/>
      </w:pPr>
      <w:r>
        <w:t xml:space="preserve">Renewable generation is now cost-competitive with fossil generation in much of the developing world, yet deployment remains slow because the cost of capital is high. The binding constraint is not the technology but the creditworthiness of the entity contracted to buy the power. This paper proposes that the payment risk be removed at its source. A central counterparty modelled on the Solar Energy Corporation of India would stand between generators and distribution companies, paying generators in full and on time whether or not the distributor has paid. Contracts underwritten in this way generate cash flows secure enough to back bonds rated at developed-sovereign levels, co-guaranteed by a consortium of developed-country governments and arranged through the multilateral development banks. Because the guarantee attaches to the contract rather than to the borrower, the guarantor retains recourse to the distributor and the arrangement consumes little of the host country’s fiscal space. Two design choices determine whether the structure reduces fiscal risk or stores it up: whether tariffs decline over the contract term in line with expected technology costs, and whether the contract is denominated in hard or local currency.</w:t>
      </w:r>
    </w:p>
    <w:bookmarkStart w:id="10" w:name="executive-summary"/>
    <w:p>
      <w:pPr>
        <w:pStyle w:val="Heading1"/>
      </w:pPr>
      <w:r>
        <w:t xml:space="preserve">Executive summary</w:t>
      </w:r>
    </w:p>
    <w:p>
      <w:pPr>
        <w:pStyle w:val="FirstParagraph"/>
      </w:pPr>
      <w:r>
        <w:rPr>
          <w:b/>
          <w:bCs/>
        </w:rPr>
        <w:t xml:space="preserve">Clean power in developing countries is expensive because capital is expensive, not because the technology is.</w:t>
      </w:r>
      <w:r>
        <w:t xml:space="preserve"> </w:t>
      </w:r>
      <w:r>
        <w:t xml:space="preserve">Wind and solar costs fell sharply between 2010 and 2020 and are now competitive with new fossil generation in a growing number of markets, India among them. Solar generation is capital-intensive and has almost no fuel cost, so the levelised cost of the electricity it produces is driven mainly by the rate at which the project can borrow. A project financed at 12 per cent produces materially dearer power than the same project financed at 5 per cent, from identical panels on identical land.</w:t>
      </w:r>
    </w:p>
    <w:p>
      <w:pPr>
        <w:pStyle w:val="BodyText"/>
      </w:pPr>
      <w:r>
        <w:rPr>
          <w:b/>
          <w:bCs/>
        </w:rPr>
        <w:t xml:space="preserve">The risk that sets that rate sits with the buyer of the power, not with the project.</w:t>
      </w:r>
      <w:r>
        <w:t xml:space="preserve"> </w:t>
      </w:r>
      <w:r>
        <w:t xml:space="preserve">Once a solar plant is built and connected, a plant in a sunny location carries little operational risk. What lenders price is the possibility that the distribution company on the other side of the power purchase agreement pays late, pays partially, or does not pay. In India most distribution companies are owned by state governments and many are in poor financial condition for structural political reasons. The generator’s cash flow is only as good as that counterparty.</w:t>
      </w:r>
    </w:p>
    <w:p>
      <w:pPr>
        <w:pStyle w:val="BodyText"/>
      </w:pPr>
      <w:r>
        <w:rPr>
          <w:b/>
          <w:bCs/>
        </w:rPr>
        <w:t xml:space="preserve">The efficient response is to guarantee the contract rather than the debt.</w:t>
      </w:r>
      <w:r>
        <w:t xml:space="preserve"> </w:t>
      </w:r>
      <w:r>
        <w:t xml:space="preserve">Most existing instruments guarantee the borrowing: if the project cannot service its debt, the guarantor pays the lender. That isolates the lender from the risk but leaves the underlying payment problem untouched, and it generally extinguishes any claim on the party that caused the loss. Guaranteeing the power purchase agreement instead removes the risk where it originates, and preserves recourse — a distribution company that cannot pay this year still owes the guarantor, and can pay over time.</w:t>
      </w:r>
    </w:p>
    <w:p>
      <w:pPr>
        <w:pStyle w:val="BodyText"/>
      </w:pPr>
      <w:r>
        <w:rPr>
          <w:b/>
          <w:bCs/>
        </w:rPr>
        <w:t xml:space="preserve">India has already built the institution this requires.</w:t>
      </w:r>
      <w:r>
        <w:t xml:space="preserve"> </w:t>
      </w:r>
      <w:r>
        <w:t xml:space="preserve">The Solar Energy Corporation of India sits between independent power producers and the distribution companies. It contracts with the generator to pay in full and on time for power delivered, and separately sells that power on to the distributors. When the distributors are late, SECI pays the generator anyway, drawing on credit lines with the Reserve Bank of India and on long-term indemnities from state governments. The generator faces SECI’s credit, not the distributor’s.</w:t>
      </w:r>
    </w:p>
    <w:p>
      <w:pPr>
        <w:pStyle w:val="BodyText"/>
      </w:pPr>
      <w:r>
        <w:rPr>
          <w:b/>
          <w:bCs/>
        </w:rPr>
        <w:t xml:space="preserve">Contracts underwritten this way can support bonds rated at developed-sovereign levels.</w:t>
      </w:r>
      <w:r>
        <w:t xml:space="preserve"> </w:t>
      </w:r>
      <w:r>
        <w:t xml:space="preserve">The proposal is for synthetic sovereign bonds: instruments backed by the real assets and by payment guarantees from a highly rated entity, with partial co-guarantee from a consortium of developed-country governments.</w:t>
      </w:r>
      <w:r>
        <w:rPr>
          <w:rStyle w:val="FootnoteReference"/>
        </w:rPr>
        <w:footnoteReference w:id="9"/>
      </w:r>
      <w:r>
        <w:t xml:space="preserve"> </w:t>
      </w:r>
      <w:r>
        <w:t xml:space="preserve">Arranged through the multilateral development banks, they raise capital at scale from international institutional investors and from domestic savings without consuming the host country’s scarce fiscal balance-sheet space.</w:t>
      </w:r>
    </w:p>
    <w:p>
      <w:pPr>
        <w:pStyle w:val="BodyText"/>
      </w:pPr>
      <w:r>
        <w:rPr>
          <w:b/>
          <w:bCs/>
        </w:rPr>
        <w:t xml:space="preserve">Two design choices decide whether the structure reduces fiscal risk or accumulates it.</w:t>
      </w:r>
      <w:r>
        <w:t xml:space="preserve"> </w:t>
      </w:r>
      <w:r>
        <w:t xml:space="preserve">The first is the tariff profile. A twenty-year contract at a flat real price looks prudent and is not: if solar costs halve over the contract’s life, the state is locked into paying twice the prevailing price for the remainder. Contracts whose tariffs decline on a schedule matched to expected cost falls — higher in the early years, lower later — carry the same present value and far less long-run exposure. The second is currency. A contract denominated in hard currency transfers devaluation risk to the host government, in the same way that hard-currency sovereign debt does. A contract in local currency avoids that and is correspondingly less attractive to international investors, which points towards domestic savings as the natural funding base.</w:t>
      </w:r>
    </w:p>
    <w:p>
      <w:pPr>
        <w:pStyle w:val="BodyText"/>
      </w:pPr>
      <w:r>
        <w:rPr>
          <w:b/>
          <w:bCs/>
        </w:rPr>
        <w:t xml:space="preserve">The recommendation is specific.</w:t>
      </w:r>
      <w:r>
        <w:t xml:space="preserve"> </w:t>
      </w:r>
      <w:r>
        <w:t xml:space="preserve">Build SECI-equivalent central counterparties nationally in large markets such as Nigeria or Brazil, and regionally for groups of smaller countries. Use the multilateral development banks to structure them without taking the risk onto their own balance sheets. Pair them with declining tariff schedules and deliberate currency choices. The carbon value of the resulting investment is the basis on which developed countries can justify their share of the guarantee.</w:t>
      </w:r>
    </w:p>
    <w:bookmarkEnd w:id="10"/>
    <w:bookmarkStart w:id="13" w:name="the-problem-is-the-cost-of-capital"/>
    <w:p>
      <w:pPr>
        <w:pStyle w:val="Heading1"/>
      </w:pPr>
      <w:r>
        <w:t xml:space="preserve">1. The problem is the cost of capital</w:t>
      </w:r>
    </w:p>
    <w:p>
      <w:pPr>
        <w:pStyle w:val="FirstParagraph"/>
      </w:pPr>
      <w:r>
        <w:rPr>
          <w:b/>
          <w:bCs/>
        </w:rPr>
        <w:t xml:space="preserve">Renewable generation has won the cost argument and is still deploying too slowly.</w:t>
      </w:r>
      <w:r>
        <w:t xml:space="preserve"> </w:t>
      </w:r>
      <w:r>
        <w:t xml:space="preserve">The costs of wind and solar fell dramatically over the decade to 2020 and are competitive with fossil fuels for new investment in a growing number of regions. Recent increases driven by supply-chain pressure and anticipated mineral constraints have not reversed the trend, and solar is expected to continue falling in price.</w:t>
      </w:r>
    </w:p>
    <w:p>
      <w:pPr>
        <w:pStyle w:val="BodyText"/>
      </w:pPr>
      <w:r>
        <w:rPr>
          <w:b/>
          <w:bCs/>
        </w:rPr>
        <w:t xml:space="preserve">The scale required is large enough that financing terms, not technology costs, become the binding constraint.</w:t>
      </w:r>
      <w:r>
        <w:t xml:space="preserve"> </w:t>
      </w:r>
      <w:r>
        <w:t xml:space="preserve">The International Energy Agency puts global clean energy investment at around $3 trillion a year by 2030 if the Paris goals are to be met, of which roughly one third is needed directly for energy supply, principally renewables (IEA 2021a, 2021b). That investment splits roughly equally between China, the developed world and the developing world. It has to be raised in developing countries under fiscal conditions tightened by the pandemic and by energy price shocks, and in sectors where the state and the multilateral development banks already carry an outsized role — generation and distribution are frequently state-owned, and markets, where they exist, are designed and regulated by government agencies.</w:t>
      </w:r>
    </w:p>
    <w:p>
      <w:pPr>
        <w:pStyle w:val="BodyText"/>
      </w:pPr>
      <w:r>
        <w:rPr>
          <w:b/>
          <w:bCs/>
        </w:rPr>
        <w:t xml:space="preserve">For a capital-intensive technology with no fuel cost, the discount rate is most of the price.</w:t>
      </w:r>
      <w:r>
        <w:t xml:space="preserve"> </w:t>
      </w:r>
      <w:r>
        <w:t xml:space="preserve">A solar plant’s lifetime cost is almost entirely the cost of building it, spread across the electricity it produces. The rate at which that capital is borrowed therefore passes almost directly into the tariff. Reducing the borrowing rate is economically equivalent to a large reduction in capital cost, and is available immediately rather than waiting on further technology improvement.</w:t>
      </w:r>
    </w:p>
    <w:p>
      <w:pPr>
        <w:pStyle w:val="BodyText"/>
      </w:pPr>
      <w:r>
        <w:rPr>
          <w:b/>
          <w:bCs/>
        </w:rPr>
        <w:t xml:space="preserve">Renewables also face a scaling problem that financing sits in the middle of.</w:t>
      </w:r>
      <w:r>
        <w:t xml:space="preserve"> </w:t>
      </w:r>
      <w:r>
        <w:t xml:space="preserve">Moving from a relatively small sector to the bulk of primary energy supply, on the timescale the temperature targets imply, requires the system to expand faster than it would of its own accord. Some constraints are physical — grid connections, supply chains, mineral resources and the pace at which mines can open,</w:t>
      </w:r>
      <w:r>
        <w:rPr>
          <w:rStyle w:val="FootnoteReference"/>
        </w:rPr>
        <w:footnoteReference w:id="11"/>
      </w:r>
      <w:r>
        <w:t xml:space="preserve"> </w:t>
      </w:r>
      <w:r>
        <w:t xml:space="preserve">land, labour. Among the constraints that are not physical, the capacity to originate and finance low-cost renewable projects at speed is the most important.</w:t>
      </w:r>
    </w:p>
    <w:bookmarkEnd w:id="13"/>
    <w:bookmarkStart w:id="14" w:name="the-risk-sits-with-the-offtaker"/>
    <w:p>
      <w:pPr>
        <w:pStyle w:val="Heading1"/>
      </w:pPr>
      <w:r>
        <w:t xml:space="preserve">2. The risk sits with the offtaker</w:t>
      </w:r>
    </w:p>
    <w:p>
      <w:pPr>
        <w:pStyle w:val="FirstParagraph"/>
      </w:pPr>
      <w:r>
        <w:rPr>
          <w:b/>
          <w:bCs/>
        </w:rPr>
        <w:t xml:space="preserve">Power purchase agreements exist to give a capital-intensive project revenue certainty, and they work only as well as the party on the other side.</w:t>
      </w:r>
      <w:r>
        <w:t xml:space="preserve"> </w:t>
      </w:r>
      <w:r>
        <w:t xml:space="preserve">Contract terms may be set administratively, through feed-in tariffs, or competitively, through reverse auctions in which suppliers bid down the price per megawatt-hour for a contract of fifteen or twenty years. The mechanism is used across market structures, from state monopolies to fully liberalised systems: the United Kingdom runs reverse auctions for offshore wind that define contracts for difference, paying generators the gap between the market price and an auctioned strike price.</w:t>
      </w:r>
    </w:p>
    <w:p>
      <w:pPr>
        <w:pStyle w:val="BodyText"/>
      </w:pPr>
      <w:r>
        <w:rPr>
          <w:b/>
          <w:bCs/>
        </w:rPr>
        <w:t xml:space="preserve">These contracts serve two purposes that are worth separating.</w:t>
      </w:r>
      <w:r>
        <w:t xml:space="preserve"> </w:t>
      </w:r>
      <w:r>
        <w:t xml:space="preserve">Historically they have been used to subsidise renewables. Increasingly their more important function is to reduce financing costs by removing revenue uncertainty. Because renewable costs are overwhelmingly fixed rather than variable, a long-term fixed-price contract matches the underlying economics rather than distorting them.</w:t>
      </w:r>
    </w:p>
    <w:p>
      <w:pPr>
        <w:pStyle w:val="BodyText"/>
      </w:pPr>
      <w:r>
        <w:rPr>
          <w:b/>
          <w:bCs/>
        </w:rPr>
        <w:t xml:space="preserve">The credit quality of the payer is what the lender actually prices.</w:t>
      </w:r>
      <w:r>
        <w:t xml:space="preserve"> </w:t>
      </w:r>
      <w:r>
        <w:t xml:space="preserve">A distribution company in structural financial difficulty makes every project that sells to it expensive to finance, regardless of how well the project itself is built or how good the resource is. This is the mechanism by which a weak utility balance sheet raises the cost of clean power across an entire country.</w:t>
      </w:r>
    </w:p>
    <w:bookmarkEnd w:id="14"/>
    <w:bookmarkStart w:id="15" w:name="guarantee-the-contract-not-the-debt"/>
    <w:p>
      <w:pPr>
        <w:pStyle w:val="Heading1"/>
      </w:pPr>
      <w:r>
        <w:t xml:space="preserve">3. Guarantee the contract, not the debt</w:t>
      </w:r>
    </w:p>
    <w:p>
      <w:pPr>
        <w:pStyle w:val="FirstParagraph"/>
      </w:pPr>
      <w:r>
        <w:rPr>
          <w:b/>
          <w:bCs/>
        </w:rPr>
        <w:t xml:space="preserve">Guaranteeing the borrowing and guaranteeing the contract look similar and behave differently.</w:t>
      </w:r>
      <w:r>
        <w:t xml:space="preserve"> </w:t>
      </w:r>
      <w:r>
        <w:t xml:space="preserve">Under a debt guarantee, the guarantor pays the lender when the project cannot. The lender is protected. The payment failure that caused the problem is untouched, and the guarantor is generally left without a practical claim against the party responsible, absent a considerably more complex structure.</w:t>
      </w:r>
    </w:p>
    <w:p>
      <w:pPr>
        <w:pStyle w:val="BodyText"/>
      </w:pPr>
      <w:r>
        <w:rPr>
          <w:b/>
          <w:bCs/>
        </w:rPr>
        <w:t xml:space="preserve">Guaranteeing the power purchase agreement removes the risk at source and keeps the claim alive.</w:t>
      </w:r>
      <w:r>
        <w:t xml:space="preserve"> </w:t>
      </w:r>
      <w:r>
        <w:t xml:space="preserve">The generator is paid on time by the central counterparty. The counterparty is then owed by the distribution company, and can pursue that debt over a horizon far longer than any single project’s cash-flow crisis. A distributor short of money this quarter still owes the money; the obligation is deferred rather than written off. Isolating the payment risk in this way also separates it cleanly from construction risk, resource risk and market risk, each of which can then be priced and allocated on its own terms.</w:t>
      </w:r>
    </w:p>
    <w:p>
      <w:pPr>
        <w:pStyle w:val="BodyText"/>
      </w:pPr>
      <w:r>
        <w:rPr>
          <w:b/>
          <w:bCs/>
        </w:rPr>
        <w:t xml:space="preserve">This is the respect in which the present proposal differs from existing instruments.</w:t>
      </w:r>
      <w:r>
        <w:t xml:space="preserve"> </w:t>
      </w:r>
      <w:r>
        <w:t xml:space="preserve">The guarantee attaches to the offtake contract rather than to the financing, so the effect reaches every project selling into the same counterparty rather than one deal at a time.</w:t>
      </w:r>
    </w:p>
    <w:bookmarkEnd w:id="15"/>
    <w:bookmarkStart w:id="16" w:name="the-seci-model"/>
    <w:p>
      <w:pPr>
        <w:pStyle w:val="Heading1"/>
      </w:pPr>
      <w:r>
        <w:t xml:space="preserve">4. The SECI model</w:t>
      </w:r>
    </w:p>
    <w:p>
      <w:pPr>
        <w:pStyle w:val="FirstParagraph"/>
      </w:pPr>
      <w:r>
        <w:rPr>
          <w:b/>
          <w:bCs/>
        </w:rPr>
        <w:t xml:space="preserve">India routes some solar contracts through a highly rated central auctioning company, and the arrangement does exactly this.</w:t>
      </w:r>
      <w:r>
        <w:t xml:space="preserve"> </w:t>
      </w:r>
      <w:r>
        <w:t xml:space="preserve">The Solar Energy Corporation of India acts as intermediary between wholesale purchasers — the state-owned distribution companies — and generators, whether independent power producers or partially state-owned generation companies. SECI contracts with the generator to make timely payment for delivered power, and contracts separately with the distributors to sell it on.</w:t>
      </w:r>
    </w:p>
    <w:p>
      <w:pPr>
        <w:pStyle w:val="BodyText"/>
      </w:pPr>
      <w:r>
        <w:rPr>
          <w:b/>
          <w:bCs/>
        </w:rPr>
        <w:t xml:space="preserve">When the distributors pay late, SECI pays the generator regardless.</w:t>
      </w:r>
      <w:r>
        <w:t xml:space="preserve"> </w:t>
      </w:r>
      <w:r>
        <w:t xml:space="preserve">It can do so because it holds credit lines with the Reserve Bank of India and long-term indemnities from state governments. The counterparty risk that would otherwise sit on every generator’s balance sheet is pooled in a single institution that is better placed to carry it and better placed to collect.</w:t>
      </w:r>
    </w:p>
    <w:p>
      <w:pPr>
        <w:pStyle w:val="BodyText"/>
      </w:pPr>
      <w:r>
        <w:rPr>
          <w:b/>
          <w:bCs/>
        </w:rPr>
        <w:t xml:space="preserve">The institutional innovation, not the subsidy, is what lowers the cost of capital here.</w:t>
      </w:r>
      <w:r>
        <w:t xml:space="preserve"> </w:t>
      </w:r>
      <w:r>
        <w:t xml:space="preserve">No money changes hands unless a distributor fails to pay on time. What the structure supplies is credit quality, and credit quality is what the tariff is mostly paying for.</w:t>
      </w:r>
    </w:p>
    <w:bookmarkEnd w:id="16"/>
    <w:bookmarkStart w:id="19" w:name="scaling-the-model"/>
    <w:p>
      <w:pPr>
        <w:pStyle w:val="Heading1"/>
      </w:pPr>
      <w:r>
        <w:t xml:space="preserve">5. Scaling the model</w:t>
      </w:r>
    </w:p>
    <w:p>
      <w:pPr>
        <w:pStyle w:val="FirstParagraph"/>
      </w:pPr>
      <w:r>
        <w:rPr>
          <w:b/>
          <w:bCs/>
        </w:rPr>
        <w:t xml:space="preserve">Large markets can build the institution nationally.</w:t>
      </w:r>
      <w:r>
        <w:t xml:space="preserve"> </w:t>
      </w:r>
      <w:r>
        <w:t xml:space="preserve">Nigeria and Brazil are each large enough to support a SECI-equivalent central counterparty on their own, with sufficient project flow to make the pooling of distributor risk meaningful.</w:t>
      </w:r>
    </w:p>
    <w:p>
      <w:pPr>
        <w:pStyle w:val="BodyText"/>
      </w:pPr>
      <w:r>
        <w:rPr>
          <w:b/>
          <w:bCs/>
        </w:rPr>
        <w:t xml:space="preserve">Smaller countries need to share one.</w:t>
      </w:r>
      <w:r>
        <w:t xml:space="preserve"> </w:t>
      </w:r>
      <w:r>
        <w:t xml:space="preserve">A regional institution serving a club of neighbouring states achieves the diversification that makes the counterparty creditworthy, and spreads the fixed cost of the contracting expertise across enough projects to be worth building.</w:t>
      </w:r>
    </w:p>
    <w:p>
      <w:pPr>
        <w:pStyle w:val="BodyText"/>
      </w:pPr>
      <w:r>
        <w:rPr>
          <w:b/>
          <w:bCs/>
        </w:rPr>
        <w:t xml:space="preserve">The multilateral development banks are the natural arrangers, and need not take the risk onto their own balance sheets.</w:t>
      </w:r>
      <w:r>
        <w:t xml:space="preserve"> </w:t>
      </w:r>
      <w:r>
        <w:t xml:space="preserve">Their contribution is the structuring, the contractual standard-setting and the convening of the guarantor consortium. This matters because balance-sheet capacity is the scarcest thing the MDBs have, and the structure is designed to economise on it.</w:t>
      </w:r>
    </w:p>
    <w:p>
      <w:pPr>
        <w:pStyle w:val="BodyText"/>
      </w:pPr>
      <w:r>
        <w:rPr>
          <w:b/>
          <w:bCs/>
        </w:rPr>
        <w:t xml:space="preserve">The arrangement is most secure for operating assets.</w:t>
      </w:r>
      <w:r>
        <w:t xml:space="preserve"> </w:t>
      </w:r>
      <w:r>
        <w:t xml:space="preserve">Bonds financing portfolios of completed, connected plants face contracted cash flows and a guaranteed payer, and very little else. That is the population for which a developed-sovereign rating is realistic, and it suggests a natural division of labour: banks carry the construction phase, bond markets refinance once the plant is running.</w:t>
      </w:r>
    </w:p>
    <w:p>
      <w:pPr>
        <w:pStyle w:val="BodyText"/>
      </w:pPr>
      <w:r>
        <w:rPr>
          <w:b/>
          <w:bCs/>
        </w:rPr>
        <w:t xml:space="preserve">The carbon value of the investment is what justifies the developed-country guarantee.</w:t>
      </w:r>
      <w:r>
        <w:t xml:space="preserve"> </w:t>
      </w:r>
      <w:r>
        <w:t xml:space="preserve">A certified measure of the carbon avoided gives the guarantors something to point to. Paragraph 108 of the Paris decision refers to the social value of mitigation activities, which offers a legal basis for recognising that value within these institutions.</w:t>
      </w:r>
      <w:r>
        <w:rPr>
          <w:rStyle w:val="FootnoteReference"/>
        </w:rPr>
        <w:footnoteReference w:id="17"/>
      </w:r>
    </w:p>
    <w:bookmarkEnd w:id="19"/>
    <w:bookmarkStart w:id="22" w:name="Xfaa6e23ac14f9e9447025a5efa65dcf15ecac95"/>
    <w:p>
      <w:pPr>
        <w:pStyle w:val="Heading1"/>
      </w:pPr>
      <w:r>
        <w:t xml:space="preserve">6. Two design choices that determine fiscal risk</w:t>
      </w:r>
    </w:p>
    <w:bookmarkStart w:id="20" w:name="declining-tariffs"/>
    <w:p>
      <w:pPr>
        <w:pStyle w:val="Heading2"/>
      </w:pPr>
      <w:r>
        <w:t xml:space="preserve">6.1 Declining tariffs</w:t>
      </w:r>
    </w:p>
    <w:p>
      <w:pPr>
        <w:pStyle w:val="FirstParagraph"/>
      </w:pPr>
      <w:r>
        <w:rPr>
          <w:b/>
          <w:bCs/>
        </w:rPr>
        <w:t xml:space="preserve">A flat real-terms tariff over twenty years looks conservative and creates a growing liability.</w:t>
      </w:r>
      <w:r>
        <w:t xml:space="preserve"> </w:t>
      </w:r>
      <w:r>
        <w:t xml:space="preserve">Take a contract signed at 5 cents per kilowatt-hour in 2023, fixed in real terms to 2043. If the cost of new solar falls to 2.5 cents by 2030, the state is contracted from that point onward to pay double the prevailing price for the remaining thirteen years. The loss is not an accident of the contract going wrong; it is what the contract was designed to do.</w:t>
      </w:r>
    </w:p>
    <w:p>
      <w:pPr>
        <w:pStyle w:val="BodyText"/>
      </w:pPr>
      <w:r>
        <w:rPr>
          <w:b/>
          <w:bCs/>
        </w:rPr>
        <w:t xml:space="preserve">A declining schedule carries the same present value and much less long-run exposure.</w:t>
      </w:r>
      <w:r>
        <w:t xml:space="preserve"> </w:t>
      </w:r>
      <w:r>
        <w:t xml:space="preserve">Contracting at 6 cents now, falling to 3 cents by 2030, front-loads the payment into the period when renewable costs genuinely are high and steps down as they fall. Auctions can be run on a declining profile as readily as a flat one. The illustrative figures here are for shape rather than level; the schedule should be set against whatever cost trajectory the market expects at the time of the auction.</w:t>
      </w:r>
    </w:p>
    <w:p>
      <w:pPr>
        <w:pStyle w:val="BodyText"/>
      </w:pPr>
      <w:r>
        <w:rPr>
          <w:b/>
          <w:bCs/>
        </w:rPr>
        <w:t xml:space="preserve">Guaranteeing the contract makes this design choice more important, not less.</w:t>
      </w:r>
      <w:r>
        <w:t xml:space="preserve"> </w:t>
      </w:r>
      <w:r>
        <w:t xml:space="preserve">A guarantee converts a commercial obligation into something closer to a public one, so the terms being guaranteed had better be terms the public balance sheet can live with for two decades.</w:t>
      </w:r>
    </w:p>
    <w:bookmarkEnd w:id="20"/>
    <w:bookmarkStart w:id="21" w:name="currency-denomination"/>
    <w:p>
      <w:pPr>
        <w:pStyle w:val="Heading2"/>
      </w:pPr>
      <w:r>
        <w:t xml:space="preserve">6.2 Currency denomination</w:t>
      </w:r>
    </w:p>
    <w:p>
      <w:pPr>
        <w:pStyle w:val="FirstParagraph"/>
      </w:pPr>
      <w:r>
        <w:rPr>
          <w:b/>
          <w:bCs/>
        </w:rPr>
        <w:t xml:space="preserve">A hard-currency power purchase agreement transfers devaluation risk to the host government.</w:t>
      </w:r>
      <w:r>
        <w:t xml:space="preserve"> </w:t>
      </w:r>
      <w:r>
        <w:t xml:space="preserve">The mechanism is the same one that makes hard-currency sovereign debt dangerous: obligations are fixed in dollars while the revenue backing them is earned in local currency, so a depreciation raises the real cost of the contract exactly when the economy can least absorb it. Over a twenty-year term this is a material fiscal exposure, and declining tariff profiles mitigate it as well.</w:t>
      </w:r>
    </w:p>
    <w:p>
      <w:pPr>
        <w:pStyle w:val="BodyText"/>
      </w:pPr>
      <w:r>
        <w:rPr>
          <w:b/>
          <w:bCs/>
        </w:rPr>
        <w:t xml:space="preserve">A local-currency contract avoids that and narrows the investor base.</w:t>
      </w:r>
      <w:r>
        <w:t xml:space="preserve"> </w:t>
      </w:r>
      <w:r>
        <w:t xml:space="preserve">Assets denominated in a weak local currency are unattractive to international institutional investors. They may nonetheless be well suited to mobilising domestic savings, which is a legitimate objective in its own right and one the bond structure can be designed around. The choice is a real trade-off and should be made deliberately rather than by default.</w:t>
      </w:r>
    </w:p>
    <w:bookmarkEnd w:id="21"/>
    <w:bookmarkEnd w:id="22"/>
    <w:bookmarkStart w:id="23" w:name="conclusion"/>
    <w:p>
      <w:pPr>
        <w:pStyle w:val="Heading1"/>
      </w:pPr>
      <w:r>
        <w:t xml:space="preserve">7. Conclusion</w:t>
      </w:r>
    </w:p>
    <w:p>
      <w:pPr>
        <w:pStyle w:val="FirstParagraph"/>
      </w:pPr>
      <w:r>
        <w:rPr>
          <w:b/>
          <w:bCs/>
        </w:rPr>
        <w:t xml:space="preserve">Cost of capital and investment risk, not technology cost, are now the main barriers to clean power investment in developing countries.</w:t>
      </w:r>
      <w:r>
        <w:t xml:space="preserve"> </w:t>
      </w:r>
      <w:r>
        <w:t xml:space="preserve">A financing model that removes the payment risk at its source addresses the binding constraint directly.</w:t>
      </w:r>
    </w:p>
    <w:p>
      <w:pPr>
        <w:pStyle w:val="BodyText"/>
      </w:pPr>
      <w:r>
        <w:rPr>
          <w:b/>
          <w:bCs/>
        </w:rPr>
        <w:t xml:space="preserve">The central counterparty is the piece that has been demonstrated.</w:t>
      </w:r>
      <w:r>
        <w:t xml:space="preserve"> </w:t>
      </w:r>
      <w:r>
        <w:t xml:space="preserve">SECI shows that an expert agency standing between generators and distributors, backed by central bank credit lines and state indemnities, can convert weak counterparty credit into contracts strong enough to finance against. Replicating it nationally in large markets and regionally among smaller ones is an institutional task rather than a technological or a fiscal one.</w:t>
      </w:r>
    </w:p>
    <w:p>
      <w:pPr>
        <w:pStyle w:val="BodyText"/>
      </w:pPr>
      <w:r>
        <w:rPr>
          <w:b/>
          <w:bCs/>
        </w:rPr>
        <w:t xml:space="preserve">Contracts underwritten in this way can back highly rated bonds and deposit-like instruments,</w:t>
      </w:r>
      <w:r>
        <w:t xml:space="preserve"> </w:t>
      </w:r>
      <w:r>
        <w:t xml:space="preserve">giving international institutional investors and domestic savers a safe, high-rated product and giving green infrastructure a source of capital that does not run through the host country’s fiscal space.</w:t>
      </w:r>
    </w:p>
    <w:bookmarkEnd w:id="23"/>
    <w:bookmarkStart w:id="27" w:name="appendix-a-bond-structure"/>
    <w:p>
      <w:pPr>
        <w:pStyle w:val="Heading1"/>
      </w:pPr>
      <w:r>
        <w:t xml:space="preserve">Appendix A: Bond structure</w:t>
      </w:r>
    </w:p>
    <w:bookmarkStart w:id="24" w:name="a.1-priority-of-claim-on-cash-flows"/>
    <w:p>
      <w:pPr>
        <w:pStyle w:val="Heading2"/>
      </w:pPr>
      <w:r>
        <w:t xml:space="preserve">A.1 Priority of claim on cash flows</w:t>
      </w:r>
    </w:p>
    <w:p>
      <w:pPr>
        <w:pStyle w:val="FirstParagraph"/>
      </w:pPr>
      <w:r>
        <w:t xml:space="preserve">A securitisation arrangement can route the guaranteed cash flows from the power purchase agreement directly to bondholders, so that holders are exposed to the credit of the guaranteeing intermediary rather than to the project developer. Once a plant is complete and connected, and the price is guaranteed, little business risk remains to be allocated.</w:t>
      </w:r>
    </w:p>
    <w:bookmarkEnd w:id="24"/>
    <w:bookmarkStart w:id="25" w:name="a.2-construction-risk"/>
    <w:p>
      <w:pPr>
        <w:pStyle w:val="Heading2"/>
      </w:pPr>
      <w:r>
        <w:t xml:space="preserve">A.2 Construction risk</w:t>
      </w:r>
    </w:p>
    <w:p>
      <w:pPr>
        <w:pStyle w:val="FirstParagraph"/>
      </w:pPr>
      <w:r>
        <w:t xml:space="preserve">Construction is the phase where the risk actually concentrates, and it is poorly suited to bond investors. The natural structure is bank finance during construction, refinanced into the bond market once the plant is operating. This keeps the bond issue confined to the population of assets whose risk profile supports a high rating.</w:t>
      </w:r>
    </w:p>
    <w:bookmarkEnd w:id="25"/>
    <w:bookmarkStart w:id="26" w:name="a.3-secondary-guarantees"/>
    <w:p>
      <w:pPr>
        <w:pStyle w:val="Heading2"/>
      </w:pPr>
      <w:r>
        <w:t xml:space="preserve">A.3 Secondary guarantees</w:t>
      </w:r>
    </w:p>
    <w:p>
      <w:pPr>
        <w:pStyle w:val="FirstParagraph"/>
      </w:pPr>
      <w:r>
        <w:t xml:space="preserve">The primary guarantee from the central counterparty is unlikely to be sufficient on its own for a top rating. One option is a dual-use equity fund that co-invests in projects and, for a fee, cross-guarantees the bonds of other projects, earning a diversification benefit. Above that first-loss layer, a final guarantor — a developed-market sovereign, or a reinsurer such as Swiss Re or Munich Re — would complete the structure.</w:t>
      </w:r>
    </w:p>
    <w:bookmarkEnd w:id="26"/>
    <w:bookmarkEnd w:id="27"/>
    <w:bookmarkStart w:id="28" w:name="X3b0bba27c0f811eff2325777210c2e451019d8e"/>
    <w:p>
      <w:pPr>
        <w:pStyle w:val="Heading1"/>
      </w:pPr>
      <w:r>
        <w:t xml:space="preserve">Appendix B: Trade balance and industrial capability</w:t>
      </w:r>
    </w:p>
    <w:p>
      <w:pPr>
        <w:pStyle w:val="FirstParagraph"/>
      </w:pPr>
      <w:r>
        <w:t xml:space="preserve">Currency risk has a real-economy counterpart in the import content of renewable equipment. A large deployment programme financed from abroad and supplied from abroad shows up in the trade balance. Supply chain and industrial policy measures, applied at least at regional scale, can ensure that manufacturing and installation capability is built alongside deployed capacity rather than after it.</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relates to the idea of a climate club.</w:t>
      </w:r>
    </w:p>
  </w:footnote>
  <w:footnote w:id="11">
    <w:p>
      <w:pPr>
        <w:pStyle w:val="FootnoteText"/>
      </w:pPr>
      <w:r>
        <w:rPr>
          <w:rStyle w:val="FootnoteReference"/>
        </w:rPr>
        <w:footnoteRef/>
      </w:r>
      <w:r>
        <w:t xml:space="preserve"> </w:t>
      </w:r>
      <w:r>
        <w:t xml:space="preserve">See the IEA’s work on the role of critical minerals in clean energy transitions:</w:t>
      </w:r>
      <w:r>
        <w:t xml:space="preserve"> </w:t>
      </w:r>
      <w:hyperlink r:id="rId12">
        <w:r>
          <w:rPr>
            <w:rStyle w:val="Hyperlink"/>
          </w:rPr>
          <w:t xml:space="preserve">https://www.iea.org/reports/the-role-of-critical-minerals-in-clean-energy-transitions</w:t>
        </w:r>
      </w:hyperlink>
    </w:p>
  </w:footnote>
  <w:footnote w:id="17">
    <w:p>
      <w:pPr>
        <w:pStyle w:val="FootnoteText"/>
      </w:pPr>
      <w:r>
        <w:rPr>
          <w:rStyle w:val="FootnoteReference"/>
        </w:rPr>
        <w:footnoteRef/>
      </w:r>
      <w:r>
        <w:t xml:space="preserve"> </w:t>
      </w:r>
      <w:r>
        <w:t xml:space="preserve">See the Green Climate Fund’s report on scaling climate finance in the context of COVID-19:</w:t>
      </w:r>
      <w:r>
        <w:t xml:space="preserve"> </w:t>
      </w:r>
      <w:hyperlink r:id="rId18">
        <w:r>
          <w:rPr>
            <w:rStyle w:val="Hyperlink"/>
          </w:rPr>
          <w:t xml:space="preserve">https://www.greenclimate.fund/sites/default/files/document/scaling-climate-finance-context-covid-19-full-report_0.pdf</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ww.greenclimate.fund/sites/default/files/document/scaling-climate-finance-context-covid-19-full-report_0.pdf" TargetMode="External" /><Relationship Type="http://schemas.openxmlformats.org/officeDocument/2006/relationships/hyperlink" Id="rId12" Target="https://www.iea.org/reports/the-role-of-critical-minerals-in-clean-energy-transitions" TargetMode="External" /></Relationships>
</file>

<file path=word/_rels/footnotes.xml.rels><?xml version="1.0" encoding="UTF-8"?><Relationships xmlns="http://schemas.openxmlformats.org/package/2006/relationships"><Relationship Type="http://schemas.openxmlformats.org/officeDocument/2006/relationships/hyperlink" Id="rId18" Target="https://www.greenclimate.fund/sites/default/files/document/scaling-climate-finance-context-covid-19-full-report_0.pdf" TargetMode="External" /><Relationship Type="http://schemas.openxmlformats.org/officeDocument/2006/relationships/hyperlink" Id="rId12" Target="https://www.iea.org/reports/the-role-of-critical-minerals-in-clean-energy-trans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Sovereign Bonds for Green Energy Investment</dc:title>
  <dc:creator>Stephen J. Stretton</dc:creator>
  <cp:keywords/>
  <dcterms:created xsi:type="dcterms:W3CDTF">2026-09-17T20:12:18Z</dcterms:created>
  <dcterms:modified xsi:type="dcterms:W3CDTF">2026-09-17T20:12:18Z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Renewable generation is now cost-competitive with fossil generation in much of the developing world, yet deployment remains slow because the cost of capital is high. The binding constraint is not the technology but the creditworthiness of the entity contracted to buy the power. This paper proposes that the payment risk be removed at its source. A central counterparty modelled on the Solar Energy Corporation of India would stand between generators and distribution companies, paying generators in full and on time whether or not the distributor has paid. Contracts underwritten in this way generate cash flows secure enough to back bonds rated at developed-sovereign levels, co-guaranteed by a consortium of developed-country governments and arranged through the multilateral development banks. Because the guarantee attaches to the contract rather than to the borrower, the guarantor retains recourse to the distributor and the arrangement consumes little of the host country’s fiscal space. Two design choices determine whether the structure reduces fiscal risk or stores it up: whether tariffs decline over the contract term in line with expected technology costs, and whether the contract is denominated in hard or local currency.</vt:lpwstr>
  </property>
  <property fmtid="{D5CDD505-2E9C-101B-9397-08002B2CF9AE}" pid="3" name="format">
    <vt:lpwstr/>
  </property>
  <property fmtid="{D5CDD505-2E9C-101B-9397-08002B2CF9AE}" pid="4" name="subtitle">
    <vt:lpwstr>Guaranteeing the power purchase agreement, not the debt</vt:lpwstr>
  </property>
</Properties>
</file>