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Pr="004B3881" w:rsidR="00B71F5B" w:rsidP="00B71F5B" w:rsidRDefault="00B71F5B" w14:paraId="5B4BA859" w14:textId="34FCC782">
      <w:pPr>
        <w:spacing w:line="360" w:lineRule="auto"/>
        <w:jc w:val="center"/>
        <w:rPr>
          <w:rFonts w:ascii="Times New Roman" w:hAnsi="Times New Roman" w:eastAsia="Calibri" w:cs="Times New Roman"/>
          <w:b/>
          <w:color w:val="0E367D"/>
          <w:sz w:val="24"/>
          <w:szCs w:val="24"/>
        </w:rPr>
      </w:pPr>
    </w:p>
    <w:p w:rsidRPr="004B3881" w:rsidR="00D828B9" w:rsidP="3D21F7DA" w:rsidRDefault="009C06C3" w14:paraId="10B3BE89" w14:textId="78064B88">
      <w:pPr>
        <w:pStyle w:val="Normal"/>
        <w:spacing w:line="360" w:lineRule="auto"/>
        <w:jc w:val="center"/>
        <w:rPr>
          <w:rFonts w:ascii="Times New Roman" w:hAnsi="Times New Roman" w:eastAsia="Calibri" w:cs="Times New Roman"/>
          <w:b w:val="1"/>
          <w:bCs w:val="1"/>
          <w:color w:val="0E367D"/>
          <w:sz w:val="32"/>
          <w:szCs w:val="32"/>
        </w:rPr>
      </w:pPr>
      <w:r w:rsidRPr="3D21F7DA" w:rsidR="009C06C3">
        <w:rPr>
          <w:rFonts w:ascii="Times New Roman" w:hAnsi="Times New Roman" w:eastAsia="Calibri" w:cs="Times New Roman"/>
          <w:b w:val="1"/>
          <w:bCs w:val="1"/>
          <w:color w:val="0E367D"/>
          <w:sz w:val="32"/>
          <w:szCs w:val="32"/>
        </w:rPr>
        <w:t>Proposal for a Global Solar Economy Financing System</w:t>
      </w:r>
    </w:p>
    <w:p w:rsidRPr="004B3881" w:rsidR="00D828B9" w:rsidP="00B71F5B" w:rsidRDefault="009C06C3" w14:paraId="5AA139E7" w14:textId="77777777">
      <w:pPr>
        <w:pBdr>
          <w:bottom w:val="single" w:color="auto" w:sz="4" w:space="1"/>
        </w:pBdr>
        <w:spacing w:line="360" w:lineRule="auto"/>
        <w:jc w:val="center"/>
        <w:rPr>
          <w:rFonts w:ascii="Times New Roman" w:hAnsi="Times New Roman" w:cs="Times New Roman"/>
          <w:i/>
          <w:iCs/>
          <w:sz w:val="28"/>
          <w:szCs w:val="28"/>
        </w:rPr>
      </w:pPr>
      <w:r w:rsidRPr="004B3881">
        <w:rPr>
          <w:rFonts w:ascii="Times New Roman" w:hAnsi="Times New Roman" w:cs="Times New Roman"/>
          <w:i/>
          <w:iCs/>
          <w:sz w:val="28"/>
          <w:szCs w:val="28"/>
        </w:rPr>
        <w:t>September 2023</w:t>
      </w:r>
    </w:p>
    <w:p w:rsidRPr="004B3881" w:rsidR="00D828B9" w:rsidP="00B71F5B" w:rsidRDefault="00B71F5B" w14:paraId="76372C3B" w14:textId="7E59A41C">
      <w:pPr>
        <w:pBdr>
          <w:bottom w:val="single" w:color="auto" w:sz="4" w:space="1"/>
        </w:pBdr>
        <w:spacing w:line="360" w:lineRule="auto"/>
        <w:jc w:val="center"/>
        <w:rPr>
          <w:rFonts w:ascii="Times New Roman" w:hAnsi="Times New Roman" w:cs="Times New Roman"/>
          <w:i/>
          <w:iCs/>
          <w:sz w:val="28"/>
          <w:szCs w:val="28"/>
        </w:rPr>
      </w:pPr>
      <w:r w:rsidRPr="004B3881">
        <w:rPr>
          <w:rFonts w:ascii="Times New Roman" w:hAnsi="Times New Roman" w:cs="Times New Roman"/>
          <w:i/>
          <w:iCs/>
          <w:sz w:val="28"/>
          <w:szCs w:val="28"/>
        </w:rPr>
        <w:t>Stephen Stretton, Nils Zimmermann, Pablo Salas, Claudio Forner</w:t>
      </w:r>
    </w:p>
    <w:p w:rsidRPr="004B3881" w:rsidR="00B71F5B" w:rsidP="00B71F5B" w:rsidRDefault="00B71F5B" w14:paraId="3A567A58" w14:textId="49428B8C">
      <w:pPr>
        <w:jc w:val="center"/>
        <w:rPr>
          <w:rFonts w:ascii="Times New Roman" w:hAnsi="Times New Roman" w:cs="Times New Roman"/>
          <w:b/>
          <w:bCs/>
          <w:color w:val="0E367D"/>
          <w:sz w:val="24"/>
          <w:szCs w:val="24"/>
        </w:rPr>
      </w:pPr>
      <w:r w:rsidRPr="004B3881">
        <w:rPr>
          <w:rFonts w:ascii="Times New Roman" w:hAnsi="Times New Roman" w:cs="Times New Roman"/>
          <w:b/>
          <w:bCs/>
          <w:color w:val="0E367D"/>
          <w:sz w:val="24"/>
          <w:szCs w:val="24"/>
        </w:rPr>
        <w:t>Abstract</w:t>
      </w:r>
    </w:p>
    <w:p w:rsidRPr="00306F6F" w:rsidR="00306F6F" w:rsidP="00794AF7" w:rsidRDefault="00306F6F" w14:paraId="669BD5D3" w14:textId="4453DB3A">
      <w:pPr>
        <w:pBdr>
          <w:bottom w:val="single" w:color="000000" w:sz="4" w:space="4"/>
        </w:pBdr>
        <w:spacing w:line="360" w:lineRule="auto"/>
        <w:rPr>
          <w:rFonts w:ascii="Times New Roman" w:hAnsi="Times New Roman" w:cs="Times New Roman"/>
          <w:sz w:val="24"/>
          <w:szCs w:val="24"/>
          <w:lang w:val="en-GB"/>
        </w:rPr>
      </w:pPr>
      <w:r w:rsidRPr="63CB86D8">
        <w:rPr>
          <w:rFonts w:ascii="Times New Roman" w:hAnsi="Times New Roman" w:cs="Times New Roman"/>
          <w:sz w:val="24"/>
          <w:szCs w:val="24"/>
          <w:lang w:val="en-GB"/>
        </w:rPr>
        <w:t>This proposal introduces a financing model to accelerate the deployment of solar power and other renewable energy (RE) projects in developing countries by leveraging an international de-risking mechanism combined with a global public equity fund. The proposed structure aims to reduce financing costs for RE infrastructure by securitizing Power Purchase Agreements (PPAs) through ‘International Power Purchase Agreement Guarantor Facilities’, which are backed by governments and managed by multilateral financial institutions. Paired with a ‘Global Solar Economy Equity Fund’, this model attracts risk-averse investors, such as pension funds and sovereign wealth funds, while incentivizing countries to act early through profit-sharing mechanisms.</w:t>
      </w:r>
    </w:p>
    <w:p w:rsidRPr="004B3881" w:rsidR="00D828B9" w:rsidP="00B71F5B" w:rsidRDefault="00D828B9" w14:paraId="250B59D8" w14:textId="77777777">
      <w:pPr>
        <w:pStyle w:val="Subtitle"/>
        <w:spacing w:line="360" w:lineRule="auto"/>
        <w:ind w:firstLine="720"/>
        <w:rPr>
          <w:rFonts w:ascii="Times New Roman" w:hAnsi="Times New Roman" w:cs="Times New Roman"/>
          <w:sz w:val="24"/>
          <w:szCs w:val="24"/>
        </w:rPr>
      </w:pPr>
    </w:p>
    <w:p w:rsidRPr="004B3881" w:rsidR="00D828B9" w:rsidP="00B71F5B" w:rsidRDefault="009C06C3" w14:paraId="3F826D64" w14:textId="77777777">
      <w:pPr>
        <w:spacing w:line="360" w:lineRule="auto"/>
        <w:ind w:firstLine="720"/>
        <w:rPr>
          <w:rFonts w:ascii="Times New Roman" w:hAnsi="Times New Roman" w:cs="Times New Roman"/>
          <w:b/>
          <w:sz w:val="24"/>
          <w:szCs w:val="24"/>
          <w:u w:val="single"/>
        </w:rPr>
      </w:pPr>
      <w:r w:rsidRPr="004B3881">
        <w:rPr>
          <w:rFonts w:ascii="Times New Roman" w:hAnsi="Times New Roman" w:cs="Times New Roman"/>
          <w:sz w:val="24"/>
          <w:szCs w:val="24"/>
        </w:rPr>
        <w:br w:type="page"/>
      </w:r>
    </w:p>
    <w:p w:rsidRPr="004B3881" w:rsidR="00D828B9" w:rsidP="004B3881" w:rsidRDefault="009C06C3" w14:paraId="09AB5878" w14:textId="77777777">
      <w:pPr>
        <w:pStyle w:val="Heading1"/>
        <w:spacing w:line="360" w:lineRule="auto"/>
        <w:ind w:firstLine="720"/>
        <w:jc w:val="center"/>
        <w:rPr>
          <w:rFonts w:ascii="Times New Roman" w:hAnsi="Times New Roman" w:cs="Times New Roman"/>
          <w:b/>
          <w:bCs/>
          <w:sz w:val="24"/>
          <w:szCs w:val="24"/>
        </w:rPr>
      </w:pPr>
      <w:bookmarkStart w:name="_9su9emrddi9y" w:colFirst="0" w:colLast="0" w:id="0"/>
      <w:bookmarkEnd w:id="0"/>
      <w:r w:rsidRPr="004B3881">
        <w:rPr>
          <w:rFonts w:ascii="Times New Roman" w:hAnsi="Times New Roman" w:cs="Times New Roman"/>
          <w:b/>
          <w:bCs/>
          <w:sz w:val="24"/>
          <w:szCs w:val="24"/>
        </w:rPr>
        <w:lastRenderedPageBreak/>
        <w:t>Executive Summary</w:t>
      </w:r>
    </w:p>
    <w:p w:rsidRPr="004B3881" w:rsidR="00D828B9" w:rsidP="00B71F5B" w:rsidRDefault="009C06C3" w14:paraId="0D6D9D7B"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b/>
          <w:sz w:val="24"/>
          <w:szCs w:val="24"/>
        </w:rPr>
        <w:t xml:space="preserve">Challenges: </w:t>
      </w:r>
      <w:r w:rsidRPr="004B3881">
        <w:rPr>
          <w:rFonts w:ascii="Times New Roman" w:hAnsi="Times New Roman" w:cs="Times New Roman"/>
          <w:sz w:val="24"/>
          <w:szCs w:val="24"/>
        </w:rPr>
        <w:t xml:space="preserve">At least a trillion dollars a year in clean energy infrastructure finance must flow into emerging and developing economies if the goals of providing universal access to modern energy (SDG 7) and climate stability (SDG 13) are to be achieved. This will require mobilizing very large volumes of private investment capital. Unfortunately, many private investors have been reluctant to invest in EMDEs because of perceived country risk. Moreover, EMDEs need low-cost energy, but the levelized cost of clean energy depends heavily on the weighted average cost of capital (WACC), and WACC tends to be high in EMDEs, again due to foreign exchange and country risks. A recent study by IRENA </w:t>
      </w:r>
      <w:hyperlink r:id="rId7">
        <w:r w:rsidRPr="004B3881" w:rsidR="00D828B9">
          <w:rPr>
            <w:rFonts w:ascii="Times New Roman" w:hAnsi="Times New Roman" w:cs="Times New Roman"/>
            <w:color w:val="000000"/>
            <w:sz w:val="24"/>
            <w:szCs w:val="24"/>
          </w:rPr>
          <w:t>(“The Cost of Financing for Renewable Power” 2023)</w:t>
        </w:r>
      </w:hyperlink>
      <w:r w:rsidRPr="004B3881">
        <w:rPr>
          <w:rFonts w:ascii="Times New Roman" w:hAnsi="Times New Roman" w:cs="Times New Roman"/>
          <w:sz w:val="24"/>
          <w:szCs w:val="24"/>
        </w:rPr>
        <w:t xml:space="preserve"> found WACCs from as little as 1.1% (Germany) to above 10% (PV in Ukraine). Overall, weighted capital costs in mature developed markets -- at 4.4% to 5.4% -- are considerably lower than in emerging markets, with the Middle East and Africa being as high as 8.2%.</w:t>
      </w:r>
      <w:r w:rsidRPr="004B3881">
        <w:rPr>
          <w:rFonts w:ascii="Times New Roman" w:hAnsi="Times New Roman" w:eastAsia="Roboto" w:cs="Times New Roman"/>
          <w:color w:val="444746"/>
          <w:sz w:val="24"/>
          <w:szCs w:val="24"/>
        </w:rPr>
        <w:t xml:space="preserve"> </w:t>
      </w:r>
      <w:r w:rsidRPr="004B3881">
        <w:rPr>
          <w:rFonts w:ascii="Times New Roman" w:hAnsi="Times New Roman" w:cs="Times New Roman"/>
          <w:sz w:val="24"/>
          <w:szCs w:val="24"/>
        </w:rPr>
        <w:t xml:space="preserve">The challenge, therefore, is to mobilize large volumes of </w:t>
      </w:r>
      <w:r w:rsidRPr="004B3881">
        <w:rPr>
          <w:rFonts w:ascii="Times New Roman" w:hAnsi="Times New Roman" w:cs="Times New Roman"/>
          <w:i/>
          <w:sz w:val="24"/>
          <w:szCs w:val="24"/>
        </w:rPr>
        <w:t>very low-cost</w:t>
      </w:r>
      <w:r w:rsidRPr="004B3881">
        <w:rPr>
          <w:rFonts w:ascii="Times New Roman" w:hAnsi="Times New Roman" w:cs="Times New Roman"/>
          <w:sz w:val="24"/>
          <w:szCs w:val="24"/>
        </w:rPr>
        <w:t xml:space="preserve"> capital for clean energy infrastructure development in EMDEs despite these risks. This will require </w:t>
      </w:r>
      <w:proofErr w:type="gramStart"/>
      <w:r w:rsidRPr="004B3881">
        <w:rPr>
          <w:rFonts w:ascii="Times New Roman" w:hAnsi="Times New Roman" w:cs="Times New Roman"/>
          <w:sz w:val="24"/>
          <w:szCs w:val="24"/>
        </w:rPr>
        <w:t>internationally-organized</w:t>
      </w:r>
      <w:proofErr w:type="gramEnd"/>
      <w:r w:rsidRPr="004B3881">
        <w:rPr>
          <w:rFonts w:ascii="Times New Roman" w:hAnsi="Times New Roman" w:cs="Times New Roman"/>
          <w:sz w:val="24"/>
          <w:szCs w:val="24"/>
        </w:rPr>
        <w:t xml:space="preserve"> financial de-risking mechanisms.</w:t>
      </w:r>
    </w:p>
    <w:p w:rsidRPr="004B3881" w:rsidR="00D828B9" w:rsidP="00B71F5B" w:rsidRDefault="009C06C3" w14:paraId="413F3FC4"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We address further challenges in this proposal. There are other aspects of needed scale: we need large-scale risk absorbing capital (equity) for financing global public goods, ‘first mover incentives’ so that </w:t>
      </w:r>
      <w:proofErr w:type="gramStart"/>
      <w:r w:rsidRPr="004B3881">
        <w:rPr>
          <w:rFonts w:ascii="Times New Roman" w:hAnsi="Times New Roman" w:cs="Times New Roman"/>
          <w:sz w:val="24"/>
          <w:szCs w:val="24"/>
        </w:rPr>
        <w:t>those act</w:t>
      </w:r>
      <w:proofErr w:type="gramEnd"/>
      <w:r w:rsidRPr="004B3881">
        <w:rPr>
          <w:rFonts w:ascii="Times New Roman" w:hAnsi="Times New Roman" w:cs="Times New Roman"/>
          <w:sz w:val="24"/>
          <w:szCs w:val="24"/>
        </w:rPr>
        <w:t xml:space="preserve"> rapidly achieve the greatest benefits; and standardization and commodification of investments in clean energy early-stage equity investments. Scale is achieved via profitability and high leverage, implying very high cost-effectiveness for impact donor-investors. </w:t>
      </w:r>
    </w:p>
    <w:p w:rsidRPr="004B3881" w:rsidR="00D828B9" w:rsidP="00B71F5B" w:rsidRDefault="009C06C3" w14:paraId="327E1201"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There have also been calls for international finance to adopt an ‘originate and distribute’ model, reducing the use of balance sheets and instead financing via low-risk bonds that can be distributed to local and national pension funds. Finally, there have been concerns that existing derisking proposals might constitute ‘</w:t>
      </w:r>
      <w:proofErr w:type="spellStart"/>
      <w:r w:rsidRPr="004B3881">
        <w:rPr>
          <w:rFonts w:ascii="Times New Roman" w:hAnsi="Times New Roman" w:cs="Times New Roman"/>
          <w:sz w:val="24"/>
          <w:szCs w:val="24"/>
        </w:rPr>
        <w:t>privatised</w:t>
      </w:r>
      <w:proofErr w:type="spellEnd"/>
      <w:r w:rsidRPr="004B3881">
        <w:rPr>
          <w:rFonts w:ascii="Times New Roman" w:hAnsi="Times New Roman" w:cs="Times New Roman"/>
          <w:sz w:val="24"/>
          <w:szCs w:val="24"/>
        </w:rPr>
        <w:t xml:space="preserve"> gain, </w:t>
      </w:r>
      <w:proofErr w:type="spellStart"/>
      <w:r w:rsidRPr="004B3881">
        <w:rPr>
          <w:rFonts w:ascii="Times New Roman" w:hAnsi="Times New Roman" w:cs="Times New Roman"/>
          <w:sz w:val="24"/>
          <w:szCs w:val="24"/>
        </w:rPr>
        <w:t>socialised</w:t>
      </w:r>
      <w:proofErr w:type="spellEnd"/>
      <w:r w:rsidRPr="004B3881">
        <w:rPr>
          <w:rFonts w:ascii="Times New Roman" w:hAnsi="Times New Roman" w:cs="Times New Roman"/>
          <w:sz w:val="24"/>
          <w:szCs w:val="24"/>
        </w:rPr>
        <w:t xml:space="preserve"> risk’. Here the goal is to </w:t>
      </w:r>
      <w:proofErr w:type="spellStart"/>
      <w:r w:rsidRPr="004B3881">
        <w:rPr>
          <w:rFonts w:ascii="Times New Roman" w:hAnsi="Times New Roman" w:cs="Times New Roman"/>
          <w:sz w:val="24"/>
          <w:szCs w:val="24"/>
        </w:rPr>
        <w:t>socialise</w:t>
      </w:r>
      <w:proofErr w:type="spellEnd"/>
      <w:r w:rsidRPr="004B3881">
        <w:rPr>
          <w:rFonts w:ascii="Times New Roman" w:hAnsi="Times New Roman" w:cs="Times New Roman"/>
          <w:sz w:val="24"/>
          <w:szCs w:val="24"/>
        </w:rPr>
        <w:t xml:space="preserve"> some benefit of derisking and cheap financing operations via profit sharing to participating countries.</w:t>
      </w:r>
    </w:p>
    <w:p w:rsidRPr="004B3881" w:rsidR="00D828B9" w:rsidP="00B71F5B" w:rsidRDefault="009C06C3" w14:paraId="29857500" w14:textId="77777777">
      <w:pPr>
        <w:pBdr>
          <w:top w:val="nil"/>
          <w:left w:val="nil"/>
          <w:bottom w:val="nil"/>
          <w:right w:val="nil"/>
          <w:between w:val="nil"/>
        </w:pBdr>
        <w:spacing w:line="360" w:lineRule="auto"/>
        <w:ind w:firstLine="720"/>
        <w:jc w:val="both"/>
        <w:rPr>
          <w:rFonts w:ascii="Times New Roman" w:hAnsi="Times New Roman" w:cs="Times New Roman"/>
          <w:sz w:val="24"/>
          <w:szCs w:val="24"/>
        </w:rPr>
      </w:pPr>
      <w:r w:rsidRPr="004B3881">
        <w:rPr>
          <w:rFonts w:ascii="Times New Roman" w:hAnsi="Times New Roman" w:cs="Times New Roman"/>
          <w:b/>
          <w:sz w:val="24"/>
          <w:szCs w:val="24"/>
        </w:rPr>
        <w:t xml:space="preserve">Proposal: </w:t>
      </w:r>
      <w:r w:rsidRPr="004B3881">
        <w:rPr>
          <w:rFonts w:ascii="Times New Roman" w:hAnsi="Times New Roman" w:cs="Times New Roman"/>
          <w:sz w:val="24"/>
          <w:szCs w:val="24"/>
        </w:rPr>
        <w:t xml:space="preserve">We outline how derisking tools, including securitization of power purchase agreements (PPAs) through special purpose vehicles called </w:t>
      </w:r>
      <w:r w:rsidRPr="004B3881">
        <w:rPr>
          <w:rFonts w:ascii="Times New Roman" w:hAnsi="Times New Roman" w:cs="Times New Roman"/>
          <w:b/>
          <w:sz w:val="24"/>
          <w:szCs w:val="24"/>
        </w:rPr>
        <w:t>“International Power Purchase Agreement Guarantor Facilities”</w:t>
      </w:r>
      <w:r w:rsidRPr="004B3881">
        <w:rPr>
          <w:rFonts w:ascii="Times New Roman" w:hAnsi="Times New Roman" w:cs="Times New Roman"/>
          <w:sz w:val="24"/>
          <w:szCs w:val="24"/>
        </w:rPr>
        <w:t xml:space="preserve"> backed by participating governments and managed by </w:t>
      </w:r>
      <w:r w:rsidRPr="004B3881">
        <w:rPr>
          <w:rFonts w:ascii="Times New Roman" w:hAnsi="Times New Roman" w:cs="Times New Roman"/>
          <w:sz w:val="24"/>
          <w:szCs w:val="24"/>
        </w:rPr>
        <w:lastRenderedPageBreak/>
        <w:t xml:space="preserve">multilateral public financial institutions, could be combined with a dedicated </w:t>
      </w:r>
      <w:r w:rsidRPr="004B3881">
        <w:rPr>
          <w:rFonts w:ascii="Times New Roman" w:hAnsi="Times New Roman" w:cs="Times New Roman"/>
          <w:b/>
          <w:sz w:val="24"/>
          <w:szCs w:val="24"/>
        </w:rPr>
        <w:t>“Global Solar Economy Equity Fund”</w:t>
      </w:r>
      <w:r w:rsidRPr="004B3881">
        <w:rPr>
          <w:rFonts w:ascii="Times New Roman" w:hAnsi="Times New Roman" w:cs="Times New Roman"/>
          <w:sz w:val="24"/>
          <w:szCs w:val="24"/>
        </w:rPr>
        <w:t xml:space="preserve"> to bring in risk-absorbing for renewable energy infrastructure build-out in emerging and developing economies. Since countries would absorb much of the risk in the proposed structure, they would also share in the profits, providing incentives for early action.</w:t>
      </w:r>
    </w:p>
    <w:p w:rsidRPr="004B3881" w:rsidR="00D828B9" w:rsidP="00B71F5B" w:rsidRDefault="009C06C3" w14:paraId="7FE64328" w14:textId="77777777">
      <w:pPr>
        <w:pBdr>
          <w:top w:val="nil"/>
          <w:left w:val="nil"/>
          <w:bottom w:val="nil"/>
          <w:right w:val="nil"/>
          <w:between w:val="nil"/>
        </w:pBd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Such structures will enable risk-averse investors (e.g., pension funds, sovereign wealth funds) to participate in the clean energy transition in developing </w:t>
      </w:r>
      <w:proofErr w:type="gramStart"/>
      <w:r w:rsidRPr="004B3881">
        <w:rPr>
          <w:rFonts w:ascii="Times New Roman" w:hAnsi="Times New Roman" w:cs="Times New Roman"/>
          <w:sz w:val="24"/>
          <w:szCs w:val="24"/>
        </w:rPr>
        <w:t>countries, and</w:t>
      </w:r>
      <w:proofErr w:type="gramEnd"/>
      <w:r w:rsidRPr="004B3881">
        <w:rPr>
          <w:rFonts w:ascii="Times New Roman" w:hAnsi="Times New Roman" w:cs="Times New Roman"/>
          <w:sz w:val="24"/>
          <w:szCs w:val="24"/>
        </w:rPr>
        <w:t xml:space="preserve"> developing countries to access capital for their clean energy infrastructure build-out at a low weighted average cost of capital.</w:t>
      </w:r>
    </w:p>
    <w:p w:rsidRPr="004B3881" w:rsidR="00D828B9" w:rsidP="00B71F5B" w:rsidRDefault="009C06C3" w14:paraId="3FAB64A5"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Because electrification of energy systems will play the key role in achieving net-zero carbon emissions by 2050, and low-cost solar and wind power is expected to deliver a large portion of electricity world-wide by mid-century (for example in the </w:t>
      </w:r>
      <w:hyperlink r:id="rId8">
        <w:r w:rsidRPr="004B3881" w:rsidR="00D828B9">
          <w:rPr>
            <w:rFonts w:ascii="Times New Roman" w:hAnsi="Times New Roman" w:cs="Times New Roman"/>
            <w:color w:val="1155CC"/>
            <w:sz w:val="24"/>
            <w:szCs w:val="24"/>
            <w:u w:val="single"/>
          </w:rPr>
          <w:t>IEA Net-Zero Emissions trajectory</w:t>
        </w:r>
      </w:hyperlink>
      <w:r w:rsidRPr="004B3881">
        <w:rPr>
          <w:rFonts w:ascii="Times New Roman" w:hAnsi="Times New Roman" w:cs="Times New Roman"/>
          <w:sz w:val="24"/>
          <w:szCs w:val="24"/>
        </w:rPr>
        <w:t xml:space="preserve">, about one third of total primary energy supply in 2050 </w:t>
      </w:r>
      <w:hyperlink r:id="rId9">
        <w:r w:rsidRPr="004B3881" w:rsidR="00D828B9">
          <w:rPr>
            <w:rFonts w:ascii="Times New Roman" w:hAnsi="Times New Roman" w:cs="Times New Roman"/>
            <w:color w:val="000000"/>
            <w:sz w:val="24"/>
            <w:szCs w:val="24"/>
          </w:rPr>
          <w:t>(IEA 2021b)</w:t>
        </w:r>
      </w:hyperlink>
      <w:r w:rsidRPr="004B3881">
        <w:rPr>
          <w:rFonts w:ascii="Times New Roman" w:hAnsi="Times New Roman" w:cs="Times New Roman"/>
          <w:sz w:val="24"/>
          <w:szCs w:val="24"/>
        </w:rPr>
        <w:t xml:space="preserve"> ), we have given the top-line name </w:t>
      </w:r>
      <w:r w:rsidRPr="004B3881">
        <w:rPr>
          <w:rFonts w:ascii="Times New Roman" w:hAnsi="Times New Roman" w:cs="Times New Roman"/>
          <w:b/>
          <w:sz w:val="24"/>
          <w:szCs w:val="24"/>
        </w:rPr>
        <w:t>“Solar Economy Financing System”</w:t>
      </w:r>
      <w:r w:rsidRPr="004B3881">
        <w:rPr>
          <w:rFonts w:ascii="Times New Roman" w:hAnsi="Times New Roman" w:cs="Times New Roman"/>
          <w:sz w:val="24"/>
          <w:szCs w:val="24"/>
        </w:rPr>
        <w:t xml:space="preserve"> to our proposal, even though other technologies will, of course, also play important roles. </w:t>
      </w:r>
    </w:p>
    <w:p w:rsidRPr="004B3881" w:rsidR="00D828B9" w:rsidP="00B71F5B" w:rsidRDefault="009C06C3" w14:paraId="2D40E562"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While it might seem that the proposals require a high level of financial sophistication, especially for low-capacity countries, one option is to develop the whole suite of financial solutions in a simple ‘pay as you go’ model for countries. An SOE in a small island state which currently imports oil for oil-powered electricity generation could be offered a lower ‘all in one’ deal for a deal paying a certain (slowly declining) price for electricity generated by solar, adopting a ‘pay as you go’ model. This would have the advantage of a low risk, declining contractual obligation, rather than formal debt.</w:t>
      </w:r>
    </w:p>
    <w:p w:rsidRPr="004B3881" w:rsidR="00D828B9" w:rsidP="00B71F5B" w:rsidRDefault="009C06C3" w14:paraId="2DACB978" w14:textId="77777777">
      <w:pPr>
        <w:spacing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 xml:space="preserve">What Is Novel or Innovative in the Proposal?  </w:t>
      </w:r>
    </w:p>
    <w:p w:rsidRPr="004B3881" w:rsidR="00D828B9" w:rsidP="00B71F5B" w:rsidRDefault="009C06C3" w14:paraId="5653F467" w14:textId="77777777">
      <w:pPr>
        <w:numPr>
          <w:ilvl w:val="0"/>
          <w:numId w:val="2"/>
        </w:numPr>
        <w:pBdr>
          <w:top w:val="nil"/>
          <w:left w:val="nil"/>
          <w:bottom w:val="nil"/>
          <w:right w:val="nil"/>
          <w:between w:val="nil"/>
        </w:pBd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color w:val="000000"/>
          <w:sz w:val="24"/>
          <w:szCs w:val="24"/>
        </w:rPr>
        <w:t xml:space="preserve">First, we believe that the financial structure detailed below can reduce </w:t>
      </w:r>
      <w:r w:rsidRPr="004B3881">
        <w:rPr>
          <w:rFonts w:ascii="Times New Roman" w:hAnsi="Times New Roman" w:cs="Times New Roman"/>
          <w:sz w:val="24"/>
          <w:szCs w:val="24"/>
        </w:rPr>
        <w:t>renewable energy</w:t>
      </w:r>
      <w:r w:rsidRPr="004B3881">
        <w:rPr>
          <w:rFonts w:ascii="Times New Roman" w:hAnsi="Times New Roman" w:cs="Times New Roman"/>
          <w:color w:val="000000"/>
          <w:sz w:val="24"/>
          <w:szCs w:val="24"/>
        </w:rPr>
        <w:t xml:space="preserve"> </w:t>
      </w:r>
      <w:r w:rsidRPr="004B3881">
        <w:rPr>
          <w:rFonts w:ascii="Times New Roman" w:hAnsi="Times New Roman" w:cs="Times New Roman"/>
          <w:sz w:val="24"/>
          <w:szCs w:val="24"/>
        </w:rPr>
        <w:t>development</w:t>
      </w:r>
      <w:r w:rsidRPr="004B3881">
        <w:rPr>
          <w:rFonts w:ascii="Times New Roman" w:hAnsi="Times New Roman" w:cs="Times New Roman"/>
          <w:color w:val="000000"/>
          <w:sz w:val="24"/>
          <w:szCs w:val="24"/>
        </w:rPr>
        <w:t xml:space="preserve"> debt financing costs t</w:t>
      </w:r>
      <w:r w:rsidRPr="004B3881">
        <w:rPr>
          <w:rFonts w:ascii="Times New Roman" w:hAnsi="Times New Roman" w:cs="Times New Roman"/>
          <w:sz w:val="24"/>
          <w:szCs w:val="24"/>
        </w:rPr>
        <w:t>o level</w:t>
      </w:r>
      <w:r w:rsidRPr="004B3881">
        <w:rPr>
          <w:rFonts w:ascii="Times New Roman" w:hAnsi="Times New Roman" w:cs="Times New Roman"/>
          <w:color w:val="000000"/>
          <w:sz w:val="24"/>
          <w:szCs w:val="24"/>
        </w:rPr>
        <w:t xml:space="preserve">s comparable </w:t>
      </w:r>
      <w:r w:rsidRPr="004B3881">
        <w:rPr>
          <w:rFonts w:ascii="Times New Roman" w:hAnsi="Times New Roman" w:cs="Times New Roman"/>
          <w:sz w:val="24"/>
          <w:szCs w:val="24"/>
        </w:rPr>
        <w:t>to those on developed country renewable projects.</w:t>
      </w:r>
    </w:p>
    <w:p w:rsidRPr="004B3881" w:rsidR="00D828B9" w:rsidP="00B71F5B" w:rsidRDefault="009C06C3" w14:paraId="6DD3FC04" w14:textId="77777777">
      <w:pPr>
        <w:numPr>
          <w:ilvl w:val="0"/>
          <w:numId w:val="2"/>
        </w:numPr>
        <w:pBdr>
          <w:top w:val="nil"/>
          <w:left w:val="nil"/>
          <w:bottom w:val="nil"/>
          <w:right w:val="nil"/>
          <w:between w:val="nil"/>
        </w:pBd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color w:val="000000"/>
          <w:sz w:val="24"/>
          <w:szCs w:val="24"/>
        </w:rPr>
        <w:t xml:space="preserve">Second, we </w:t>
      </w:r>
      <w:r w:rsidRPr="004B3881">
        <w:rPr>
          <w:rFonts w:ascii="Times New Roman" w:hAnsi="Times New Roman" w:cs="Times New Roman"/>
          <w:sz w:val="24"/>
          <w:szCs w:val="24"/>
        </w:rPr>
        <w:t xml:space="preserve">propose </w:t>
      </w:r>
      <w:r w:rsidRPr="004B3881">
        <w:rPr>
          <w:rFonts w:ascii="Times New Roman" w:hAnsi="Times New Roman" w:cs="Times New Roman"/>
          <w:color w:val="000000"/>
          <w:sz w:val="24"/>
          <w:szCs w:val="24"/>
        </w:rPr>
        <w:t xml:space="preserve">a hybrid </w:t>
      </w:r>
      <w:r w:rsidRPr="004B3881">
        <w:rPr>
          <w:rFonts w:ascii="Times New Roman" w:hAnsi="Times New Roman" w:cs="Times New Roman"/>
          <w:sz w:val="24"/>
          <w:szCs w:val="24"/>
        </w:rPr>
        <w:t>Global Solar Economy Equity Fund</w:t>
      </w:r>
      <w:r w:rsidRPr="004B3881">
        <w:rPr>
          <w:rFonts w:ascii="Times New Roman" w:hAnsi="Times New Roman" w:cs="Times New Roman"/>
          <w:color w:val="000000"/>
          <w:sz w:val="24"/>
          <w:szCs w:val="24"/>
        </w:rPr>
        <w:t xml:space="preserve">, </w:t>
      </w:r>
      <w:r w:rsidRPr="004B3881">
        <w:rPr>
          <w:rFonts w:ascii="Times New Roman" w:hAnsi="Times New Roman" w:cs="Times New Roman"/>
          <w:sz w:val="24"/>
          <w:szCs w:val="24"/>
        </w:rPr>
        <w:t xml:space="preserve">with investments from small investors </w:t>
      </w:r>
      <w:proofErr w:type="gramStart"/>
      <w:r w:rsidRPr="004B3881">
        <w:rPr>
          <w:rFonts w:ascii="Times New Roman" w:hAnsi="Times New Roman" w:cs="Times New Roman"/>
          <w:sz w:val="24"/>
          <w:szCs w:val="24"/>
        </w:rPr>
        <w:t>and  donor</w:t>
      </w:r>
      <w:proofErr w:type="gramEnd"/>
      <w:r w:rsidRPr="004B3881">
        <w:rPr>
          <w:rFonts w:ascii="Times New Roman" w:hAnsi="Times New Roman" w:cs="Times New Roman"/>
          <w:sz w:val="24"/>
          <w:szCs w:val="24"/>
        </w:rPr>
        <w:t xml:space="preserve"> governments as well as institutional investors such as pension funds,</w:t>
      </w:r>
      <w:r w:rsidRPr="004B3881">
        <w:rPr>
          <w:rFonts w:ascii="Times New Roman" w:hAnsi="Times New Roman" w:cs="Times New Roman"/>
          <w:color w:val="000000"/>
          <w:sz w:val="24"/>
          <w:szCs w:val="24"/>
        </w:rPr>
        <w:t xml:space="preserve"> that will </w:t>
      </w:r>
      <w:r w:rsidRPr="004B3881">
        <w:rPr>
          <w:rFonts w:ascii="Times New Roman" w:hAnsi="Times New Roman" w:cs="Times New Roman"/>
          <w:sz w:val="24"/>
          <w:szCs w:val="24"/>
        </w:rPr>
        <w:t>earn</w:t>
      </w:r>
      <w:r w:rsidRPr="004B3881">
        <w:rPr>
          <w:rFonts w:ascii="Times New Roman" w:hAnsi="Times New Roman" w:cs="Times New Roman"/>
          <w:color w:val="000000"/>
          <w:sz w:val="24"/>
          <w:szCs w:val="24"/>
        </w:rPr>
        <w:t xml:space="preserve"> and distribute profits</w:t>
      </w:r>
      <w:r w:rsidRPr="004B3881">
        <w:rPr>
          <w:rFonts w:ascii="Times New Roman" w:hAnsi="Times New Roman" w:cs="Times New Roman"/>
          <w:sz w:val="24"/>
          <w:szCs w:val="24"/>
        </w:rPr>
        <w:t xml:space="preserve"> </w:t>
      </w:r>
      <w:r w:rsidRPr="004B3881">
        <w:rPr>
          <w:rFonts w:ascii="Times New Roman" w:hAnsi="Times New Roman" w:cs="Times New Roman"/>
          <w:color w:val="000000"/>
          <w:sz w:val="24"/>
          <w:szCs w:val="24"/>
        </w:rPr>
        <w:t>to i</w:t>
      </w:r>
      <w:r w:rsidRPr="004B3881">
        <w:rPr>
          <w:rFonts w:ascii="Times New Roman" w:hAnsi="Times New Roman" w:cs="Times New Roman"/>
          <w:sz w:val="24"/>
          <w:szCs w:val="24"/>
        </w:rPr>
        <w:t>nvestors, but</w:t>
      </w:r>
      <w:r w:rsidRPr="004B3881">
        <w:rPr>
          <w:rFonts w:ascii="Times New Roman" w:hAnsi="Times New Roman" w:cs="Times New Roman"/>
          <w:color w:val="000000"/>
          <w:sz w:val="24"/>
          <w:szCs w:val="24"/>
        </w:rPr>
        <w:t xml:space="preserve"> reinvest at least half of </w:t>
      </w:r>
      <w:r w:rsidRPr="004B3881">
        <w:rPr>
          <w:rFonts w:ascii="Times New Roman" w:hAnsi="Times New Roman" w:cs="Times New Roman"/>
          <w:sz w:val="24"/>
          <w:szCs w:val="24"/>
        </w:rPr>
        <w:t xml:space="preserve">net income. </w:t>
      </w:r>
    </w:p>
    <w:p w:rsidRPr="004B3881" w:rsidR="00D828B9" w:rsidP="00B71F5B" w:rsidRDefault="009C06C3" w14:paraId="7878152B" w14:textId="77777777">
      <w:pPr>
        <w:numPr>
          <w:ilvl w:val="0"/>
          <w:numId w:val="2"/>
        </w:numPr>
        <w:pBdr>
          <w:top w:val="nil"/>
          <w:left w:val="nil"/>
          <w:bottom w:val="nil"/>
          <w:right w:val="nil"/>
          <w:between w:val="nil"/>
        </w:pBdr>
        <w:spacing w:line="360" w:lineRule="auto"/>
        <w:ind w:firstLine="720"/>
        <w:jc w:val="both"/>
        <w:rPr>
          <w:rFonts w:ascii="Times New Roman" w:hAnsi="Times New Roman" w:cs="Times New Roman"/>
          <w:sz w:val="24"/>
          <w:szCs w:val="24"/>
        </w:rPr>
      </w:pPr>
      <w:r w:rsidRPr="004B3881">
        <w:rPr>
          <w:rFonts w:ascii="Times New Roman" w:hAnsi="Times New Roman" w:cs="Times New Roman"/>
          <w:color w:val="000000"/>
          <w:sz w:val="24"/>
          <w:szCs w:val="24"/>
        </w:rPr>
        <w:lastRenderedPageBreak/>
        <w:t xml:space="preserve">Third, we think a fully </w:t>
      </w:r>
      <w:r w:rsidRPr="004B3881">
        <w:rPr>
          <w:rFonts w:ascii="Times New Roman" w:hAnsi="Times New Roman" w:cs="Times New Roman"/>
          <w:sz w:val="24"/>
          <w:szCs w:val="24"/>
        </w:rPr>
        <w:t>scalable</w:t>
      </w:r>
      <w:r w:rsidRPr="004B3881">
        <w:rPr>
          <w:rFonts w:ascii="Times New Roman" w:hAnsi="Times New Roman" w:cs="Times New Roman"/>
          <w:color w:val="000000"/>
          <w:sz w:val="24"/>
          <w:szCs w:val="24"/>
        </w:rPr>
        <w:t xml:space="preserve"> financial model is </w:t>
      </w:r>
      <w:r w:rsidRPr="004B3881">
        <w:rPr>
          <w:rFonts w:ascii="Times New Roman" w:hAnsi="Times New Roman" w:cs="Times New Roman"/>
          <w:sz w:val="24"/>
          <w:szCs w:val="24"/>
        </w:rPr>
        <w:t>available that does not</w:t>
      </w:r>
      <w:r w:rsidRPr="004B3881">
        <w:rPr>
          <w:rFonts w:ascii="Times New Roman" w:hAnsi="Times New Roman" w:cs="Times New Roman"/>
          <w:color w:val="000000"/>
          <w:sz w:val="24"/>
          <w:szCs w:val="24"/>
        </w:rPr>
        <w:t xml:space="preserve"> involve weighing down the balance sheets of any institution. </w:t>
      </w:r>
    </w:p>
    <w:p w:rsidRPr="004B3881" w:rsidR="00D828B9" w:rsidP="00B71F5B" w:rsidRDefault="009C06C3" w14:paraId="31D10C3B" w14:textId="77777777">
      <w:pPr>
        <w:pBdr>
          <w:top w:val="nil"/>
          <w:left w:val="nil"/>
          <w:bottom w:val="nil"/>
          <w:right w:val="nil"/>
          <w:between w:val="nil"/>
        </w:pBdr>
        <w:spacing w:line="360" w:lineRule="auto"/>
        <w:ind w:firstLine="720"/>
        <w:jc w:val="both"/>
        <w:rPr>
          <w:rFonts w:ascii="Times New Roman" w:hAnsi="Times New Roman" w:cs="Times New Roman"/>
          <w:color w:val="000000"/>
          <w:sz w:val="24"/>
          <w:szCs w:val="24"/>
        </w:rPr>
      </w:pPr>
      <w:r w:rsidRPr="004B3881">
        <w:rPr>
          <w:rFonts w:ascii="Times New Roman" w:hAnsi="Times New Roman" w:cs="Times New Roman"/>
          <w:color w:val="000000"/>
          <w:sz w:val="24"/>
          <w:szCs w:val="24"/>
        </w:rPr>
        <w:t xml:space="preserve">In </w:t>
      </w:r>
      <w:r w:rsidRPr="004B3881">
        <w:rPr>
          <w:rFonts w:ascii="Times New Roman" w:hAnsi="Times New Roman" w:cs="Times New Roman"/>
          <w:sz w:val="24"/>
          <w:szCs w:val="24"/>
        </w:rPr>
        <w:t>our model</w:t>
      </w:r>
      <w:r w:rsidRPr="004B3881">
        <w:rPr>
          <w:rFonts w:ascii="Times New Roman" w:hAnsi="Times New Roman" w:cs="Times New Roman"/>
          <w:color w:val="000000"/>
          <w:sz w:val="24"/>
          <w:szCs w:val="24"/>
        </w:rPr>
        <w:t>, a) projec</w:t>
      </w:r>
      <w:r w:rsidRPr="004B3881">
        <w:rPr>
          <w:rFonts w:ascii="Times New Roman" w:hAnsi="Times New Roman" w:cs="Times New Roman"/>
          <w:sz w:val="24"/>
          <w:szCs w:val="24"/>
        </w:rPr>
        <w:t xml:space="preserve">t development </w:t>
      </w:r>
      <w:r w:rsidRPr="004B3881">
        <w:rPr>
          <w:rFonts w:ascii="Times New Roman" w:hAnsi="Times New Roman" w:cs="Times New Roman"/>
          <w:color w:val="000000"/>
          <w:sz w:val="24"/>
          <w:szCs w:val="24"/>
        </w:rPr>
        <w:t>financ</w:t>
      </w:r>
      <w:r w:rsidRPr="004B3881">
        <w:rPr>
          <w:rFonts w:ascii="Times New Roman" w:hAnsi="Times New Roman" w:cs="Times New Roman"/>
          <w:sz w:val="24"/>
          <w:szCs w:val="24"/>
        </w:rPr>
        <w:t>ing</w:t>
      </w:r>
      <w:r w:rsidRPr="004B3881">
        <w:rPr>
          <w:rFonts w:ascii="Times New Roman" w:hAnsi="Times New Roman" w:cs="Times New Roman"/>
          <w:color w:val="000000"/>
          <w:sz w:val="24"/>
          <w:szCs w:val="24"/>
        </w:rPr>
        <w:t xml:space="preserve"> is off the balance sheet of energy companies, b) </w:t>
      </w:r>
      <w:r w:rsidRPr="004B3881">
        <w:rPr>
          <w:rFonts w:ascii="Times New Roman" w:hAnsi="Times New Roman" w:cs="Times New Roman"/>
          <w:sz w:val="24"/>
          <w:szCs w:val="24"/>
        </w:rPr>
        <w:t>project</w:t>
      </w:r>
      <w:r w:rsidRPr="004B3881">
        <w:rPr>
          <w:rFonts w:ascii="Times New Roman" w:hAnsi="Times New Roman" w:cs="Times New Roman"/>
          <w:color w:val="000000"/>
          <w:sz w:val="24"/>
          <w:szCs w:val="24"/>
        </w:rPr>
        <w:t xml:space="preserve"> financing is also off the balance sheets of financial institutions, c) financing does not significantly use up MDB lending space, and d) </w:t>
      </w:r>
      <w:r w:rsidRPr="004B3881">
        <w:rPr>
          <w:rFonts w:ascii="Times New Roman" w:hAnsi="Times New Roman" w:cs="Times New Roman"/>
          <w:sz w:val="24"/>
          <w:szCs w:val="24"/>
        </w:rPr>
        <w:t>renewable energy finance</w:t>
      </w:r>
      <w:r w:rsidRPr="004B3881">
        <w:rPr>
          <w:rFonts w:ascii="Times New Roman" w:hAnsi="Times New Roman" w:cs="Times New Roman"/>
          <w:color w:val="000000"/>
          <w:sz w:val="24"/>
          <w:szCs w:val="24"/>
        </w:rPr>
        <w:t xml:space="preserve"> does not increase developing country government liabilities.</w:t>
      </w:r>
    </w:p>
    <w:p w:rsidRPr="004B3881" w:rsidR="00D828B9" w:rsidP="00B71F5B" w:rsidRDefault="009C06C3" w14:paraId="3BCF05C8" w14:textId="77777777">
      <w:pPr>
        <w:spacing w:line="360" w:lineRule="auto"/>
        <w:ind w:firstLine="720"/>
        <w:jc w:val="both"/>
        <w:rPr>
          <w:rFonts w:ascii="Times New Roman" w:hAnsi="Times New Roman" w:cs="Times New Roman"/>
          <w:b/>
          <w:sz w:val="24"/>
          <w:szCs w:val="24"/>
          <w:u w:val="single"/>
        </w:rPr>
      </w:pPr>
      <w:r w:rsidRPr="004B3881">
        <w:rPr>
          <w:rFonts w:ascii="Times New Roman" w:hAnsi="Times New Roman" w:cs="Times New Roman"/>
          <w:b/>
          <w:sz w:val="24"/>
          <w:szCs w:val="24"/>
        </w:rPr>
        <w:t>Potential</w:t>
      </w:r>
      <w:r w:rsidRPr="004B3881">
        <w:rPr>
          <w:rFonts w:ascii="Times New Roman" w:hAnsi="Times New Roman" w:cs="Times New Roman"/>
          <w:sz w:val="24"/>
          <w:szCs w:val="24"/>
        </w:rPr>
        <w:t xml:space="preserve">: The proposal involves an implicit ‘scaling dynamics’ that mobilizes an additional source of loss absorbing capital: </w:t>
      </w:r>
      <w:proofErr w:type="spellStart"/>
      <w:r w:rsidRPr="004B3881">
        <w:rPr>
          <w:rFonts w:ascii="Times New Roman" w:hAnsi="Times New Roman" w:cs="Times New Roman"/>
          <w:sz w:val="24"/>
          <w:szCs w:val="24"/>
        </w:rPr>
        <w:t>equity+insurance</w:t>
      </w:r>
      <w:proofErr w:type="spellEnd"/>
      <w:r w:rsidRPr="004B3881">
        <w:rPr>
          <w:rFonts w:ascii="Times New Roman" w:hAnsi="Times New Roman" w:cs="Times New Roman"/>
          <w:sz w:val="24"/>
          <w:szCs w:val="24"/>
        </w:rPr>
        <w:t xml:space="preserve"> funds. We believe this approach to have a high potential to scale rapidly in the RE sector, which is nearly half of total mitigation investment needs.</w:t>
      </w:r>
    </w:p>
    <w:p w:rsidRPr="004B3881" w:rsidR="00D828B9" w:rsidP="00B71F5B" w:rsidRDefault="009C06C3" w14:paraId="101D950A" w14:textId="77777777">
      <w:pPr>
        <w:pStyle w:val="Heading1"/>
        <w:spacing w:line="360" w:lineRule="auto"/>
        <w:ind w:firstLine="720"/>
        <w:rPr>
          <w:rFonts w:ascii="Times New Roman" w:hAnsi="Times New Roman" w:cs="Times New Roman"/>
          <w:sz w:val="24"/>
          <w:szCs w:val="24"/>
        </w:rPr>
      </w:pPr>
      <w:bookmarkStart w:name="_vdomui6vtn9w" w:colFirst="0" w:colLast="0" w:id="1"/>
      <w:bookmarkEnd w:id="1"/>
      <w:r w:rsidRPr="004B3881">
        <w:rPr>
          <w:rFonts w:ascii="Times New Roman" w:hAnsi="Times New Roman" w:cs="Times New Roman"/>
          <w:sz w:val="24"/>
          <w:szCs w:val="24"/>
        </w:rPr>
        <w:br w:type="page"/>
      </w:r>
    </w:p>
    <w:p w:rsidRPr="004B3881" w:rsidR="00D828B9" w:rsidP="004B3881" w:rsidRDefault="009C06C3" w14:paraId="59EB49C4" w14:textId="77777777">
      <w:pPr>
        <w:pStyle w:val="Heading1"/>
        <w:spacing w:line="360" w:lineRule="auto"/>
        <w:ind w:firstLine="720"/>
        <w:jc w:val="center"/>
        <w:rPr>
          <w:rFonts w:ascii="Times New Roman" w:hAnsi="Times New Roman" w:cs="Times New Roman"/>
          <w:b/>
          <w:bCs/>
          <w:sz w:val="24"/>
          <w:szCs w:val="24"/>
        </w:rPr>
      </w:pPr>
      <w:bookmarkStart w:name="_7cob005mp3gs" w:colFirst="0" w:colLast="0" w:id="2"/>
      <w:bookmarkEnd w:id="2"/>
      <w:r w:rsidRPr="004B3881">
        <w:rPr>
          <w:rFonts w:ascii="Times New Roman" w:hAnsi="Times New Roman" w:cs="Times New Roman"/>
          <w:b/>
          <w:bCs/>
          <w:sz w:val="24"/>
          <w:szCs w:val="24"/>
        </w:rPr>
        <w:lastRenderedPageBreak/>
        <w:t>Introduction: Context and Problem</w:t>
      </w:r>
    </w:p>
    <w:p w:rsidRPr="004B3881" w:rsidR="00D828B9" w:rsidP="00B71F5B" w:rsidRDefault="009C06C3" w14:paraId="3279D9B1" w14:textId="77777777">
      <w:pPr>
        <w:pBdr>
          <w:top w:val="nil"/>
          <w:left w:val="nil"/>
          <w:bottom w:val="nil"/>
          <w:right w:val="nil"/>
          <w:between w:val="nil"/>
        </w:pBd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According to a June 2023 joint report by IEA and IFC, “</w:t>
      </w:r>
      <w:hyperlink r:id="rId10">
        <w:r w:rsidRPr="004B3881" w:rsidR="00D828B9">
          <w:rPr>
            <w:rFonts w:ascii="Times New Roman" w:hAnsi="Times New Roman" w:cs="Times New Roman"/>
            <w:color w:val="1155CC"/>
            <w:sz w:val="24"/>
            <w:szCs w:val="24"/>
            <w:u w:val="single"/>
          </w:rPr>
          <w:t>Scaling Up Private Finance for Clean Energy in Emerging and Developing Economies</w:t>
        </w:r>
      </w:hyperlink>
      <w:r w:rsidRPr="004B3881">
        <w:rPr>
          <w:rFonts w:ascii="Times New Roman" w:hAnsi="Times New Roman" w:cs="Times New Roman"/>
          <w:sz w:val="24"/>
          <w:szCs w:val="24"/>
        </w:rPr>
        <w:t xml:space="preserve">,” to meet rising energy needs and put the world on track to reach the global Paris Agreement target of net-zero emissions by 2050, capital spending on clean energy in emerging markets and developing economies (EMDEs) must more than triple, from USD $770 bn in 2022 to USD $2.8 trillion annually by the early 2030s. The bulk of this investment needs to be private </w:t>
      </w:r>
      <w:hyperlink r:id="rId11">
        <w:r w:rsidRPr="004B3881" w:rsidR="00D828B9">
          <w:rPr>
            <w:rFonts w:ascii="Times New Roman" w:hAnsi="Times New Roman" w:cs="Times New Roman"/>
            <w:color w:val="000000"/>
            <w:sz w:val="24"/>
            <w:szCs w:val="24"/>
          </w:rPr>
          <w:t>(IEA 2021a)</w:t>
        </w:r>
      </w:hyperlink>
      <w:r w:rsidRPr="004B3881">
        <w:rPr>
          <w:rFonts w:ascii="Times New Roman" w:hAnsi="Times New Roman" w:cs="Times New Roman"/>
          <w:sz w:val="24"/>
          <w:szCs w:val="24"/>
        </w:rPr>
        <w:t>.</w:t>
      </w:r>
    </w:p>
    <w:p w:rsidRPr="004B3881" w:rsidR="00D828B9" w:rsidP="00B71F5B" w:rsidRDefault="009C06C3" w14:paraId="07A12DF3" w14:textId="77777777">
      <w:pPr>
        <w:pBdr>
          <w:top w:val="nil"/>
          <w:left w:val="nil"/>
          <w:bottom w:val="nil"/>
          <w:right w:val="nil"/>
          <w:between w:val="nil"/>
        </w:pBd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A critical component to the transition is the cost of capital felt by projects in developing countries. The cost of capital is generally lower in developed countries than developing countries, reflecting higher sovereign borrowing costs which tend to be passed on to developing countries. A higher cost of capital affects renewable energy severely, slowing down the transition. For example, this paper </w:t>
      </w:r>
      <w:hyperlink r:id="rId12">
        <w:r w:rsidRPr="004B3881" w:rsidR="00D828B9">
          <w:rPr>
            <w:rFonts w:ascii="Times New Roman" w:hAnsi="Times New Roman" w:cs="Times New Roman"/>
            <w:color w:val="1155CC"/>
            <w:sz w:val="24"/>
            <w:szCs w:val="24"/>
            <w:u w:val="single"/>
          </w:rPr>
          <w:t>(Ameli et al. 2021)</w:t>
        </w:r>
      </w:hyperlink>
      <w:r w:rsidRPr="004B3881">
        <w:rPr>
          <w:rFonts w:ascii="Times New Roman" w:hAnsi="Times New Roman" w:cs="Times New Roman"/>
          <w:sz w:val="24"/>
          <w:szCs w:val="24"/>
        </w:rPr>
        <w:t xml:space="preserve"> argues that “policy interventions lowering WACC values for low-carbon and high-carbon technologies by 2050 would allow Africa to reach net-zero emissions approximately 10 years earlier than when the cost of capital reduction is not considered”.</w:t>
      </w:r>
    </w:p>
    <w:p w:rsidRPr="004B3881" w:rsidR="00D828B9" w:rsidP="00B71F5B" w:rsidRDefault="009C06C3" w14:paraId="4D6C842A" w14:textId="77777777">
      <w:pPr>
        <w:pBdr>
          <w:top w:val="nil"/>
          <w:left w:val="nil"/>
          <w:bottom w:val="nil"/>
          <w:right w:val="nil"/>
          <w:between w:val="nil"/>
        </w:pBd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There is thus an urgent need to scale up </w:t>
      </w:r>
      <w:proofErr w:type="gramStart"/>
      <w:r w:rsidRPr="004B3881">
        <w:rPr>
          <w:rFonts w:ascii="Times New Roman" w:hAnsi="Times New Roman" w:cs="Times New Roman"/>
          <w:sz w:val="24"/>
          <w:szCs w:val="24"/>
        </w:rPr>
        <w:t>low cost</w:t>
      </w:r>
      <w:proofErr w:type="gramEnd"/>
      <w:r w:rsidRPr="004B3881">
        <w:rPr>
          <w:rFonts w:ascii="Times New Roman" w:hAnsi="Times New Roman" w:cs="Times New Roman"/>
          <w:sz w:val="24"/>
          <w:szCs w:val="24"/>
        </w:rPr>
        <w:t xml:space="preserve"> private capital to close the financing gap in EMDEs (where climate mitigation action is needed the most), given that EMDEs have limited fiscal space, and international institutions such as the World Bank have limited capacity for lending (and for loan guarantees). As the IEA-IFC report notes, “mobilizing private finance to support the clean energy transition will require the expansion of existing and the launching of new financial instruments, as well as innovations in establishing efficient platforms and partnerships.” This brief proposes a specific approach in that vein.</w:t>
      </w:r>
    </w:p>
    <w:p w:rsidRPr="004B3881" w:rsidR="00D828B9" w:rsidP="00B71F5B" w:rsidRDefault="009C06C3" w14:paraId="571724A2" w14:textId="77777777">
      <w:pPr>
        <w:pBdr>
          <w:top w:val="nil"/>
          <w:left w:val="nil"/>
          <w:bottom w:val="nil"/>
          <w:right w:val="nil"/>
          <w:between w:val="nil"/>
        </w:pBd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Solar power is expected to play an increasingly central role in the clean energy transition. In autumn 2020, during the release of the IEA’s flagship annual World Energy Outlook, IEA Executive Director Fatih Birol said: “Solar is the new king of the global electricity markets.” Comprehensive electrification of energy systems is crucial to achieving net-zero by 2050, and low-cost solar PV will play the central role in power generation in most of the world (some techno-economic studies project that solar PV will provide 70% or more of humanity’s primary energy by 2050 on the strength of being the lowest-cost power generation technology). This is why we have a particular focus on solar power project finance in this brief - and why we’ve named our proposal “Solar Economy Financing System.” </w:t>
      </w:r>
    </w:p>
    <w:p w:rsidRPr="004B3881" w:rsidR="00D828B9" w:rsidP="00B71F5B" w:rsidRDefault="009C06C3" w14:paraId="2DE551D7"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lastRenderedPageBreak/>
        <w:t>Private financial institutions have large quantities of finance available for low-risk investments. But they are currently not participating in the low-carbon energy transition in EMDEs at the scale climate and clean energy policy targets would require, due to risk perceptions and various institutional barriers. Studies</w:t>
      </w:r>
      <w:r w:rsidRPr="004B3881">
        <w:rPr>
          <w:rFonts w:ascii="Times New Roman" w:hAnsi="Times New Roman" w:cs="Times New Roman"/>
          <w:sz w:val="24"/>
          <w:szCs w:val="24"/>
          <w:vertAlign w:val="superscript"/>
        </w:rPr>
        <w:footnoteReference w:id="1"/>
      </w:r>
      <w:r w:rsidRPr="004B3881">
        <w:rPr>
          <w:rFonts w:ascii="Times New Roman" w:hAnsi="Times New Roman" w:cs="Times New Roman"/>
          <w:sz w:val="24"/>
          <w:szCs w:val="24"/>
        </w:rPr>
        <w:t xml:space="preserve"> have shown that new renewable generation outcompetes fossil-fueled alternatives in many cases in terms of levelized cost of energy (LCOE), but important</w:t>
      </w:r>
      <w:r w:rsidRPr="004B3881">
        <w:rPr>
          <w:rFonts w:ascii="Times New Roman" w:hAnsi="Times New Roman" w:cs="Times New Roman"/>
          <w:i/>
          <w:sz w:val="24"/>
          <w:szCs w:val="24"/>
        </w:rPr>
        <w:t xml:space="preserve"> financial</w:t>
      </w:r>
      <w:r w:rsidRPr="004B3881">
        <w:rPr>
          <w:rFonts w:ascii="Times New Roman" w:hAnsi="Times New Roman" w:cs="Times New Roman"/>
          <w:sz w:val="24"/>
          <w:szCs w:val="24"/>
        </w:rPr>
        <w:t xml:space="preserve"> (rather than economic) barriers remain that impede renewable energy investments in EMDEs. A key factor is that the capital costs of renewable energy projects are heavily front-loaded, and interest rates paid by project developers tend to be much higher in EMDEs than in developed economies. In other words, the cost of capital is a critical constraint on meeting the required scale of renewable energy investments in developing countries. </w:t>
      </w:r>
    </w:p>
    <w:p w:rsidRPr="004B3881" w:rsidR="00D828B9" w:rsidP="00B71F5B" w:rsidRDefault="009C06C3" w14:paraId="518169AA" w14:textId="77777777">
      <w:pPr>
        <w:pBdr>
          <w:top w:val="nil"/>
          <w:left w:val="nil"/>
          <w:bottom w:val="nil"/>
          <w:right w:val="nil"/>
          <w:between w:val="nil"/>
        </w:pBdr>
        <w:spacing w:after="200" w:line="360" w:lineRule="auto"/>
        <w:ind w:firstLine="720"/>
        <w:jc w:val="center"/>
        <w:rPr>
          <w:rFonts w:ascii="Times New Roman" w:hAnsi="Times New Roman" w:cs="Times New Roman"/>
          <w:color w:val="44546A"/>
          <w:sz w:val="24"/>
          <w:szCs w:val="24"/>
        </w:rPr>
      </w:pPr>
      <w:r w:rsidRPr="004B3881">
        <w:rPr>
          <w:rFonts w:ascii="Times New Roman" w:hAnsi="Times New Roman" w:cs="Times New Roman"/>
          <w:color w:val="44546A"/>
          <w:sz w:val="24"/>
          <w:szCs w:val="24"/>
        </w:rPr>
        <w:t>Figure 1: influence of WACC on LCOE of PV-generated systems with a system price of 1300EUR/</w:t>
      </w:r>
      <w:proofErr w:type="spellStart"/>
      <w:r w:rsidRPr="004B3881">
        <w:rPr>
          <w:rFonts w:ascii="Times New Roman" w:hAnsi="Times New Roman" w:cs="Times New Roman"/>
          <w:color w:val="44546A"/>
          <w:sz w:val="24"/>
          <w:szCs w:val="24"/>
        </w:rPr>
        <w:t>kWp</w:t>
      </w:r>
      <w:proofErr w:type="spellEnd"/>
      <w:r w:rsidRPr="004B3881">
        <w:rPr>
          <w:rFonts w:ascii="Times New Roman" w:hAnsi="Times New Roman" w:cs="Times New Roman"/>
          <w:color w:val="44546A"/>
          <w:sz w:val="24"/>
          <w:szCs w:val="24"/>
        </w:rPr>
        <w:t>, 20% VAT, 2% O&amp;M cost, an annual generation of 1300kWh/</w:t>
      </w:r>
      <w:proofErr w:type="spellStart"/>
      <w:r w:rsidRPr="004B3881">
        <w:rPr>
          <w:rFonts w:ascii="Times New Roman" w:hAnsi="Times New Roman" w:cs="Times New Roman"/>
          <w:color w:val="44546A"/>
          <w:sz w:val="24"/>
          <w:szCs w:val="24"/>
        </w:rPr>
        <w:t>kWp</w:t>
      </w:r>
      <w:proofErr w:type="spellEnd"/>
      <w:r w:rsidRPr="004B3881">
        <w:rPr>
          <w:rFonts w:ascii="Times New Roman" w:hAnsi="Times New Roman" w:cs="Times New Roman"/>
          <w:color w:val="44546A"/>
          <w:sz w:val="24"/>
          <w:szCs w:val="24"/>
        </w:rPr>
        <w:t xml:space="preserve">/year, and a financial lifetime of 20 years. Source: </w:t>
      </w:r>
      <w:hyperlink r:id="rId13">
        <w:r w:rsidRPr="004B3881" w:rsidR="00D828B9">
          <w:rPr>
            <w:rFonts w:ascii="Times New Roman" w:hAnsi="Times New Roman" w:cs="Times New Roman"/>
            <w:color w:val="1155CC"/>
            <w:sz w:val="24"/>
            <w:szCs w:val="24"/>
            <w:u w:val="single"/>
          </w:rPr>
          <w:t>Jäger-Waldau (2017), Snapshot of Photovoltaics</w:t>
        </w:r>
      </w:hyperlink>
      <w:r w:rsidRPr="004B3881">
        <w:rPr>
          <w:rFonts w:ascii="Times New Roman" w:hAnsi="Times New Roman" w:cs="Times New Roman"/>
          <w:noProof/>
          <w:sz w:val="24"/>
          <w:szCs w:val="24"/>
        </w:rPr>
        <w:drawing>
          <wp:anchor distT="0" distB="0" distL="114300" distR="114300" simplePos="0" relativeHeight="251658240" behindDoc="0" locked="0" layoutInCell="1" hidden="0" allowOverlap="1" wp14:anchorId="28157871" wp14:editId="5ABA4BD5">
            <wp:simplePos x="0" y="0"/>
            <wp:positionH relativeFrom="column">
              <wp:posOffset>2000250</wp:posOffset>
            </wp:positionH>
            <wp:positionV relativeFrom="paragraph">
              <wp:posOffset>28575</wp:posOffset>
            </wp:positionV>
            <wp:extent cx="2997200" cy="1952625"/>
            <wp:effectExtent l="0" t="0" r="0" b="0"/>
            <wp:wrapTopAndBottom distT="0" dist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l="8973" t="2405" r="10096" b="18468"/>
                    <a:stretch>
                      <a:fillRect/>
                    </a:stretch>
                  </pic:blipFill>
                  <pic:spPr>
                    <a:xfrm>
                      <a:off x="0" y="0"/>
                      <a:ext cx="2997200" cy="1952625"/>
                    </a:xfrm>
                    <a:prstGeom prst="rect">
                      <a:avLst/>
                    </a:prstGeom>
                    <a:ln/>
                  </pic:spPr>
                </pic:pic>
              </a:graphicData>
            </a:graphic>
          </wp:anchor>
        </w:drawing>
      </w:r>
    </w:p>
    <w:p w:rsidRPr="004B3881" w:rsidR="00D828B9" w:rsidP="00B71F5B" w:rsidRDefault="009C06C3" w14:paraId="6CBF8050" w14:textId="77777777">
      <w:pPr>
        <w:spacing w:line="360" w:lineRule="auto"/>
        <w:ind w:firstLine="720"/>
        <w:jc w:val="both"/>
        <w:rPr>
          <w:rFonts w:ascii="Times New Roman" w:hAnsi="Times New Roman" w:cs="Times New Roman"/>
          <w:color w:val="44546A"/>
          <w:sz w:val="24"/>
          <w:szCs w:val="24"/>
        </w:rPr>
      </w:pPr>
      <w:r w:rsidRPr="004B3881">
        <w:rPr>
          <w:rFonts w:ascii="Times New Roman" w:hAnsi="Times New Roman" w:cs="Times New Roman"/>
          <w:sz w:val="24"/>
          <w:szCs w:val="24"/>
        </w:rPr>
        <w:t>While MDBs have been working with governments and financial institutions to test innovative green/climate financial instruments, the majority</w:t>
      </w:r>
      <w:r w:rsidRPr="004B3881">
        <w:rPr>
          <w:rFonts w:ascii="Times New Roman" w:hAnsi="Times New Roman" w:cs="Times New Roman"/>
          <w:sz w:val="24"/>
          <w:szCs w:val="24"/>
          <w:vertAlign w:val="superscript"/>
        </w:rPr>
        <w:footnoteReference w:id="2"/>
      </w:r>
      <w:r w:rsidRPr="004B3881">
        <w:rPr>
          <w:rFonts w:ascii="Times New Roman" w:hAnsi="Times New Roman" w:cs="Times New Roman"/>
          <w:sz w:val="24"/>
          <w:szCs w:val="24"/>
        </w:rPr>
        <w:t xml:space="preserve"> of MDBs’ climate financing is carried out through direct lending. More focus is required on how MDB finance could be leveraged to reduce the risks of green investments faced by private investors. The following sections propose one way to do that - comprehensively, globally, and on the enormous scale required. </w:t>
      </w:r>
    </w:p>
    <w:p w:rsidRPr="004B3881" w:rsidR="00D828B9" w:rsidP="00B71F5B" w:rsidRDefault="009C06C3" w14:paraId="09AA69F0" w14:textId="77777777">
      <w:pPr>
        <w:pBdr>
          <w:top w:val="nil"/>
          <w:left w:val="nil"/>
          <w:bottom w:val="nil"/>
          <w:right w:val="nil"/>
          <w:between w:val="nil"/>
        </w:pBdr>
        <w:spacing w:after="200" w:line="360" w:lineRule="auto"/>
        <w:ind w:firstLine="720"/>
        <w:rPr>
          <w:rFonts w:ascii="Times New Roman" w:hAnsi="Times New Roman" w:cs="Times New Roman"/>
          <w:i/>
          <w:color w:val="44546A"/>
          <w:sz w:val="24"/>
          <w:szCs w:val="24"/>
        </w:rPr>
      </w:pPr>
      <w:r w:rsidRPr="004B3881">
        <w:rPr>
          <w:rFonts w:ascii="Times New Roman" w:hAnsi="Times New Roman" w:cs="Times New Roman"/>
          <w:noProof/>
          <w:sz w:val="24"/>
          <w:szCs w:val="24"/>
        </w:rPr>
        <w:lastRenderedPageBreak/>
        <w:drawing>
          <wp:anchor distT="0" distB="0" distL="114300" distR="114300" simplePos="0" relativeHeight="251659264" behindDoc="0" locked="0" layoutInCell="1" hidden="0" allowOverlap="1" wp14:anchorId="37FC20D7" wp14:editId="5E84B89D">
            <wp:simplePos x="0" y="0"/>
            <wp:positionH relativeFrom="column">
              <wp:posOffset>923925</wp:posOffset>
            </wp:positionH>
            <wp:positionV relativeFrom="paragraph">
              <wp:posOffset>57150</wp:posOffset>
            </wp:positionV>
            <wp:extent cx="4099560" cy="1666875"/>
            <wp:effectExtent l="0" t="0" r="0" b="0"/>
            <wp:wrapTopAndBottom distT="0" dist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t="10098"/>
                    <a:stretch>
                      <a:fillRect/>
                    </a:stretch>
                  </pic:blipFill>
                  <pic:spPr>
                    <a:xfrm>
                      <a:off x="0" y="0"/>
                      <a:ext cx="4099560" cy="1666875"/>
                    </a:xfrm>
                    <a:prstGeom prst="rect">
                      <a:avLst/>
                    </a:prstGeom>
                    <a:ln/>
                  </pic:spPr>
                </pic:pic>
              </a:graphicData>
            </a:graphic>
          </wp:anchor>
        </w:drawing>
      </w:r>
    </w:p>
    <w:p w:rsidRPr="004B3881" w:rsidR="00D828B9" w:rsidP="00B71F5B" w:rsidRDefault="009C06C3" w14:paraId="69AECCD0" w14:textId="77777777">
      <w:pPr>
        <w:pBdr>
          <w:top w:val="nil"/>
          <w:left w:val="nil"/>
          <w:bottom w:val="nil"/>
          <w:right w:val="nil"/>
          <w:between w:val="nil"/>
        </w:pBdr>
        <w:spacing w:after="200" w:line="360" w:lineRule="auto"/>
        <w:ind w:firstLine="720"/>
        <w:jc w:val="center"/>
        <w:rPr>
          <w:rFonts w:ascii="Times New Roman" w:hAnsi="Times New Roman" w:cs="Times New Roman"/>
          <w:color w:val="44546A"/>
          <w:sz w:val="24"/>
          <w:szCs w:val="24"/>
        </w:rPr>
      </w:pPr>
      <w:r w:rsidRPr="004B3881">
        <w:rPr>
          <w:rFonts w:ascii="Times New Roman" w:hAnsi="Times New Roman" w:cs="Times New Roman"/>
          <w:color w:val="44546A"/>
          <w:sz w:val="24"/>
          <w:szCs w:val="24"/>
        </w:rPr>
        <w:t xml:space="preserve">Figure 2: Total MDB climate finance by type of instrument, 2020 (in US$ million). Source: </w:t>
      </w:r>
      <w:hyperlink r:id="rId16">
        <w:r w:rsidRPr="004B3881" w:rsidR="00D828B9">
          <w:rPr>
            <w:rFonts w:ascii="Times New Roman" w:hAnsi="Times New Roman" w:cs="Times New Roman"/>
            <w:color w:val="1155CC"/>
            <w:sz w:val="24"/>
            <w:szCs w:val="24"/>
            <w:u w:val="single"/>
          </w:rPr>
          <w:t>Joint 2020 Joint Report on MD</w:t>
        </w:r>
      </w:hyperlink>
      <w:hyperlink r:id="rId17">
        <w:r w:rsidRPr="004B3881" w:rsidR="00D828B9">
          <w:rPr>
            <w:rFonts w:ascii="Times New Roman" w:hAnsi="Times New Roman" w:cs="Times New Roman"/>
            <w:color w:val="1155CC"/>
            <w:sz w:val="24"/>
            <w:szCs w:val="24"/>
            <w:u w:val="single"/>
          </w:rPr>
          <w:t>Bs’ Climate Finance</w:t>
        </w:r>
      </w:hyperlink>
      <w:r w:rsidRPr="004B3881">
        <w:rPr>
          <w:rFonts w:ascii="Times New Roman" w:hAnsi="Times New Roman" w:cs="Times New Roman"/>
          <w:color w:val="44546A"/>
          <w:sz w:val="24"/>
          <w:szCs w:val="24"/>
        </w:rPr>
        <w:t xml:space="preserve">  </w:t>
      </w:r>
    </w:p>
    <w:p w:rsidRPr="004B3881" w:rsidR="00D828B9" w:rsidP="00B71F5B" w:rsidRDefault="00D828B9" w14:paraId="71F44357" w14:textId="77777777">
      <w:pPr>
        <w:pBdr>
          <w:top w:val="nil"/>
          <w:left w:val="nil"/>
          <w:bottom w:val="nil"/>
          <w:right w:val="nil"/>
          <w:between w:val="nil"/>
        </w:pBdr>
        <w:spacing w:line="360" w:lineRule="auto"/>
        <w:ind w:firstLine="720"/>
        <w:jc w:val="both"/>
        <w:rPr>
          <w:rFonts w:ascii="Times New Roman" w:hAnsi="Times New Roman" w:cs="Times New Roman"/>
          <w:sz w:val="24"/>
          <w:szCs w:val="24"/>
        </w:rPr>
      </w:pPr>
    </w:p>
    <w:p w:rsidRPr="004B3881" w:rsidR="00D828B9" w:rsidP="00B71F5B" w:rsidRDefault="009C06C3" w14:paraId="42C86381" w14:textId="77777777">
      <w:pPr>
        <w:pBdr>
          <w:top w:val="nil"/>
          <w:left w:val="nil"/>
          <w:bottom w:val="nil"/>
          <w:right w:val="nil"/>
          <w:between w:val="nil"/>
        </w:pBd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br w:type="page"/>
      </w:r>
    </w:p>
    <w:p w:rsidRPr="004B3881" w:rsidR="00D828B9" w:rsidP="004B3881" w:rsidRDefault="009C06C3" w14:paraId="1C9E324B" w14:textId="77777777">
      <w:pPr>
        <w:pStyle w:val="Heading1"/>
        <w:spacing w:line="360" w:lineRule="auto"/>
        <w:ind w:firstLine="720"/>
        <w:jc w:val="center"/>
        <w:rPr>
          <w:rFonts w:ascii="Times New Roman" w:hAnsi="Times New Roman" w:cs="Times New Roman"/>
          <w:b/>
          <w:bCs/>
          <w:sz w:val="24"/>
          <w:szCs w:val="24"/>
        </w:rPr>
      </w:pPr>
      <w:bookmarkStart w:name="_srq2pgjmfbfc" w:colFirst="0" w:colLast="0" w:id="3"/>
      <w:bookmarkEnd w:id="3"/>
      <w:r w:rsidRPr="004B3881">
        <w:rPr>
          <w:rFonts w:ascii="Times New Roman" w:hAnsi="Times New Roman" w:cs="Times New Roman"/>
          <w:b/>
          <w:bCs/>
          <w:sz w:val="24"/>
          <w:szCs w:val="24"/>
        </w:rPr>
        <w:lastRenderedPageBreak/>
        <w:t>How the Scheme Works</w:t>
      </w:r>
    </w:p>
    <w:p w:rsidRPr="004B3881" w:rsidR="00D828B9" w:rsidP="004B3881" w:rsidRDefault="009C06C3" w14:paraId="7BFC2655" w14:textId="77777777">
      <w:pPr>
        <w:spacing w:line="360" w:lineRule="auto"/>
        <w:jc w:val="both"/>
        <w:rPr>
          <w:rFonts w:ascii="Times New Roman" w:hAnsi="Times New Roman" w:cs="Times New Roman"/>
          <w:color w:val="000000"/>
          <w:sz w:val="24"/>
          <w:szCs w:val="24"/>
        </w:rPr>
      </w:pPr>
      <w:r w:rsidRPr="004B3881">
        <w:rPr>
          <w:rFonts w:ascii="Times New Roman" w:hAnsi="Times New Roman" w:cs="Times New Roman"/>
          <w:sz w:val="24"/>
          <w:szCs w:val="24"/>
        </w:rPr>
        <w:t>There are three components to the proposed scheme:</w:t>
      </w:r>
    </w:p>
    <w:p w:rsidR="004B3881" w:rsidP="004B3881" w:rsidRDefault="009C06C3" w14:paraId="3EA8890F" w14:textId="77777777">
      <w:pPr>
        <w:pStyle w:val="ListParagraph"/>
        <w:numPr>
          <w:ilvl w:val="0"/>
          <w:numId w:val="5"/>
        </w:numPr>
        <w:spacing w:line="360" w:lineRule="auto"/>
        <w:jc w:val="both"/>
        <w:rPr>
          <w:rFonts w:ascii="Times New Roman" w:hAnsi="Times New Roman" w:cs="Times New Roman"/>
          <w:sz w:val="24"/>
          <w:szCs w:val="24"/>
        </w:rPr>
      </w:pPr>
      <w:r w:rsidRPr="004B3881">
        <w:rPr>
          <w:rFonts w:ascii="Times New Roman" w:hAnsi="Times New Roman" w:cs="Times New Roman"/>
          <w:sz w:val="24"/>
          <w:szCs w:val="24"/>
        </w:rPr>
        <w:t>WB Guarantees to those countries that conduct renewable auctions</w:t>
      </w:r>
    </w:p>
    <w:p w:rsidRPr="004B3881" w:rsidR="004B3881" w:rsidP="004B3881" w:rsidRDefault="009C06C3" w14:paraId="6A8133BA" w14:textId="77777777">
      <w:pPr>
        <w:pStyle w:val="ListParagraph"/>
        <w:numPr>
          <w:ilvl w:val="0"/>
          <w:numId w:val="5"/>
        </w:numPr>
        <w:spacing w:line="360" w:lineRule="auto"/>
        <w:jc w:val="both"/>
        <w:rPr>
          <w:rFonts w:ascii="Times New Roman" w:hAnsi="Times New Roman" w:cs="Times New Roman"/>
          <w:sz w:val="24"/>
          <w:szCs w:val="24"/>
        </w:rPr>
      </w:pPr>
      <w:r w:rsidRPr="004B3881">
        <w:rPr>
          <w:rFonts w:ascii="Times New Roman" w:hAnsi="Times New Roman" w:cs="Times New Roman"/>
          <w:color w:val="000000"/>
          <w:sz w:val="24"/>
          <w:szCs w:val="24"/>
        </w:rPr>
        <w:t>Special Purpose Vehicles (SPVs) for issuing de-risked green bonds backed by the</w:t>
      </w:r>
      <w:r w:rsidRPr="004B3881" w:rsidR="004B3881">
        <w:rPr>
          <w:rFonts w:ascii="Times New Roman" w:hAnsi="Times New Roman" w:cs="Times New Roman"/>
          <w:color w:val="000000"/>
          <w:sz w:val="24"/>
          <w:szCs w:val="24"/>
        </w:rPr>
        <w:t xml:space="preserve"> </w:t>
      </w:r>
      <w:r w:rsidRPr="004B3881">
        <w:rPr>
          <w:rFonts w:ascii="Times New Roman" w:hAnsi="Times New Roman" w:cs="Times New Roman"/>
          <w:sz w:val="24"/>
          <w:szCs w:val="24"/>
        </w:rPr>
        <w:t xml:space="preserve">guaranteed </w:t>
      </w:r>
      <w:proofErr w:type="gramStart"/>
      <w:r w:rsidRPr="004B3881">
        <w:rPr>
          <w:rFonts w:ascii="Times New Roman" w:hAnsi="Times New Roman" w:cs="Times New Roman"/>
          <w:sz w:val="24"/>
          <w:szCs w:val="24"/>
        </w:rPr>
        <w:t>revenues</w:t>
      </w:r>
      <w:r w:rsidRPr="004B3881">
        <w:rPr>
          <w:rFonts w:ascii="Times New Roman" w:hAnsi="Times New Roman" w:cs="Times New Roman"/>
          <w:color w:val="000000"/>
          <w:sz w:val="24"/>
          <w:szCs w:val="24"/>
        </w:rPr>
        <w:t>;</w:t>
      </w:r>
      <w:proofErr w:type="gramEnd"/>
    </w:p>
    <w:p w:rsidRPr="004B3881" w:rsidR="00D828B9" w:rsidP="004B3881" w:rsidRDefault="009C06C3" w14:paraId="68ACB883" w14:textId="12BFFE08">
      <w:pPr>
        <w:pStyle w:val="ListParagraph"/>
        <w:numPr>
          <w:ilvl w:val="0"/>
          <w:numId w:val="5"/>
        </w:numPr>
        <w:spacing w:line="360" w:lineRule="auto"/>
        <w:jc w:val="both"/>
        <w:rPr>
          <w:rFonts w:ascii="Times New Roman" w:hAnsi="Times New Roman" w:cs="Times New Roman"/>
          <w:sz w:val="24"/>
          <w:szCs w:val="24"/>
        </w:rPr>
      </w:pPr>
      <w:r w:rsidRPr="004B3881">
        <w:rPr>
          <w:rFonts w:ascii="Times New Roman" w:hAnsi="Times New Roman" w:cs="Times New Roman"/>
          <w:color w:val="000000"/>
          <w:sz w:val="24"/>
          <w:szCs w:val="24"/>
        </w:rPr>
        <w:t>A global equity fund, which co-invests in the early stages of project construction and takes profit through r</w:t>
      </w:r>
      <w:r w:rsidRPr="004B3881">
        <w:rPr>
          <w:rFonts w:ascii="Times New Roman" w:hAnsi="Times New Roman" w:cs="Times New Roman"/>
          <w:sz w:val="24"/>
          <w:szCs w:val="24"/>
        </w:rPr>
        <w:t xml:space="preserve">efinancing </w:t>
      </w:r>
      <w:proofErr w:type="gramStart"/>
      <w:r w:rsidRPr="004B3881">
        <w:rPr>
          <w:rFonts w:ascii="Times New Roman" w:hAnsi="Times New Roman" w:cs="Times New Roman"/>
          <w:sz w:val="24"/>
          <w:szCs w:val="24"/>
        </w:rPr>
        <w:t>both of the debt</w:t>
      </w:r>
      <w:proofErr w:type="gramEnd"/>
      <w:r w:rsidRPr="004B3881">
        <w:rPr>
          <w:rFonts w:ascii="Times New Roman" w:hAnsi="Times New Roman" w:cs="Times New Roman"/>
          <w:sz w:val="24"/>
          <w:szCs w:val="24"/>
        </w:rPr>
        <w:t xml:space="preserve"> and equity components</w:t>
      </w:r>
    </w:p>
    <w:p w:rsidRPr="004B3881" w:rsidR="00D828B9" w:rsidP="004B3881" w:rsidRDefault="009C06C3" w14:paraId="452F5ED1" w14:textId="77777777">
      <w:pPr>
        <w:spacing w:line="360" w:lineRule="auto"/>
        <w:jc w:val="both"/>
        <w:rPr>
          <w:rFonts w:ascii="Times New Roman" w:hAnsi="Times New Roman" w:cs="Times New Roman"/>
          <w:sz w:val="24"/>
          <w:szCs w:val="24"/>
        </w:rPr>
      </w:pPr>
      <w:r w:rsidRPr="004B3881">
        <w:rPr>
          <w:rFonts w:ascii="Times New Roman" w:hAnsi="Times New Roman" w:cs="Times New Roman"/>
          <w:sz w:val="24"/>
          <w:szCs w:val="24"/>
        </w:rPr>
        <w:t>These components are covered in detail in the next sections.</w:t>
      </w:r>
    </w:p>
    <w:p w:rsidRPr="004B3881" w:rsidR="00D828B9" w:rsidP="004B3881" w:rsidRDefault="009C06C3" w14:paraId="455560FA" w14:textId="77777777">
      <w:pPr>
        <w:pBdr>
          <w:top w:val="nil"/>
          <w:left w:val="nil"/>
          <w:bottom w:val="nil"/>
          <w:right w:val="nil"/>
          <w:between w:val="nil"/>
        </w:pBdr>
        <w:spacing w:line="360" w:lineRule="auto"/>
        <w:jc w:val="both"/>
        <w:rPr>
          <w:rFonts w:ascii="Times New Roman" w:hAnsi="Times New Roman" w:cs="Times New Roman"/>
          <w:sz w:val="24"/>
          <w:szCs w:val="24"/>
        </w:rPr>
      </w:pPr>
      <w:r w:rsidRPr="004B3881">
        <w:rPr>
          <w:rFonts w:ascii="Times New Roman" w:hAnsi="Times New Roman" w:cs="Times New Roman"/>
          <w:sz w:val="24"/>
          <w:szCs w:val="24"/>
        </w:rPr>
        <w:t xml:space="preserve">Three components not covered here but could be developed </w:t>
      </w:r>
      <w:proofErr w:type="gramStart"/>
      <w:r w:rsidRPr="004B3881">
        <w:rPr>
          <w:rFonts w:ascii="Times New Roman" w:hAnsi="Times New Roman" w:cs="Times New Roman"/>
          <w:sz w:val="24"/>
          <w:szCs w:val="24"/>
        </w:rPr>
        <w:t>at a later date</w:t>
      </w:r>
      <w:proofErr w:type="gramEnd"/>
      <w:r w:rsidRPr="004B3881">
        <w:rPr>
          <w:rFonts w:ascii="Times New Roman" w:hAnsi="Times New Roman" w:cs="Times New Roman"/>
          <w:sz w:val="24"/>
          <w:szCs w:val="24"/>
        </w:rPr>
        <w:t xml:space="preserve"> include:</w:t>
      </w:r>
    </w:p>
    <w:p w:rsidRPr="004B3881" w:rsidR="00D828B9" w:rsidP="004B3881" w:rsidRDefault="009C06C3" w14:paraId="7776239E" w14:textId="66DA1A23">
      <w:pPr>
        <w:pStyle w:val="ListParagraph"/>
        <w:numPr>
          <w:ilvl w:val="0"/>
          <w:numId w:val="3"/>
        </w:numPr>
        <w:pBdr>
          <w:top w:val="nil"/>
          <w:left w:val="nil"/>
          <w:bottom w:val="nil"/>
          <w:right w:val="nil"/>
          <w:between w:val="nil"/>
        </w:pBdr>
        <w:spacing w:line="360" w:lineRule="auto"/>
        <w:jc w:val="both"/>
        <w:rPr>
          <w:rFonts w:ascii="Times New Roman" w:hAnsi="Times New Roman" w:cs="Times New Roman"/>
          <w:sz w:val="24"/>
          <w:szCs w:val="24"/>
        </w:rPr>
      </w:pPr>
      <w:r w:rsidRPr="004B3881">
        <w:rPr>
          <w:rFonts w:ascii="Times New Roman" w:hAnsi="Times New Roman" w:cs="Times New Roman"/>
          <w:sz w:val="24"/>
          <w:szCs w:val="24"/>
        </w:rPr>
        <w:t>Accessing both global and domestic financing through derisking (i.e., once the risk is concentrated away from the deb component, it becomes easy to offer green deposits (green money market funds) as well as de-risked green bonds to access global financing</w:t>
      </w:r>
    </w:p>
    <w:p w:rsidRPr="004B3881" w:rsidR="00D828B9" w:rsidP="004B3881" w:rsidRDefault="009C06C3" w14:paraId="0A416B93" w14:textId="4C525E1E">
      <w:pPr>
        <w:pStyle w:val="ListParagraph"/>
        <w:numPr>
          <w:ilvl w:val="0"/>
          <w:numId w:val="3"/>
        </w:numPr>
        <w:pBdr>
          <w:top w:val="nil"/>
          <w:left w:val="nil"/>
          <w:bottom w:val="nil"/>
          <w:right w:val="nil"/>
          <w:between w:val="nil"/>
        </w:pBdr>
        <w:spacing w:line="360" w:lineRule="auto"/>
        <w:jc w:val="both"/>
        <w:rPr>
          <w:rFonts w:ascii="Times New Roman" w:hAnsi="Times New Roman" w:cs="Times New Roman"/>
          <w:sz w:val="24"/>
          <w:szCs w:val="24"/>
        </w:rPr>
      </w:pPr>
      <w:r w:rsidRPr="004B3881">
        <w:rPr>
          <w:rFonts w:ascii="Times New Roman" w:hAnsi="Times New Roman" w:cs="Times New Roman"/>
          <w:sz w:val="24"/>
          <w:szCs w:val="24"/>
        </w:rPr>
        <w:t>Wrapping up the financial components offshore (perhaps initially in the IFC) in a simple ‘pay as you go’ model for clean energy, so that countries are not exposed to risk (FX, interest rates etc.) and have contractual certainty (e.g. they pay 6c/kwh for clean energy this year, 5.9c/kWh next year, and so on)</w:t>
      </w:r>
    </w:p>
    <w:p w:rsidRPr="004B3881" w:rsidR="00D828B9" w:rsidP="004B3881" w:rsidRDefault="009C06C3" w14:paraId="0AC88D98" w14:textId="0CEAEB81">
      <w:pPr>
        <w:pStyle w:val="ListParagraph"/>
        <w:numPr>
          <w:ilvl w:val="0"/>
          <w:numId w:val="3"/>
        </w:numPr>
        <w:pBdr>
          <w:top w:val="nil"/>
          <w:left w:val="nil"/>
          <w:bottom w:val="nil"/>
          <w:right w:val="nil"/>
          <w:between w:val="nil"/>
        </w:pBdr>
        <w:spacing w:line="360" w:lineRule="auto"/>
        <w:jc w:val="both"/>
        <w:rPr>
          <w:rFonts w:ascii="Times New Roman" w:hAnsi="Times New Roman" w:cs="Times New Roman"/>
          <w:sz w:val="24"/>
          <w:szCs w:val="24"/>
        </w:rPr>
      </w:pPr>
      <w:r w:rsidRPr="004B3881">
        <w:rPr>
          <w:rFonts w:ascii="Times New Roman" w:hAnsi="Times New Roman" w:cs="Times New Roman"/>
          <w:sz w:val="24"/>
          <w:szCs w:val="24"/>
        </w:rPr>
        <w:t>Providing standardized pre-approved pre-connected sites for renewable development (see appendix for more information on this).</w:t>
      </w:r>
    </w:p>
    <w:p w:rsidRPr="004B3881" w:rsidR="00D828B9" w:rsidP="00B71F5B" w:rsidRDefault="009C06C3" w14:paraId="4AECB39F" w14:textId="77777777">
      <w:pPr>
        <w:pStyle w:val="Heading1"/>
        <w:spacing w:line="360" w:lineRule="auto"/>
        <w:ind w:firstLine="720"/>
        <w:jc w:val="both"/>
        <w:rPr>
          <w:rFonts w:ascii="Times New Roman" w:hAnsi="Times New Roman" w:cs="Times New Roman"/>
          <w:sz w:val="24"/>
          <w:szCs w:val="24"/>
        </w:rPr>
      </w:pPr>
      <w:bookmarkStart w:name="_74jtocyboqeo" w:colFirst="0" w:colLast="0" w:id="4"/>
      <w:bookmarkEnd w:id="4"/>
      <w:r w:rsidRPr="004B3881">
        <w:rPr>
          <w:rFonts w:ascii="Times New Roman" w:hAnsi="Times New Roman" w:cs="Times New Roman"/>
          <w:sz w:val="24"/>
          <w:szCs w:val="24"/>
        </w:rPr>
        <w:br w:type="page"/>
      </w:r>
    </w:p>
    <w:p w:rsidRPr="004B3881" w:rsidR="00D828B9" w:rsidP="004B3881" w:rsidRDefault="009C06C3" w14:paraId="75B3A576" w14:textId="77777777">
      <w:pPr>
        <w:pStyle w:val="Heading1"/>
        <w:spacing w:line="360" w:lineRule="auto"/>
        <w:ind w:firstLine="720"/>
        <w:jc w:val="center"/>
        <w:rPr>
          <w:rFonts w:ascii="Times New Roman" w:hAnsi="Times New Roman" w:cs="Times New Roman"/>
          <w:b/>
          <w:bCs/>
          <w:sz w:val="24"/>
          <w:szCs w:val="24"/>
        </w:rPr>
      </w:pPr>
      <w:bookmarkStart w:name="_hb3reeydtjjy" w:colFirst="0" w:colLast="0" w:id="5"/>
      <w:bookmarkEnd w:id="5"/>
      <w:r w:rsidRPr="004B3881">
        <w:rPr>
          <w:rFonts w:ascii="Times New Roman" w:hAnsi="Times New Roman" w:cs="Times New Roman"/>
          <w:b/>
          <w:bCs/>
          <w:sz w:val="24"/>
          <w:szCs w:val="24"/>
        </w:rPr>
        <w:lastRenderedPageBreak/>
        <w:t>Details of the Scheme Components</w:t>
      </w:r>
    </w:p>
    <w:p w:rsidRPr="004B3881" w:rsidR="00D828B9" w:rsidP="004B3881" w:rsidRDefault="009C06C3" w14:paraId="07DFA3BF" w14:textId="365B4F48">
      <w:pPr>
        <w:pStyle w:val="Heading2"/>
        <w:numPr>
          <w:ilvl w:val="3"/>
          <w:numId w:val="3"/>
        </w:numPr>
        <w:spacing w:line="360" w:lineRule="auto"/>
        <w:rPr>
          <w:rFonts w:ascii="Times New Roman" w:hAnsi="Times New Roman" w:cs="Times New Roman"/>
          <w:b/>
          <w:bCs/>
          <w:color w:val="000000" w:themeColor="text1"/>
          <w:sz w:val="24"/>
          <w:szCs w:val="24"/>
        </w:rPr>
      </w:pPr>
      <w:bookmarkStart w:name="_7bxx4wuoaidz" w:colFirst="0" w:colLast="0" w:id="6"/>
      <w:bookmarkEnd w:id="6"/>
      <w:r w:rsidRPr="004B3881">
        <w:rPr>
          <w:rFonts w:ascii="Times New Roman" w:hAnsi="Times New Roman" w:cs="Times New Roman"/>
          <w:b/>
          <w:bCs/>
          <w:color w:val="000000" w:themeColor="text1"/>
          <w:sz w:val="24"/>
          <w:szCs w:val="24"/>
        </w:rPr>
        <w:t>Guarantees for Solar Power Project Revenue Risks</w:t>
      </w:r>
    </w:p>
    <w:p w:rsidRPr="004B3881" w:rsidR="00D828B9" w:rsidP="00B71F5B" w:rsidRDefault="00000000" w14:paraId="29997DE0" w14:textId="77777777">
      <w:pPr>
        <w:spacing w:line="360" w:lineRule="auto"/>
        <w:ind w:firstLine="720"/>
        <w:jc w:val="both"/>
        <w:rPr>
          <w:rFonts w:ascii="Times New Roman" w:hAnsi="Times New Roman" w:cs="Times New Roman"/>
          <w:sz w:val="24"/>
          <w:szCs w:val="24"/>
        </w:rPr>
      </w:pPr>
      <w:hyperlink r:id="rId18">
        <w:r w:rsidRPr="004B3881" w:rsidR="00D828B9">
          <w:rPr>
            <w:rFonts w:ascii="Times New Roman" w:hAnsi="Times New Roman" w:cs="Times New Roman"/>
            <w:color w:val="1155CC"/>
            <w:sz w:val="24"/>
            <w:szCs w:val="24"/>
            <w:u w:val="single"/>
          </w:rPr>
          <w:t>PPAs are agreements to purchase power</w:t>
        </w:r>
      </w:hyperlink>
      <w:r w:rsidRPr="004B3881" w:rsidR="00D828B9">
        <w:rPr>
          <w:rFonts w:ascii="Times New Roman" w:hAnsi="Times New Roman" w:cs="Times New Roman"/>
          <w:sz w:val="24"/>
          <w:szCs w:val="24"/>
        </w:rPr>
        <w:t xml:space="preserve"> from a power station – i.e., in the context of the Solar Economy Financing System, a solar PV farm or a hybrid solar + wind + energy storage park. PPAs guarantee the price paid per MWh by the grid operator (usually a State-Owned Enterprise, SOE) to an Independent Power Producer (IPP) over a </w:t>
      </w:r>
      <w:proofErr w:type="gramStart"/>
      <w:r w:rsidRPr="004B3881" w:rsidR="00D828B9">
        <w:rPr>
          <w:rFonts w:ascii="Times New Roman" w:hAnsi="Times New Roman" w:cs="Times New Roman"/>
          <w:sz w:val="24"/>
          <w:szCs w:val="24"/>
        </w:rPr>
        <w:t>long time</w:t>
      </w:r>
      <w:proofErr w:type="gramEnd"/>
      <w:r w:rsidRPr="004B3881" w:rsidR="00D828B9">
        <w:rPr>
          <w:rFonts w:ascii="Times New Roman" w:hAnsi="Times New Roman" w:cs="Times New Roman"/>
          <w:sz w:val="24"/>
          <w:szCs w:val="24"/>
        </w:rPr>
        <w:t xml:space="preserve"> horizon - often 10, 15, or even 25 years. Power purchase agreements are commonly used in electricity systems where the grid operator is a state-owned enterprise and power project developers are private companies (“independent power producers,” IPPs). Here we refer to PPAs to also include Feed in </w:t>
      </w:r>
      <w:proofErr w:type="spellStart"/>
      <w:r w:rsidRPr="004B3881" w:rsidR="00D828B9">
        <w:rPr>
          <w:rFonts w:ascii="Times New Roman" w:hAnsi="Times New Roman" w:cs="Times New Roman"/>
          <w:sz w:val="24"/>
          <w:szCs w:val="24"/>
        </w:rPr>
        <w:t>Tarrifs</w:t>
      </w:r>
      <w:proofErr w:type="spellEnd"/>
      <w:r w:rsidRPr="004B3881" w:rsidR="00D828B9">
        <w:rPr>
          <w:rFonts w:ascii="Times New Roman" w:hAnsi="Times New Roman" w:cs="Times New Roman"/>
          <w:sz w:val="24"/>
          <w:szCs w:val="24"/>
        </w:rPr>
        <w:t xml:space="preserve"> (FITs) and any other mechanisms for guaranteeing the price paid for revenues from projects.</w:t>
      </w:r>
    </w:p>
    <w:p w:rsidRPr="004B3881" w:rsidR="00D828B9" w:rsidP="00B71F5B" w:rsidRDefault="009C06C3" w14:paraId="007EC9A7"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PPAs are </w:t>
      </w:r>
      <w:hyperlink r:id="rId19">
        <w:r w:rsidRPr="004B3881" w:rsidR="00D828B9">
          <w:rPr>
            <w:rFonts w:ascii="Times New Roman" w:hAnsi="Times New Roman" w:cs="Times New Roman"/>
            <w:color w:val="1155CC"/>
            <w:sz w:val="24"/>
            <w:szCs w:val="24"/>
            <w:u w:val="single"/>
          </w:rPr>
          <w:t>often assigned through auctions</w:t>
        </w:r>
      </w:hyperlink>
      <w:r w:rsidRPr="004B3881">
        <w:rPr>
          <w:rFonts w:ascii="Times New Roman" w:hAnsi="Times New Roman" w:cs="Times New Roman"/>
          <w:sz w:val="24"/>
          <w:szCs w:val="24"/>
        </w:rPr>
        <w:t xml:space="preserve">. Auctions should align with </w:t>
      </w:r>
      <w:hyperlink r:id="rId20">
        <w:r w:rsidRPr="004B3881" w:rsidR="00D828B9">
          <w:rPr>
            <w:rFonts w:ascii="Times New Roman" w:hAnsi="Times New Roman" w:cs="Times New Roman"/>
            <w:color w:val="1155CC"/>
            <w:sz w:val="24"/>
            <w:szCs w:val="24"/>
            <w:u w:val="single"/>
          </w:rPr>
          <w:t>best practices</w:t>
        </w:r>
      </w:hyperlink>
      <w:r w:rsidRPr="004B3881">
        <w:rPr>
          <w:rFonts w:ascii="Times New Roman" w:hAnsi="Times New Roman" w:cs="Times New Roman"/>
          <w:sz w:val="24"/>
          <w:szCs w:val="24"/>
        </w:rPr>
        <w:t xml:space="preserve">; among other things, they should be open to a wide range of participants. </w:t>
      </w:r>
    </w:p>
    <w:p w:rsidRPr="004B3881" w:rsidR="00D828B9" w:rsidP="00B71F5B" w:rsidRDefault="009C06C3" w14:paraId="1B0AC5E4"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In our proposed scheme, participating developing countries would scale up the number of PPA auctions, which have </w:t>
      </w:r>
      <w:hyperlink r:id="rId21">
        <w:r w:rsidRPr="004B3881" w:rsidR="00D828B9">
          <w:rPr>
            <w:rFonts w:ascii="Times New Roman" w:hAnsi="Times New Roman" w:cs="Times New Roman"/>
            <w:color w:val="1155CC"/>
            <w:sz w:val="24"/>
            <w:szCs w:val="24"/>
            <w:u w:val="single"/>
          </w:rPr>
          <w:t>played a key role in recent years</w:t>
        </w:r>
      </w:hyperlink>
      <w:r w:rsidRPr="004B3881">
        <w:rPr>
          <w:rFonts w:ascii="Times New Roman" w:hAnsi="Times New Roman" w:cs="Times New Roman"/>
          <w:sz w:val="24"/>
          <w:szCs w:val="24"/>
        </w:rPr>
        <w:t xml:space="preserve"> in achieving ever-lower solar power prices. </w:t>
      </w:r>
    </w:p>
    <w:p w:rsidRPr="004B3881" w:rsidR="00D828B9" w:rsidP="00B71F5B" w:rsidRDefault="009C06C3" w14:paraId="0756747B"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In the following sub-sections, we describe some of the key risks faced by investors in renewable energy projects in EMDEs, and strategies for mitigating those risks. The Solar Economy Financing System would employ standardized tools for mitigating these risks, available to participating project developers (and their investors) in participating countries. </w:t>
      </w:r>
    </w:p>
    <w:p w:rsidRPr="004B3881" w:rsidR="004B3881" w:rsidP="006A2BF4" w:rsidRDefault="009C06C3" w14:paraId="7AE6B9F3" w14:textId="2D5D3116">
      <w:pPr>
        <w:spacing w:line="360" w:lineRule="auto"/>
        <w:jc w:val="center"/>
        <w:rPr>
          <w:rFonts w:ascii="Times New Roman" w:hAnsi="Times New Roman" w:cs="Times New Roman"/>
          <w:sz w:val="24"/>
          <w:szCs w:val="24"/>
        </w:rPr>
      </w:pPr>
      <w:r w:rsidRPr="004B3881">
        <w:rPr>
          <w:rFonts w:ascii="Times New Roman" w:hAnsi="Times New Roman" w:cs="Times New Roman"/>
          <w:b/>
          <w:sz w:val="24"/>
          <w:szCs w:val="24"/>
        </w:rPr>
        <w:t>2.1</w:t>
      </w:r>
      <w:r w:rsidRPr="004B3881" w:rsidR="004B3881">
        <w:rPr>
          <w:rFonts w:ascii="Times New Roman" w:hAnsi="Times New Roman" w:cs="Times New Roman"/>
          <w:b/>
          <w:sz w:val="24"/>
          <w:szCs w:val="24"/>
        </w:rPr>
        <w:t xml:space="preserve"> </w:t>
      </w:r>
      <w:r w:rsidRPr="004B3881">
        <w:rPr>
          <w:rFonts w:ascii="Times New Roman" w:hAnsi="Times New Roman" w:cs="Times New Roman"/>
          <w:b/>
          <w:sz w:val="24"/>
          <w:szCs w:val="24"/>
        </w:rPr>
        <w:t>Risk of Non-Payment or Tardy Payment by Electricity Off-Takers</w:t>
      </w:r>
    </w:p>
    <w:p w:rsidRPr="004B3881" w:rsidR="00D828B9" w:rsidP="00B71F5B" w:rsidRDefault="009C06C3" w14:paraId="1ABF3797" w14:textId="3F21487D">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A further financial risk to solar power or hybrid renewable energy generators is the risk of non-payment or late payment by off-takers (buyers of electricity from IPP projects). This has been a </w:t>
      </w:r>
      <w:hyperlink r:id="rId22">
        <w:r w:rsidRPr="004B3881" w:rsidR="00D828B9">
          <w:rPr>
            <w:rFonts w:ascii="Times New Roman" w:hAnsi="Times New Roman" w:cs="Times New Roman"/>
            <w:color w:val="1155CC"/>
            <w:sz w:val="24"/>
            <w:szCs w:val="24"/>
            <w:u w:val="single"/>
          </w:rPr>
          <w:t>chronic problem in India</w:t>
        </w:r>
      </w:hyperlink>
      <w:r w:rsidRPr="004B3881">
        <w:rPr>
          <w:rFonts w:ascii="Times New Roman" w:hAnsi="Times New Roman" w:cs="Times New Roman"/>
          <w:sz w:val="24"/>
          <w:szCs w:val="24"/>
        </w:rPr>
        <w:t>, where, in several states, state-owned electricity distribution companies (Discoms) frequently get in arrears in their payments to power generators (</w:t>
      </w:r>
      <w:proofErr w:type="spellStart"/>
      <w:r w:rsidRPr="004B3881">
        <w:rPr>
          <w:rFonts w:ascii="Times New Roman" w:hAnsi="Times New Roman" w:cs="Times New Roman"/>
          <w:sz w:val="24"/>
          <w:szCs w:val="24"/>
        </w:rPr>
        <w:t>Gencoms</w:t>
      </w:r>
      <w:proofErr w:type="spellEnd"/>
      <w:r w:rsidRPr="004B3881">
        <w:rPr>
          <w:rFonts w:ascii="Times New Roman" w:hAnsi="Times New Roman" w:cs="Times New Roman"/>
          <w:sz w:val="24"/>
          <w:szCs w:val="24"/>
        </w:rPr>
        <w:t>). The Indian government has, in consequence, set up a number of “</w:t>
      </w:r>
      <w:hyperlink r:id="rId23">
        <w:r w:rsidRPr="004B3881" w:rsidR="00D828B9">
          <w:rPr>
            <w:rFonts w:ascii="Times New Roman" w:hAnsi="Times New Roman" w:cs="Times New Roman"/>
            <w:color w:val="1155CC"/>
            <w:sz w:val="24"/>
            <w:szCs w:val="24"/>
            <w:u w:val="single"/>
          </w:rPr>
          <w:t>payment security mechanisms</w:t>
        </w:r>
      </w:hyperlink>
      <w:r w:rsidRPr="004B3881">
        <w:rPr>
          <w:rFonts w:ascii="Times New Roman" w:hAnsi="Times New Roman" w:cs="Times New Roman"/>
          <w:sz w:val="24"/>
          <w:szCs w:val="24"/>
        </w:rPr>
        <w:t xml:space="preserve">” to help the </w:t>
      </w:r>
      <w:proofErr w:type="spellStart"/>
      <w:r w:rsidRPr="004B3881">
        <w:rPr>
          <w:rFonts w:ascii="Times New Roman" w:hAnsi="Times New Roman" w:cs="Times New Roman"/>
          <w:sz w:val="24"/>
          <w:szCs w:val="24"/>
        </w:rPr>
        <w:t>Gencoms</w:t>
      </w:r>
      <w:proofErr w:type="spellEnd"/>
      <w:r w:rsidRPr="004B3881">
        <w:rPr>
          <w:rFonts w:ascii="Times New Roman" w:hAnsi="Times New Roman" w:cs="Times New Roman"/>
          <w:sz w:val="24"/>
          <w:szCs w:val="24"/>
        </w:rPr>
        <w:t xml:space="preserve">. This section leans on India’s experience and generalizes the lessons learned. </w:t>
      </w:r>
    </w:p>
    <w:p w:rsidRPr="004B3881" w:rsidR="00D828B9" w:rsidP="00B71F5B" w:rsidRDefault="009C06C3" w14:paraId="34C44DB9"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To address this class of risk using a standard mechanism applicable across many EMDEs, qualifying PPAs could be provided with triple-backed payment guarantees, so that power </w:t>
      </w:r>
      <w:r w:rsidRPr="004B3881">
        <w:rPr>
          <w:rFonts w:ascii="Times New Roman" w:hAnsi="Times New Roman" w:cs="Times New Roman"/>
          <w:sz w:val="24"/>
          <w:szCs w:val="24"/>
        </w:rPr>
        <w:lastRenderedPageBreak/>
        <w:t xml:space="preserve">producers enjoy greatly reduced exposure to risks of non-payment or late payment by their clients (i.e., electricity buyers - which in many cases are state-owned transmission companies). </w:t>
      </w:r>
    </w:p>
    <w:p w:rsidRPr="004B3881" w:rsidR="00D828B9" w:rsidP="00B71F5B" w:rsidRDefault="009C06C3" w14:paraId="69E67454"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Guarantees that PPA payment stream terms will be honored could be offered directly by national, state, or regional governments through mechanisms </w:t>
      </w:r>
      <w:proofErr w:type="gramStart"/>
      <w:r w:rsidRPr="004B3881">
        <w:rPr>
          <w:rFonts w:ascii="Times New Roman" w:hAnsi="Times New Roman" w:cs="Times New Roman"/>
          <w:sz w:val="24"/>
          <w:szCs w:val="24"/>
        </w:rPr>
        <w:t>similar to</w:t>
      </w:r>
      <w:proofErr w:type="gramEnd"/>
      <w:r w:rsidRPr="004B3881">
        <w:rPr>
          <w:rFonts w:ascii="Times New Roman" w:hAnsi="Times New Roman" w:cs="Times New Roman"/>
          <w:sz w:val="24"/>
          <w:szCs w:val="24"/>
        </w:rPr>
        <w:t xml:space="preserve"> those employed by the Indian government. However, while PPA payment guarantees should be offered by governments as a condition of participation in the Solar Economy Financing System, we propose that the management of the process of implementing these guarantees should be achieved through an international PPA payment guarantee facility. Let’s give this hypothetical entity a placeholder name: “</w:t>
      </w:r>
      <w:r w:rsidRPr="004B3881">
        <w:rPr>
          <w:rFonts w:ascii="Times New Roman" w:hAnsi="Times New Roman" w:cs="Times New Roman"/>
          <w:b/>
          <w:sz w:val="24"/>
          <w:szCs w:val="24"/>
        </w:rPr>
        <w:t>International PPA Guarantor Facility,” IPPAGF</w:t>
      </w:r>
      <w:r w:rsidRPr="004B3881">
        <w:rPr>
          <w:rFonts w:ascii="Times New Roman" w:hAnsi="Times New Roman" w:cs="Times New Roman"/>
          <w:sz w:val="24"/>
          <w:szCs w:val="24"/>
        </w:rPr>
        <w:t>.</w:t>
      </w:r>
      <w:r w:rsidRPr="004B3881">
        <w:rPr>
          <w:rFonts w:ascii="Times New Roman" w:hAnsi="Times New Roman" w:cs="Times New Roman"/>
          <w:sz w:val="24"/>
          <w:szCs w:val="24"/>
          <w:vertAlign w:val="superscript"/>
        </w:rPr>
        <w:footnoteReference w:id="3"/>
      </w:r>
      <w:r w:rsidRPr="004B3881">
        <w:rPr>
          <w:rFonts w:ascii="Times New Roman" w:hAnsi="Times New Roman" w:cs="Times New Roman"/>
          <w:sz w:val="24"/>
          <w:szCs w:val="24"/>
        </w:rPr>
        <w:t xml:space="preserve"> </w:t>
      </w:r>
    </w:p>
    <w:p w:rsidRPr="004B3881" w:rsidR="00D828B9" w:rsidP="00B71F5B" w:rsidRDefault="009C06C3" w14:paraId="4909B2F6"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The details of this facility are described in an appendix; the idea is </w:t>
      </w:r>
      <w:proofErr w:type="gramStart"/>
      <w:r w:rsidRPr="004B3881">
        <w:rPr>
          <w:rFonts w:ascii="Times New Roman" w:hAnsi="Times New Roman" w:cs="Times New Roman"/>
          <w:sz w:val="24"/>
          <w:szCs w:val="24"/>
        </w:rPr>
        <w:t>similar to</w:t>
      </w:r>
      <w:proofErr w:type="gramEnd"/>
      <w:r w:rsidRPr="004B3881">
        <w:rPr>
          <w:rFonts w:ascii="Times New Roman" w:hAnsi="Times New Roman" w:cs="Times New Roman"/>
          <w:sz w:val="24"/>
          <w:szCs w:val="24"/>
        </w:rPr>
        <w:t xml:space="preserve"> the process in India (Solar Energy Corporation of India, SECI).</w:t>
      </w:r>
    </w:p>
    <w:p w:rsidRPr="006A2BF4" w:rsidR="00D828B9" w:rsidP="00B71F5B" w:rsidRDefault="009C06C3" w14:paraId="142373DE" w14:textId="66D883A6">
      <w:pPr>
        <w:spacing w:line="360" w:lineRule="auto"/>
        <w:ind w:firstLine="720"/>
        <w:jc w:val="both"/>
        <w:rPr>
          <w:rFonts w:ascii="Times New Roman" w:hAnsi="Times New Roman" w:cs="Times New Roman"/>
          <w:bCs/>
          <w:sz w:val="24"/>
          <w:szCs w:val="24"/>
        </w:rPr>
      </w:pPr>
      <w:r w:rsidRPr="006A2BF4">
        <w:rPr>
          <w:rFonts w:ascii="Times New Roman" w:hAnsi="Times New Roman" w:cs="Times New Roman"/>
          <w:bCs/>
          <w:sz w:val="24"/>
          <w:szCs w:val="24"/>
        </w:rPr>
        <w:t>There are two other risks that we mention here for completeness</w:t>
      </w:r>
      <w:r w:rsidR="006A2BF4">
        <w:rPr>
          <w:rFonts w:ascii="Times New Roman" w:hAnsi="Times New Roman" w:cs="Times New Roman"/>
          <w:bCs/>
          <w:sz w:val="24"/>
          <w:szCs w:val="24"/>
        </w:rPr>
        <w:t>.</w:t>
      </w:r>
    </w:p>
    <w:p w:rsidRPr="004B3881" w:rsidR="004B3881" w:rsidP="006A2BF4" w:rsidRDefault="009C06C3" w14:paraId="3A32784C" w14:textId="77777777">
      <w:pPr>
        <w:spacing w:line="360" w:lineRule="auto"/>
        <w:jc w:val="center"/>
        <w:rPr>
          <w:rFonts w:ascii="Times New Roman" w:hAnsi="Times New Roman" w:cs="Times New Roman"/>
          <w:b/>
          <w:sz w:val="24"/>
          <w:szCs w:val="24"/>
        </w:rPr>
      </w:pPr>
      <w:r w:rsidRPr="004B3881">
        <w:rPr>
          <w:rFonts w:ascii="Times New Roman" w:hAnsi="Times New Roman" w:cs="Times New Roman"/>
          <w:b/>
          <w:sz w:val="24"/>
          <w:szCs w:val="24"/>
        </w:rPr>
        <w:t>2.2 Forex Risks</w:t>
      </w:r>
    </w:p>
    <w:p w:rsidRPr="004B3881" w:rsidR="00D828B9" w:rsidP="00B71F5B" w:rsidRDefault="009C06C3" w14:paraId="2F20BFBA" w14:textId="216BA8AB">
      <w:pPr>
        <w:spacing w:line="360" w:lineRule="auto"/>
        <w:ind w:firstLine="720"/>
        <w:jc w:val="both"/>
        <w:rPr>
          <w:rFonts w:ascii="Times New Roman" w:hAnsi="Times New Roman" w:cs="Times New Roman"/>
          <w:b/>
          <w:sz w:val="24"/>
          <w:szCs w:val="24"/>
        </w:rPr>
      </w:pPr>
      <w:r w:rsidRPr="004B3881">
        <w:rPr>
          <w:rFonts w:ascii="Times New Roman" w:hAnsi="Times New Roman" w:cs="Times New Roman"/>
          <w:sz w:val="24"/>
          <w:szCs w:val="24"/>
        </w:rPr>
        <w:t xml:space="preserve">Forex risks are a problem if there is a mismatch between the currency of the PPA guarantee and the financing currency. The easy way to reduce these risks is to either denominate PPAs in USD (or the hard currency that is financing the project); or to denominate in local currency. In both cases, similar structures to what is proposed here are needed. There is also the case where there </w:t>
      </w:r>
      <w:r w:rsidRPr="004B3881">
        <w:rPr>
          <w:rFonts w:ascii="Times New Roman" w:hAnsi="Times New Roman" w:cs="Times New Roman"/>
          <w:i/>
          <w:sz w:val="24"/>
          <w:szCs w:val="24"/>
        </w:rPr>
        <w:t xml:space="preserve">is </w:t>
      </w:r>
      <w:r w:rsidRPr="004B3881">
        <w:rPr>
          <w:rFonts w:ascii="Times New Roman" w:hAnsi="Times New Roman" w:cs="Times New Roman"/>
          <w:sz w:val="24"/>
          <w:szCs w:val="24"/>
        </w:rPr>
        <w:t>a mismatch. In that case FX risk needs to be considered. We deal with this in an appendix.</w:t>
      </w:r>
    </w:p>
    <w:p w:rsidR="006A2BF4" w:rsidP="006A2BF4" w:rsidRDefault="009C06C3" w14:paraId="23306530" w14:textId="77777777">
      <w:pPr>
        <w:spacing w:line="360" w:lineRule="auto"/>
        <w:jc w:val="center"/>
        <w:rPr>
          <w:rFonts w:ascii="Times New Roman" w:hAnsi="Times New Roman" w:cs="Times New Roman"/>
          <w:b/>
          <w:sz w:val="24"/>
          <w:szCs w:val="24"/>
        </w:rPr>
      </w:pPr>
      <w:r w:rsidRPr="004B3881">
        <w:rPr>
          <w:rFonts w:ascii="Times New Roman" w:hAnsi="Times New Roman" w:cs="Times New Roman"/>
          <w:b/>
          <w:sz w:val="24"/>
          <w:szCs w:val="24"/>
        </w:rPr>
        <w:t>2.3 Risks to the guarantor from guaranteed prices that are too high</w:t>
      </w:r>
    </w:p>
    <w:p w:rsidRPr="004B3881" w:rsidR="00D828B9" w:rsidP="00B71F5B" w:rsidRDefault="009C06C3" w14:paraId="1667FF44" w14:textId="12A69D1C">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Another financial risk (borne by electricity off-takers) relates to the long-term secular decline in the cost of solar panels and wind turbines, due to learning effects and economies of scale. In that context, PPAs should avoid locking in tariffs for too long a </w:t>
      </w:r>
      <w:proofErr w:type="gramStart"/>
      <w:r w:rsidRPr="004B3881">
        <w:rPr>
          <w:rFonts w:ascii="Times New Roman" w:hAnsi="Times New Roman" w:cs="Times New Roman"/>
          <w:sz w:val="24"/>
          <w:szCs w:val="24"/>
        </w:rPr>
        <w:t>time-frame</w:t>
      </w:r>
      <w:proofErr w:type="gramEnd"/>
      <w:r w:rsidRPr="004B3881">
        <w:rPr>
          <w:rFonts w:ascii="Times New Roman" w:hAnsi="Times New Roman" w:cs="Times New Roman"/>
          <w:sz w:val="24"/>
          <w:szCs w:val="24"/>
        </w:rPr>
        <w:t xml:space="preserve">. Tariffs should be set at a rate high enough, over a sufficient </w:t>
      </w:r>
      <w:proofErr w:type="gramStart"/>
      <w:r w:rsidRPr="004B3881">
        <w:rPr>
          <w:rFonts w:ascii="Times New Roman" w:hAnsi="Times New Roman" w:cs="Times New Roman"/>
          <w:sz w:val="24"/>
          <w:szCs w:val="24"/>
        </w:rPr>
        <w:t>time-frame</w:t>
      </w:r>
      <w:proofErr w:type="gramEnd"/>
      <w:r w:rsidRPr="004B3881">
        <w:rPr>
          <w:rFonts w:ascii="Times New Roman" w:hAnsi="Times New Roman" w:cs="Times New Roman"/>
          <w:sz w:val="24"/>
          <w:szCs w:val="24"/>
        </w:rPr>
        <w:t xml:space="preserve">, to ensure an IPP solar power or hybrid renewable energy project returns the project development costs to investors, without generating unearned rents. Accordingly, PPA tariffs could be structured to decline over time (e.g. linearly over a ten- to twenty-year time horizon), and/or have a sunset clause, with payments per MWh </w:t>
      </w:r>
      <w:r w:rsidRPr="004B3881">
        <w:rPr>
          <w:rFonts w:ascii="Times New Roman" w:hAnsi="Times New Roman" w:cs="Times New Roman"/>
          <w:sz w:val="24"/>
          <w:szCs w:val="24"/>
        </w:rPr>
        <w:lastRenderedPageBreak/>
        <w:t xml:space="preserve">after a specified date based on an international index of average solar PV costs for new PV project construction. </w:t>
      </w:r>
    </w:p>
    <w:p w:rsidRPr="004B3881" w:rsidR="00D828B9" w:rsidP="00B71F5B" w:rsidRDefault="009C06C3" w14:paraId="2EB88C20"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The problem is in the context of an overall power system where the marginal cost of power is declining, having price guarantees in that system might be hard to stomach since new investments could be achieved for less. This problem is solved by real terms declines in PPAs (for example a fixed in nominal terms PPA in a weak currency, which would decline in real terms). I suggest pay </w:t>
      </w:r>
      <w:proofErr w:type="spellStart"/>
      <w:r w:rsidRPr="004B3881">
        <w:rPr>
          <w:rFonts w:ascii="Times New Roman" w:hAnsi="Times New Roman" w:cs="Times New Roman"/>
          <w:sz w:val="24"/>
          <w:szCs w:val="24"/>
        </w:rPr>
        <w:t>ay</w:t>
      </w:r>
      <w:proofErr w:type="spellEnd"/>
      <w:r w:rsidRPr="004B3881">
        <w:rPr>
          <w:rFonts w:ascii="Times New Roman" w:hAnsi="Times New Roman" w:cs="Times New Roman"/>
          <w:sz w:val="24"/>
          <w:szCs w:val="24"/>
        </w:rPr>
        <w:t xml:space="preserve"> more in the early years (in real terms) so that the future electricity market is not 'underwater'. This issue is important if any PPAs are issued in strong currency: in that case it's important that they are time-limited or decline in real terms.</w:t>
      </w:r>
    </w:p>
    <w:p w:rsidRPr="006A2BF4" w:rsidR="00D828B9" w:rsidP="00B71F5B" w:rsidRDefault="009C06C3" w14:paraId="78E478D8" w14:textId="77777777">
      <w:pPr>
        <w:spacing w:line="360" w:lineRule="auto"/>
        <w:ind w:firstLine="720"/>
        <w:jc w:val="both"/>
        <w:rPr>
          <w:rFonts w:ascii="Times New Roman" w:hAnsi="Times New Roman" w:cs="Times New Roman"/>
          <w:bCs/>
          <w:sz w:val="24"/>
          <w:szCs w:val="24"/>
        </w:rPr>
      </w:pPr>
      <w:r w:rsidRPr="006A2BF4">
        <w:rPr>
          <w:rFonts w:ascii="Times New Roman" w:hAnsi="Times New Roman" w:cs="Times New Roman"/>
          <w:bCs/>
          <w:sz w:val="24"/>
          <w:szCs w:val="24"/>
        </w:rPr>
        <w:t>More information about the guarantees is available in an appendix.</w:t>
      </w:r>
    </w:p>
    <w:p w:rsidRPr="004B3881" w:rsidR="00D828B9" w:rsidP="00B71F5B" w:rsidRDefault="009C06C3" w14:paraId="6FFCF2C6" w14:textId="77777777">
      <w:pPr>
        <w:pStyle w:val="Heading2"/>
        <w:spacing w:line="360" w:lineRule="auto"/>
        <w:ind w:firstLine="720"/>
        <w:jc w:val="both"/>
        <w:rPr>
          <w:rFonts w:ascii="Times New Roman" w:hAnsi="Times New Roman" w:cs="Times New Roman"/>
          <w:sz w:val="24"/>
          <w:szCs w:val="24"/>
        </w:rPr>
      </w:pPr>
      <w:bookmarkStart w:name="_e7m3p5hzsuii" w:colFirst="0" w:colLast="0" w:id="7"/>
      <w:bookmarkEnd w:id="7"/>
      <w:r w:rsidRPr="004B3881">
        <w:rPr>
          <w:rFonts w:ascii="Times New Roman" w:hAnsi="Times New Roman" w:cs="Times New Roman"/>
          <w:sz w:val="24"/>
          <w:szCs w:val="24"/>
        </w:rPr>
        <w:br w:type="page"/>
      </w:r>
    </w:p>
    <w:p w:rsidRPr="006A2BF4" w:rsidR="00D828B9" w:rsidP="006A2BF4" w:rsidRDefault="009C06C3" w14:paraId="55FA7CF5" w14:textId="2AF9FC9E">
      <w:pPr>
        <w:pStyle w:val="Heading2"/>
        <w:spacing w:line="360" w:lineRule="auto"/>
        <w:jc w:val="center"/>
        <w:rPr>
          <w:rFonts w:ascii="Times New Roman" w:hAnsi="Times New Roman" w:cs="Times New Roman"/>
          <w:b/>
          <w:bCs/>
          <w:sz w:val="24"/>
          <w:szCs w:val="24"/>
        </w:rPr>
      </w:pPr>
      <w:bookmarkStart w:name="_5r5fcda4qzp4" w:colFirst="0" w:colLast="0" w:id="8"/>
      <w:bookmarkEnd w:id="8"/>
      <w:r w:rsidRPr="006A2BF4">
        <w:rPr>
          <w:rFonts w:ascii="Times New Roman" w:hAnsi="Times New Roman" w:cs="Times New Roman"/>
          <w:b/>
          <w:bCs/>
          <w:sz w:val="24"/>
          <w:szCs w:val="24"/>
        </w:rPr>
        <w:lastRenderedPageBreak/>
        <w:t>Special Purpose Vehicles for Issuing De-risked Green Bonds</w:t>
      </w:r>
    </w:p>
    <w:p w:rsidRPr="004B3881" w:rsidR="00D828B9" w:rsidP="00B71F5B" w:rsidRDefault="009C06C3" w14:paraId="0598938E"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b/>
          <w:sz w:val="24"/>
          <w:szCs w:val="24"/>
        </w:rPr>
        <w:t>In this section, we outline a novel mechanism for de-risking operating EMDE renewable energy projects: Securitization of debt repayment revenue flows from good quality PPAs/Power Offtake Agreements, with a three-layer guarantee structure to ensure power producers get paid on time for electricity generated.</w:t>
      </w:r>
    </w:p>
    <w:p w:rsidRPr="004B3881" w:rsidR="00D828B9" w:rsidP="00B71F5B" w:rsidRDefault="009C06C3" w14:paraId="49616C2D"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Each special purpose vehicle, which we will call an </w:t>
      </w:r>
      <w:r w:rsidRPr="004B3881">
        <w:rPr>
          <w:rFonts w:ascii="Times New Roman" w:hAnsi="Times New Roman" w:cs="Times New Roman"/>
          <w:b/>
          <w:sz w:val="24"/>
          <w:szCs w:val="24"/>
        </w:rPr>
        <w:t>SEFS-SPV (Solar Economy Financing System Special Purpose Vehicle)</w:t>
      </w:r>
      <w:r w:rsidRPr="004B3881">
        <w:rPr>
          <w:rFonts w:ascii="Times New Roman" w:hAnsi="Times New Roman" w:cs="Times New Roman"/>
          <w:sz w:val="24"/>
          <w:szCs w:val="24"/>
        </w:rPr>
        <w:t xml:space="preserve">, would be housed within an existing international financial institution, e.g. the World Bank’s IFC, or African Development Bank, or DEG (a development banking unit of Germany’s </w:t>
      </w:r>
      <w:proofErr w:type="spellStart"/>
      <w:r w:rsidRPr="004B3881">
        <w:rPr>
          <w:rFonts w:ascii="Times New Roman" w:hAnsi="Times New Roman" w:cs="Times New Roman"/>
          <w:sz w:val="24"/>
          <w:szCs w:val="24"/>
        </w:rPr>
        <w:t>KfW</w:t>
      </w:r>
      <w:proofErr w:type="spellEnd"/>
      <w:r w:rsidRPr="004B3881">
        <w:rPr>
          <w:rFonts w:ascii="Times New Roman" w:hAnsi="Times New Roman" w:cs="Times New Roman"/>
          <w:sz w:val="24"/>
          <w:szCs w:val="24"/>
        </w:rPr>
        <w:t xml:space="preserve">), or </w:t>
      </w:r>
      <w:proofErr w:type="spellStart"/>
      <w:r w:rsidRPr="004B3881">
        <w:rPr>
          <w:rFonts w:ascii="Times New Roman" w:hAnsi="Times New Roman" w:cs="Times New Roman"/>
          <w:sz w:val="24"/>
          <w:szCs w:val="24"/>
        </w:rPr>
        <w:t>Proparco</w:t>
      </w:r>
      <w:proofErr w:type="spellEnd"/>
      <w:r w:rsidRPr="004B3881">
        <w:rPr>
          <w:rFonts w:ascii="Times New Roman" w:hAnsi="Times New Roman" w:cs="Times New Roman"/>
          <w:sz w:val="24"/>
          <w:szCs w:val="24"/>
        </w:rPr>
        <w:t>, the private-sector development banking subsidiary of France’s AFD Group. Commercial/</w:t>
      </w:r>
      <w:proofErr w:type="spellStart"/>
      <w:r w:rsidRPr="004B3881">
        <w:rPr>
          <w:rFonts w:ascii="Times New Roman" w:hAnsi="Times New Roman" w:cs="Times New Roman"/>
          <w:sz w:val="24"/>
          <w:szCs w:val="24"/>
        </w:rPr>
        <w:t>investmebt</w:t>
      </w:r>
      <w:proofErr w:type="spellEnd"/>
      <w:r w:rsidRPr="004B3881">
        <w:rPr>
          <w:rFonts w:ascii="Times New Roman" w:hAnsi="Times New Roman" w:cs="Times New Roman"/>
          <w:sz w:val="24"/>
          <w:szCs w:val="24"/>
        </w:rPr>
        <w:t xml:space="preserve"> banks could also be interested. The primary purpose of such a green-bond-issuing SPV would be to raise money at very low interest rates from risk-averse </w:t>
      </w:r>
      <w:proofErr w:type="gramStart"/>
      <w:r w:rsidRPr="004B3881">
        <w:rPr>
          <w:rFonts w:ascii="Times New Roman" w:hAnsi="Times New Roman" w:cs="Times New Roman"/>
          <w:sz w:val="24"/>
          <w:szCs w:val="24"/>
        </w:rPr>
        <w:t>investors, and</w:t>
      </w:r>
      <w:proofErr w:type="gramEnd"/>
      <w:r w:rsidRPr="004B3881">
        <w:rPr>
          <w:rFonts w:ascii="Times New Roman" w:hAnsi="Times New Roman" w:cs="Times New Roman"/>
          <w:sz w:val="24"/>
          <w:szCs w:val="24"/>
        </w:rPr>
        <w:t xml:space="preserve"> lend money at very low interest rates to independent power producers (making enough of a spread on the average difference between the bond rate and the lending rate to cover operating expenses and projected losses from non-performing loans made to RE power project developers). </w:t>
      </w:r>
    </w:p>
    <w:p w:rsidRPr="004B3881" w:rsidR="00D828B9" w:rsidP="00B71F5B" w:rsidRDefault="009C06C3" w14:paraId="397FE007" w14:textId="77777777">
      <w:pPr>
        <w:spacing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 xml:space="preserve">The key innovation in this SPV would be that once a participating power project whose revenues are assured by a qualifying PPA is operational, it will qualify for low-interest refinancing through the SEFS-SPV. </w:t>
      </w:r>
    </w:p>
    <w:p w:rsidRPr="004B3881" w:rsidR="00D828B9" w:rsidP="00B71F5B" w:rsidRDefault="009C06C3" w14:paraId="79C232AC"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The core idea is that the SEFS-SPV would lend money to only to companies whose business model is to operate already completed, operational solar power projects (or other existing RE power generating assets). It would not expose itself to new-project development risks.</w:t>
      </w:r>
    </w:p>
    <w:p w:rsidRPr="004B3881" w:rsidR="00D828B9" w:rsidP="00B71F5B" w:rsidRDefault="009C06C3" w14:paraId="2A1EF14A"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The new-project development phase would be co-financed by the Global Solar Economy Equity Fund (described in Section 4 below) or by some other early-stage project development financier. </w:t>
      </w:r>
    </w:p>
    <w:p w:rsidRPr="004B3881" w:rsidR="00D828B9" w:rsidP="00B71F5B" w:rsidRDefault="009C06C3" w14:paraId="001B60A7"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In many cases, companies that develop greenfield renewable energy projects (i.e. obtain the necessary land, money, and permits and physically build them) sell the projects to operating companies, take the money, and use it to develop the next greenfield project. The Global Solar Economy Equity Fund described in section 4 below will have the mission of supporting such developers, by providing risk capital in exchange for equity shares. </w:t>
      </w:r>
    </w:p>
    <w:p w:rsidRPr="004B3881" w:rsidR="00D828B9" w:rsidP="00B71F5B" w:rsidRDefault="009C06C3" w14:paraId="3557A60F"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lastRenderedPageBreak/>
        <w:t xml:space="preserve">In contrast, the SEFS-SPV, by limiting its activities to helping power generation plant operating companies to finance the acquisition of already-built, already-operational solar power parks (or other renewable energy power generating parks) from project developers, will have a much lower-risk portfolio of assets (when compared to a lender that finances the much higher-risk new-project development phase of solar or wind farms). This, in combination with </w:t>
      </w:r>
      <w:proofErr w:type="gramStart"/>
      <w:r w:rsidRPr="004B3881">
        <w:rPr>
          <w:rFonts w:ascii="Times New Roman" w:hAnsi="Times New Roman" w:cs="Times New Roman"/>
          <w:sz w:val="24"/>
          <w:szCs w:val="24"/>
        </w:rPr>
        <w:t>first-loss</w:t>
      </w:r>
      <w:proofErr w:type="gramEnd"/>
      <w:r w:rsidRPr="004B3881">
        <w:rPr>
          <w:rFonts w:ascii="Times New Roman" w:hAnsi="Times New Roman" w:cs="Times New Roman"/>
          <w:sz w:val="24"/>
          <w:szCs w:val="24"/>
        </w:rPr>
        <w:t xml:space="preserve"> guarantees made on behalf of the SEFS-SPV by a consortium of OECD and EMDE sovereigns, is why bonds issued by a SEFS-SPV will carry very low interest rates</w:t>
      </w:r>
    </w:p>
    <w:p w:rsidRPr="004B3881" w:rsidR="00D828B9" w:rsidP="00B71F5B" w:rsidRDefault="009C06C3" w14:paraId="7E8A5A8C"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b/>
          <w:sz w:val="24"/>
          <w:szCs w:val="24"/>
        </w:rPr>
        <w:t xml:space="preserve">A portion of the off-takers’ PPA-contracted payments for electricity received from the power generating company would go directly to the SPV, rather than to the power provider. </w:t>
      </w:r>
      <w:r w:rsidRPr="004B3881">
        <w:rPr>
          <w:rFonts w:ascii="Times New Roman" w:hAnsi="Times New Roman" w:cs="Times New Roman"/>
          <w:sz w:val="24"/>
          <w:szCs w:val="24"/>
        </w:rPr>
        <w:t xml:space="preserve">The amount that would go directly from the </w:t>
      </w:r>
      <w:proofErr w:type="gramStart"/>
      <w:r w:rsidRPr="004B3881">
        <w:rPr>
          <w:rFonts w:ascii="Times New Roman" w:hAnsi="Times New Roman" w:cs="Times New Roman"/>
          <w:sz w:val="24"/>
          <w:szCs w:val="24"/>
        </w:rPr>
        <w:t>off-taker</w:t>
      </w:r>
      <w:proofErr w:type="gramEnd"/>
      <w:r w:rsidRPr="004B3881">
        <w:rPr>
          <w:rFonts w:ascii="Times New Roman" w:hAnsi="Times New Roman" w:cs="Times New Roman"/>
          <w:sz w:val="24"/>
          <w:szCs w:val="24"/>
        </w:rPr>
        <w:t xml:space="preserve"> to the SPV would be the amount needed to cover interest and principal repayments for the debt component of the power project’s financing. </w:t>
      </w:r>
    </w:p>
    <w:p w:rsidRPr="004B3881" w:rsidR="00D828B9" w:rsidP="00B71F5B" w:rsidRDefault="009C06C3" w14:paraId="1CC0B7EE"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One helpful consequence of this arrangement is to reduce the overall likelihood of the SPV getting saddled with non-performing debt, by removing IPPs’ ability (and temptation) to allocate financial operating losses to their project finance lender (the SPV) if they run into cash flow problems. This will encourage IPPs to practice disciplined cash flow management. </w:t>
      </w:r>
    </w:p>
    <w:p w:rsidRPr="004B3881" w:rsidR="00D828B9" w:rsidP="00B71F5B" w:rsidRDefault="009C06C3" w14:paraId="285CDDBC"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Another helpful aspect of this arrangement is that the SEFS-SPV will be a much larger and more financially powerful entity than any of the participating IPPs. </w:t>
      </w:r>
      <w:proofErr w:type="gramStart"/>
      <w:r w:rsidRPr="004B3881">
        <w:rPr>
          <w:rFonts w:ascii="Times New Roman" w:hAnsi="Times New Roman" w:cs="Times New Roman"/>
          <w:sz w:val="24"/>
          <w:szCs w:val="24"/>
        </w:rPr>
        <w:t>If and when</w:t>
      </w:r>
      <w:proofErr w:type="gramEnd"/>
      <w:r w:rsidRPr="004B3881">
        <w:rPr>
          <w:rFonts w:ascii="Times New Roman" w:hAnsi="Times New Roman" w:cs="Times New Roman"/>
          <w:sz w:val="24"/>
          <w:szCs w:val="24"/>
        </w:rPr>
        <w:t xml:space="preserve"> off-takers (i.e. electricity distribution companies (Discoms) or corporate industrial clients who are contractually bound to IPPs via PPAs) get into arrears on PPA payments, they will swiftly find themselves dealing with highly professional specialized debt collectors sent from the SEFS-SPV (whether these are SPV employees or contracted agents) who are very well connected to relevant regional government agencies. SEFS-SPV agents will work with Discoms and regional governments to analyze problems and help Discoms (and the regulatory and technical agencies supervising them) adopt reforms and best practices designed to mitigate the issues that tend to lead to late-payment or non-payment problems on the off-taker side. </w:t>
      </w:r>
    </w:p>
    <w:p w:rsidRPr="004B3881" w:rsidR="00D828B9" w:rsidP="00B71F5B" w:rsidRDefault="009C06C3" w14:paraId="0DB33896"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b/>
          <w:sz w:val="24"/>
          <w:szCs w:val="24"/>
        </w:rPr>
        <w:t>In effect, the debt-servicing component of the payment stream specified under the PPA would be ‘securitized’. The SEFS-SPV would package the repayments coming in from many PPA income streams into securities issued into the market (i.e., green de-risked bonds).</w:t>
      </w:r>
      <w:r w:rsidRPr="004B3881">
        <w:rPr>
          <w:rFonts w:ascii="Times New Roman" w:hAnsi="Times New Roman" w:cs="Times New Roman"/>
          <w:sz w:val="24"/>
          <w:szCs w:val="24"/>
        </w:rPr>
        <w:t xml:space="preserve"> Each SEFS-SPV (there could be more than one such SPV, e.g. one in each major global region) </w:t>
      </w:r>
      <w:r w:rsidRPr="004B3881">
        <w:rPr>
          <w:rFonts w:ascii="Times New Roman" w:hAnsi="Times New Roman" w:cs="Times New Roman"/>
          <w:sz w:val="24"/>
          <w:szCs w:val="24"/>
        </w:rPr>
        <w:lastRenderedPageBreak/>
        <w:t xml:space="preserve">would be managed by an international financial institution (for example, an MDB or other DFI or a global investment bank). Any losses incurred by a SEFS-SPV due to non-performing PPAs would be covered, in the end, by the Global Solar Economy Equity Fund, i.e. the buffer fund described in section 4 below. In addition, AAA-rated institutions (e.g., a sovereign and/or a group of OECD sovereigns, or agents backed by these sovereigns) would also guarantee the SPV(s) against any losses, adding another layer of de-risking.  </w:t>
      </w:r>
    </w:p>
    <w:p w:rsidRPr="004B3881" w:rsidR="00D828B9" w:rsidP="00B71F5B" w:rsidRDefault="009C06C3" w14:paraId="2F8E8A51"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The goal of the SPVs would be to borrow money from institutional investors at rates as close as possible to the rates enjoyed by the safest sovereigns (e.g., Germany, USA, Switzerland). To minimize forex risk, the currency mix of the bonds issued would match those of its participating PPAs.</w:t>
      </w:r>
    </w:p>
    <w:p w:rsidRPr="004B3881" w:rsidR="00D828B9" w:rsidP="00B71F5B" w:rsidRDefault="009C06C3" w14:paraId="0A5D0545" w14:textId="77777777">
      <w:pPr>
        <w:spacing w:line="360" w:lineRule="auto"/>
        <w:ind w:firstLine="720"/>
        <w:jc w:val="both"/>
        <w:rPr>
          <w:rFonts w:ascii="Times New Roman" w:hAnsi="Times New Roman" w:cs="Times New Roman"/>
          <w:b/>
          <w:sz w:val="24"/>
          <w:szCs w:val="24"/>
        </w:rPr>
      </w:pPr>
      <w:r w:rsidRPr="004B3881">
        <w:rPr>
          <w:rFonts w:ascii="Times New Roman" w:hAnsi="Times New Roman" w:cs="Times New Roman"/>
          <w:noProof/>
          <w:sz w:val="24"/>
          <w:szCs w:val="24"/>
        </w:rPr>
        <mc:AlternateContent>
          <mc:Choice Requires="wpg">
            <w:drawing>
              <wp:anchor distT="0" distB="0" distL="114300" distR="114300" simplePos="0" relativeHeight="251660288" behindDoc="0" locked="0" layoutInCell="1" hidden="0" allowOverlap="1" wp14:anchorId="24AB3714" wp14:editId="576CBE26">
                <wp:simplePos x="0" y="0"/>
                <wp:positionH relativeFrom="column">
                  <wp:posOffset>1</wp:posOffset>
                </wp:positionH>
                <wp:positionV relativeFrom="paragraph">
                  <wp:posOffset>139700</wp:posOffset>
                </wp:positionV>
                <wp:extent cx="4701311" cy="2918599"/>
                <wp:effectExtent l="0" t="0" r="0" b="0"/>
                <wp:wrapTopAndBottom distT="0" distB="0"/>
                <wp:docPr id="1" name="Group 1"/>
                <wp:cNvGraphicFramePr/>
                <a:graphic xmlns:a="http://schemas.openxmlformats.org/drawingml/2006/main">
                  <a:graphicData uri="http://schemas.microsoft.com/office/word/2010/wordprocessingGroup">
                    <wpg:wgp>
                      <wpg:cNvGrpSpPr/>
                      <wpg:grpSpPr>
                        <a:xfrm>
                          <a:off x="0" y="0"/>
                          <a:ext cx="4701311" cy="2918599"/>
                          <a:chOff x="2507550" y="2022625"/>
                          <a:chExt cx="5683275" cy="3521100"/>
                        </a:xfrm>
                      </wpg:grpSpPr>
                      <wpg:grpSp>
                        <wpg:cNvPr id="1942528013" name="Group 1942528013"/>
                        <wpg:cNvGrpSpPr/>
                        <wpg:grpSpPr>
                          <a:xfrm>
                            <a:off x="2507550" y="2022638"/>
                            <a:ext cx="5676900" cy="3514725"/>
                            <a:chOff x="129940" y="29788"/>
                            <a:chExt cx="6947755" cy="4313612"/>
                          </a:xfrm>
                        </wpg:grpSpPr>
                        <wps:wsp>
                          <wps:cNvPr id="1259152397" name="Rectangle 1259152397"/>
                          <wps:cNvSpPr/>
                          <wps:spPr>
                            <a:xfrm>
                              <a:off x="129940" y="29788"/>
                              <a:ext cx="6947750" cy="4313600"/>
                            </a:xfrm>
                            <a:prstGeom prst="rect">
                              <a:avLst/>
                            </a:prstGeom>
                            <a:noFill/>
                            <a:ln>
                              <a:noFill/>
                            </a:ln>
                          </wps:spPr>
                          <wps:txbx>
                            <w:txbxContent>
                              <w:p w:rsidR="00D828B9" w:rsidRDefault="00D828B9" w14:paraId="49D28419" w14:textId="77777777">
                                <w:pPr>
                                  <w:spacing w:after="0" w:line="240" w:lineRule="auto"/>
                                  <w:textDirection w:val="btLr"/>
                                </w:pPr>
                              </w:p>
                            </w:txbxContent>
                          </wps:txbx>
                          <wps:bodyPr spcFirstLastPara="1" wrap="square" lIns="91425" tIns="91425" rIns="91425" bIns="91425" anchor="ctr" anchorCtr="0">
                            <a:noAutofit/>
                          </wps:bodyPr>
                        </wps:wsp>
                        <wpg:grpSp>
                          <wpg:cNvPr id="352684534" name="Group 352684534"/>
                          <wpg:cNvGrpSpPr/>
                          <wpg:grpSpPr>
                            <a:xfrm>
                              <a:off x="247650" y="248959"/>
                              <a:ext cx="6830045" cy="4094441"/>
                              <a:chOff x="0" y="-84416"/>
                              <a:chExt cx="6830045" cy="4094441"/>
                            </a:xfrm>
                          </wpg:grpSpPr>
                          <wps:wsp>
                            <wps:cNvPr id="1855854106" name="Rectangle 1855854106"/>
                            <wps:cNvSpPr/>
                            <wps:spPr>
                              <a:xfrm>
                                <a:off x="3727005" y="274495"/>
                                <a:ext cx="1229096" cy="1202378"/>
                              </a:xfrm>
                              <a:prstGeom prst="rect">
                                <a:avLst/>
                              </a:prstGeom>
                              <a:solidFill>
                                <a:schemeClr val="accent1"/>
                              </a:solidFill>
                              <a:ln w="12700" cap="flat" cmpd="sng">
                                <a:solidFill>
                                  <a:srgbClr val="31538F"/>
                                </a:solidFill>
                                <a:prstDash val="solid"/>
                                <a:miter lim="800000"/>
                                <a:headEnd type="none" w="sm" len="sm"/>
                                <a:tailEnd type="none" w="sm" len="sm"/>
                              </a:ln>
                            </wps:spPr>
                            <wps:txbx>
                              <w:txbxContent>
                                <w:p w:rsidR="00D828B9" w:rsidRDefault="009C06C3" w14:paraId="4209C7FD" w14:textId="77777777">
                                  <w:pPr>
                                    <w:spacing w:line="258" w:lineRule="auto"/>
                                    <w:jc w:val="center"/>
                                    <w:textDirection w:val="btLr"/>
                                  </w:pPr>
                                  <w:r>
                                    <w:rPr>
                                      <w:rFonts w:ascii="Calibri" w:hAnsi="Calibri" w:eastAsia="Calibri" w:cs="Calibri"/>
                                      <w:color w:val="FFFFFF"/>
                                      <w:sz w:val="21"/>
                                    </w:rPr>
                                    <w:t>Independent Power Project</w:t>
                                  </w:r>
                                </w:p>
                              </w:txbxContent>
                            </wps:txbx>
                            <wps:bodyPr spcFirstLastPara="1" wrap="square" lIns="91425" tIns="45700" rIns="91425" bIns="45700" anchor="ctr" anchorCtr="0">
                              <a:noAutofit/>
                            </wps:bodyPr>
                          </wps:wsp>
                          <wps:wsp>
                            <wps:cNvPr id="1161931072" name="Rectangle 1161931072"/>
                            <wps:cNvSpPr/>
                            <wps:spPr>
                              <a:xfrm>
                                <a:off x="465112" y="274494"/>
                                <a:ext cx="1229096" cy="1202378"/>
                              </a:xfrm>
                              <a:prstGeom prst="rect">
                                <a:avLst/>
                              </a:prstGeom>
                              <a:solidFill>
                                <a:schemeClr val="accent1"/>
                              </a:solidFill>
                              <a:ln w="12700" cap="flat" cmpd="sng">
                                <a:solidFill>
                                  <a:srgbClr val="31538F"/>
                                </a:solidFill>
                                <a:prstDash val="solid"/>
                                <a:miter lim="800000"/>
                                <a:headEnd type="none" w="sm" len="sm"/>
                                <a:tailEnd type="none" w="sm" len="sm"/>
                              </a:ln>
                            </wps:spPr>
                            <wps:txbx>
                              <w:txbxContent>
                                <w:p w:rsidR="00D828B9" w:rsidRDefault="009C06C3" w14:paraId="0E951F67" w14:textId="77777777">
                                  <w:pPr>
                                    <w:spacing w:line="258" w:lineRule="auto"/>
                                    <w:jc w:val="center"/>
                                    <w:textDirection w:val="btLr"/>
                                  </w:pPr>
                                  <w:r>
                                    <w:rPr>
                                      <w:rFonts w:ascii="Calibri" w:hAnsi="Calibri" w:eastAsia="Calibri" w:cs="Calibri"/>
                                      <w:color w:val="FFFFFF"/>
                                      <w:sz w:val="21"/>
                                    </w:rPr>
                                    <w:t xml:space="preserve">State </w:t>
                                  </w:r>
                                </w:p>
                                <w:p w:rsidR="00D828B9" w:rsidRDefault="009C06C3" w14:paraId="09E262D3" w14:textId="77777777">
                                  <w:pPr>
                                    <w:spacing w:line="258" w:lineRule="auto"/>
                                    <w:jc w:val="center"/>
                                    <w:textDirection w:val="btLr"/>
                                  </w:pPr>
                                  <w:r>
                                    <w:rPr>
                                      <w:rFonts w:ascii="Calibri" w:hAnsi="Calibri" w:eastAsia="Calibri" w:cs="Calibri"/>
                                      <w:color w:val="FFFFFF"/>
                                      <w:sz w:val="21"/>
                                    </w:rPr>
                                    <w:t>Power Utility</w:t>
                                  </w:r>
                                </w:p>
                              </w:txbxContent>
                            </wps:txbx>
                            <wps:bodyPr spcFirstLastPara="1" wrap="square" lIns="91425" tIns="45700" rIns="91425" bIns="45700" anchor="ctr" anchorCtr="0">
                              <a:noAutofit/>
                            </wps:bodyPr>
                          </wps:wsp>
                          <wps:wsp>
                            <wps:cNvPr id="556478089" name="Straight Arrow Connector 556478089"/>
                            <wps:cNvCnPr/>
                            <wps:spPr>
                              <a:xfrm rot="10800000" flipH="1">
                                <a:off x="1704136" y="436572"/>
                                <a:ext cx="1959867" cy="46115"/>
                              </a:xfrm>
                              <a:prstGeom prst="straightConnector1">
                                <a:avLst/>
                              </a:prstGeom>
                              <a:noFill/>
                              <a:ln w="9525" cap="flat" cmpd="sng">
                                <a:solidFill>
                                  <a:schemeClr val="dk1"/>
                                </a:solidFill>
                                <a:prstDash val="dash"/>
                                <a:round/>
                                <a:headEnd type="none" w="sm" len="sm"/>
                                <a:tailEnd type="triangle" w="lg" len="lg"/>
                              </a:ln>
                            </wps:spPr>
                            <wps:bodyPr/>
                          </wps:wsp>
                          <wps:wsp>
                            <wps:cNvPr id="1353153765" name="Rectangle 1353153765"/>
                            <wps:cNvSpPr/>
                            <wps:spPr>
                              <a:xfrm>
                                <a:off x="1794722" y="-84416"/>
                                <a:ext cx="1558921" cy="523875"/>
                              </a:xfrm>
                              <a:prstGeom prst="rect">
                                <a:avLst/>
                              </a:prstGeom>
                              <a:noFill/>
                              <a:ln>
                                <a:noFill/>
                              </a:ln>
                            </wps:spPr>
                            <wps:txbx>
                              <w:txbxContent>
                                <w:p w:rsidR="00D828B9" w:rsidRDefault="009C06C3" w14:paraId="1364A929" w14:textId="77777777">
                                  <w:pPr>
                                    <w:spacing w:line="258" w:lineRule="auto"/>
                                    <w:textDirection w:val="btLr"/>
                                  </w:pPr>
                                  <w:r>
                                    <w:rPr>
                                      <w:rFonts w:ascii="Arial" w:hAnsi="Arial" w:eastAsia="Arial" w:cs="Arial"/>
                                      <w:color w:val="000000"/>
                                      <w:sz w:val="21"/>
                                    </w:rPr>
                                    <w:t>Guarantee Price of Power (auctioned)</w:t>
                                  </w:r>
                                </w:p>
                              </w:txbxContent>
                            </wps:txbx>
                            <wps:bodyPr spcFirstLastPara="1" wrap="square" lIns="91425" tIns="45700" rIns="91425" bIns="45700" anchor="t" anchorCtr="0">
                              <a:noAutofit/>
                            </wps:bodyPr>
                          </wps:wsp>
                          <wps:wsp>
                            <wps:cNvPr id="944355797" name="Straight Arrow Connector 944355797"/>
                            <wps:cNvCnPr/>
                            <wps:spPr>
                              <a:xfrm>
                                <a:off x="1694208" y="1498730"/>
                                <a:ext cx="1596232" cy="1052600"/>
                              </a:xfrm>
                              <a:prstGeom prst="straightConnector1">
                                <a:avLst/>
                              </a:prstGeom>
                              <a:noFill/>
                              <a:ln w="9525" cap="flat" cmpd="sng">
                                <a:solidFill>
                                  <a:schemeClr val="dk1"/>
                                </a:solidFill>
                                <a:prstDash val="solid"/>
                                <a:round/>
                                <a:headEnd type="none" w="sm" len="sm"/>
                                <a:tailEnd type="triangle" w="lg" len="lg"/>
                              </a:ln>
                            </wps:spPr>
                            <wps:bodyPr/>
                          </wps:wsp>
                          <wps:wsp>
                            <wps:cNvPr id="282151159" name="Rectangle 282151159"/>
                            <wps:cNvSpPr/>
                            <wps:spPr>
                              <a:xfrm>
                                <a:off x="3281060" y="2090995"/>
                                <a:ext cx="1290785" cy="1202379"/>
                              </a:xfrm>
                              <a:prstGeom prst="rect">
                                <a:avLst/>
                              </a:prstGeom>
                              <a:solidFill>
                                <a:schemeClr val="accent1"/>
                              </a:solidFill>
                              <a:ln w="12700" cap="flat" cmpd="sng">
                                <a:solidFill>
                                  <a:srgbClr val="31538F"/>
                                </a:solidFill>
                                <a:prstDash val="solid"/>
                                <a:miter lim="800000"/>
                                <a:headEnd type="none" w="sm" len="sm"/>
                                <a:tailEnd type="none" w="sm" len="sm"/>
                              </a:ln>
                            </wps:spPr>
                            <wps:txbx>
                              <w:txbxContent>
                                <w:p w:rsidR="00D828B9" w:rsidRDefault="009C06C3" w14:paraId="60862386" w14:textId="77777777">
                                  <w:pPr>
                                    <w:spacing w:line="258" w:lineRule="auto"/>
                                    <w:jc w:val="center"/>
                                    <w:textDirection w:val="btLr"/>
                                  </w:pPr>
                                  <w:r>
                                    <w:rPr>
                                      <w:rFonts w:ascii="Calibri" w:hAnsi="Calibri" w:eastAsia="Calibri" w:cs="Calibri"/>
                                      <w:color w:val="FFFFFF"/>
                                      <w:sz w:val="21"/>
                                    </w:rPr>
                                    <w:t>Special Purpose Vehicle (Securitise PPA and Issue Bonds)</w:t>
                                  </w:r>
                                </w:p>
                              </w:txbxContent>
                            </wps:txbx>
                            <wps:bodyPr spcFirstLastPara="1" wrap="square" lIns="91425" tIns="45700" rIns="91425" bIns="45700" anchor="ctr" anchorCtr="0">
                              <a:noAutofit/>
                            </wps:bodyPr>
                          </wps:wsp>
                          <wps:wsp>
                            <wps:cNvPr id="1627994423" name="Rectangle 1627994423"/>
                            <wps:cNvSpPr/>
                            <wps:spPr>
                              <a:xfrm>
                                <a:off x="1936039" y="1825600"/>
                                <a:ext cx="996315" cy="358775"/>
                              </a:xfrm>
                              <a:prstGeom prst="rect">
                                <a:avLst/>
                              </a:prstGeom>
                              <a:noFill/>
                              <a:ln>
                                <a:noFill/>
                              </a:ln>
                            </wps:spPr>
                            <wps:txbx>
                              <w:txbxContent>
                                <w:p w:rsidR="00D828B9" w:rsidRDefault="009C06C3" w14:paraId="4B5F4547" w14:textId="77777777">
                                  <w:pPr>
                                    <w:spacing w:line="258" w:lineRule="auto"/>
                                    <w:textDirection w:val="btLr"/>
                                  </w:pPr>
                                  <w:r>
                                    <w:rPr>
                                      <w:rFonts w:ascii="Arial" w:hAnsi="Arial" w:eastAsia="Arial" w:cs="Arial"/>
                                      <w:color w:val="000000"/>
                                      <w:sz w:val="21"/>
                                    </w:rPr>
                                    <w:t>Revenues</w:t>
                                  </w:r>
                                </w:p>
                              </w:txbxContent>
                            </wps:txbx>
                            <wps:bodyPr spcFirstLastPara="1" wrap="square" lIns="91425" tIns="45700" rIns="91425" bIns="45700" anchor="t" anchorCtr="0">
                              <a:noAutofit/>
                            </wps:bodyPr>
                          </wps:wsp>
                          <wps:wsp>
                            <wps:cNvPr id="1161508697" name="Straight Arrow Connector 1161508697"/>
                            <wps:cNvCnPr/>
                            <wps:spPr>
                              <a:xfrm rot="10800000">
                                <a:off x="1704136" y="1117748"/>
                                <a:ext cx="1937307" cy="11322"/>
                              </a:xfrm>
                              <a:prstGeom prst="straightConnector1">
                                <a:avLst/>
                              </a:prstGeom>
                              <a:noFill/>
                              <a:ln w="9525" cap="flat" cmpd="sng">
                                <a:solidFill>
                                  <a:schemeClr val="dk1"/>
                                </a:solidFill>
                                <a:prstDash val="solid"/>
                                <a:round/>
                                <a:headEnd type="none" w="sm" len="sm"/>
                                <a:tailEnd type="triangle" w="lg" len="lg"/>
                              </a:ln>
                            </wps:spPr>
                            <wps:bodyPr/>
                          </wps:wsp>
                          <wps:wsp>
                            <wps:cNvPr id="379842207" name="Rectangle 379842207"/>
                            <wps:cNvSpPr/>
                            <wps:spPr>
                              <a:xfrm>
                                <a:off x="2255336" y="1140533"/>
                                <a:ext cx="1353820" cy="358775"/>
                              </a:xfrm>
                              <a:prstGeom prst="rect">
                                <a:avLst/>
                              </a:prstGeom>
                              <a:noFill/>
                              <a:ln>
                                <a:noFill/>
                              </a:ln>
                            </wps:spPr>
                            <wps:txbx>
                              <w:txbxContent>
                                <w:p w:rsidR="00D828B9" w:rsidRDefault="009C06C3" w14:paraId="6C2243BB" w14:textId="77777777">
                                  <w:pPr>
                                    <w:spacing w:line="258" w:lineRule="auto"/>
                                    <w:textDirection w:val="btLr"/>
                                  </w:pPr>
                                  <w:r>
                                    <w:rPr>
                                      <w:rFonts w:ascii="Arial" w:hAnsi="Arial" w:eastAsia="Arial" w:cs="Arial"/>
                                      <w:color w:val="000000"/>
                                      <w:sz w:val="21"/>
                                    </w:rPr>
                                    <w:t>Power</w:t>
                                  </w:r>
                                </w:p>
                              </w:txbxContent>
                            </wps:txbx>
                            <wps:bodyPr spcFirstLastPara="1" wrap="square" lIns="91425" tIns="45700" rIns="91425" bIns="45700" anchor="t" anchorCtr="0">
                              <a:noAutofit/>
                            </wps:bodyPr>
                          </wps:wsp>
                          <wps:wsp>
                            <wps:cNvPr id="1967601093" name="Rectangle 1967601093"/>
                            <wps:cNvSpPr/>
                            <wps:spPr>
                              <a:xfrm>
                                <a:off x="0" y="2102607"/>
                                <a:ext cx="1290785" cy="1202379"/>
                              </a:xfrm>
                              <a:prstGeom prst="rect">
                                <a:avLst/>
                              </a:prstGeom>
                              <a:solidFill>
                                <a:schemeClr val="accent1"/>
                              </a:solidFill>
                              <a:ln w="12700" cap="flat" cmpd="sng">
                                <a:solidFill>
                                  <a:srgbClr val="31538F"/>
                                </a:solidFill>
                                <a:prstDash val="solid"/>
                                <a:miter lim="800000"/>
                                <a:headEnd type="none" w="sm" len="sm"/>
                                <a:tailEnd type="none" w="sm" len="sm"/>
                              </a:ln>
                            </wps:spPr>
                            <wps:txbx>
                              <w:txbxContent>
                                <w:p w:rsidR="00D828B9" w:rsidRDefault="009C06C3" w14:paraId="3CF63396" w14:textId="77777777">
                                  <w:pPr>
                                    <w:spacing w:line="258" w:lineRule="auto"/>
                                    <w:jc w:val="center"/>
                                    <w:textDirection w:val="btLr"/>
                                  </w:pPr>
                                  <w:r>
                                    <w:rPr>
                                      <w:rFonts w:ascii="Calibri" w:hAnsi="Calibri" w:eastAsia="Calibri" w:cs="Calibri"/>
                                      <w:color w:val="FFFFFF"/>
                                      <w:sz w:val="21"/>
                                    </w:rPr>
                                    <w:t>Government</w:t>
                                  </w:r>
                                </w:p>
                              </w:txbxContent>
                            </wps:txbx>
                            <wps:bodyPr spcFirstLastPara="1" wrap="square" lIns="91425" tIns="45700" rIns="91425" bIns="45700" anchor="ctr" anchorCtr="0">
                              <a:noAutofit/>
                            </wps:bodyPr>
                          </wps:wsp>
                          <wps:wsp>
                            <wps:cNvPr id="1489628926" name="Straight Arrow Connector 1489628926"/>
                            <wps:cNvCnPr/>
                            <wps:spPr>
                              <a:xfrm>
                                <a:off x="1396679" y="2959996"/>
                                <a:ext cx="1893761" cy="0"/>
                              </a:xfrm>
                              <a:prstGeom prst="straightConnector1">
                                <a:avLst/>
                              </a:prstGeom>
                              <a:noFill/>
                              <a:ln w="9525" cap="flat" cmpd="sng">
                                <a:solidFill>
                                  <a:schemeClr val="dk1"/>
                                </a:solidFill>
                                <a:prstDash val="dash"/>
                                <a:round/>
                                <a:headEnd type="none" w="sm" len="sm"/>
                                <a:tailEnd type="triangle" w="lg" len="lg"/>
                              </a:ln>
                            </wps:spPr>
                            <wps:bodyPr/>
                          </wps:wsp>
                          <wps:wsp>
                            <wps:cNvPr id="688058091" name="Rectangle 688058091"/>
                            <wps:cNvSpPr/>
                            <wps:spPr>
                              <a:xfrm>
                                <a:off x="1330188" y="2677685"/>
                                <a:ext cx="1353820" cy="358775"/>
                              </a:xfrm>
                              <a:prstGeom prst="rect">
                                <a:avLst/>
                              </a:prstGeom>
                              <a:noFill/>
                              <a:ln>
                                <a:noFill/>
                              </a:ln>
                            </wps:spPr>
                            <wps:txbx>
                              <w:txbxContent>
                                <w:p w:rsidR="00D828B9" w:rsidRDefault="009C06C3" w14:paraId="629E6616" w14:textId="77777777">
                                  <w:pPr>
                                    <w:spacing w:line="258" w:lineRule="auto"/>
                                    <w:textDirection w:val="btLr"/>
                                  </w:pPr>
                                  <w:r>
                                    <w:rPr>
                                      <w:rFonts w:ascii="Arial" w:hAnsi="Arial" w:eastAsia="Arial" w:cs="Arial"/>
                                      <w:color w:val="000000"/>
                                      <w:sz w:val="21"/>
                                    </w:rPr>
                                    <w:t>Guarantees</w:t>
                                  </w:r>
                                </w:p>
                              </w:txbxContent>
                            </wps:txbx>
                            <wps:bodyPr spcFirstLastPara="1" wrap="square" lIns="91425" tIns="45700" rIns="91425" bIns="45700" anchor="t" anchorCtr="0">
                              <a:noAutofit/>
                            </wps:bodyPr>
                          </wps:wsp>
                          <wps:wsp>
                            <wps:cNvPr id="1667615897" name="Rectangle 1667615897"/>
                            <wps:cNvSpPr/>
                            <wps:spPr>
                              <a:xfrm>
                                <a:off x="5539260" y="2090995"/>
                                <a:ext cx="1290785" cy="1202379"/>
                              </a:xfrm>
                              <a:prstGeom prst="rect">
                                <a:avLst/>
                              </a:prstGeom>
                              <a:solidFill>
                                <a:schemeClr val="accent1"/>
                              </a:solidFill>
                              <a:ln w="12700" cap="flat" cmpd="sng">
                                <a:solidFill>
                                  <a:srgbClr val="31538F"/>
                                </a:solidFill>
                                <a:prstDash val="solid"/>
                                <a:miter lim="800000"/>
                                <a:headEnd type="none" w="sm" len="sm"/>
                                <a:tailEnd type="none" w="sm" len="sm"/>
                              </a:ln>
                            </wps:spPr>
                            <wps:txbx>
                              <w:txbxContent>
                                <w:p w:rsidR="00D828B9" w:rsidRDefault="009C06C3" w14:paraId="4FA73EE1" w14:textId="77777777">
                                  <w:pPr>
                                    <w:spacing w:line="258" w:lineRule="auto"/>
                                    <w:jc w:val="center"/>
                                    <w:textDirection w:val="btLr"/>
                                  </w:pPr>
                                  <w:r>
                                    <w:rPr>
                                      <w:rFonts w:ascii="Calibri" w:hAnsi="Calibri" w:eastAsia="Calibri" w:cs="Calibri"/>
                                      <w:color w:val="FFFFFF"/>
                                      <w:sz w:val="21"/>
                                    </w:rPr>
                                    <w:t>Bond Investors</w:t>
                                  </w:r>
                                </w:p>
                              </w:txbxContent>
                            </wps:txbx>
                            <wps:bodyPr spcFirstLastPara="1" wrap="square" lIns="91425" tIns="45700" rIns="91425" bIns="45700" anchor="ctr" anchorCtr="0">
                              <a:noAutofit/>
                            </wps:bodyPr>
                          </wps:wsp>
                          <wps:wsp>
                            <wps:cNvPr id="788599970" name="Straight Arrow Connector 788599970"/>
                            <wps:cNvCnPr/>
                            <wps:spPr>
                              <a:xfrm>
                                <a:off x="4571844" y="2682996"/>
                                <a:ext cx="821879" cy="20801"/>
                              </a:xfrm>
                              <a:prstGeom prst="straightConnector1">
                                <a:avLst/>
                              </a:prstGeom>
                              <a:noFill/>
                              <a:ln w="9525" cap="flat" cmpd="sng">
                                <a:solidFill>
                                  <a:schemeClr val="dk1"/>
                                </a:solidFill>
                                <a:prstDash val="dash"/>
                                <a:round/>
                                <a:headEnd type="none" w="sm" len="sm"/>
                                <a:tailEnd type="triangle" w="lg" len="lg"/>
                              </a:ln>
                            </wps:spPr>
                            <wps:bodyPr/>
                          </wps:wsp>
                          <wps:wsp>
                            <wps:cNvPr id="222441304" name="Straight Arrow Connector 222441304"/>
                            <wps:cNvCnPr/>
                            <wps:spPr>
                              <a:xfrm rot="10800000" flipH="1">
                                <a:off x="4169555" y="1514165"/>
                                <a:ext cx="275665" cy="539538"/>
                              </a:xfrm>
                              <a:prstGeom prst="straightConnector1">
                                <a:avLst/>
                              </a:prstGeom>
                              <a:noFill/>
                              <a:ln w="9525" cap="flat" cmpd="sng">
                                <a:solidFill>
                                  <a:schemeClr val="dk1"/>
                                </a:solidFill>
                                <a:prstDash val="dash"/>
                                <a:round/>
                                <a:headEnd type="none" w="sm" len="sm"/>
                                <a:tailEnd type="triangle" w="lg" len="lg"/>
                              </a:ln>
                            </wps:spPr>
                            <wps:bodyPr/>
                          </wps:wsp>
                          <wps:wsp>
                            <wps:cNvPr id="910070346" name="Rectangle 910070346"/>
                            <wps:cNvSpPr/>
                            <wps:spPr>
                              <a:xfrm>
                                <a:off x="4545116" y="2428768"/>
                                <a:ext cx="996315" cy="358775"/>
                              </a:xfrm>
                              <a:prstGeom prst="rect">
                                <a:avLst/>
                              </a:prstGeom>
                              <a:noFill/>
                              <a:ln>
                                <a:noFill/>
                              </a:ln>
                            </wps:spPr>
                            <wps:txbx>
                              <w:txbxContent>
                                <w:p w:rsidR="00D828B9" w:rsidRDefault="009C06C3" w14:paraId="27E8EE9D" w14:textId="77777777">
                                  <w:pPr>
                                    <w:spacing w:line="258" w:lineRule="auto"/>
                                    <w:textDirection w:val="btLr"/>
                                  </w:pPr>
                                  <w:r>
                                    <w:rPr>
                                      <w:rFonts w:ascii="Arial" w:hAnsi="Arial" w:eastAsia="Arial" w:cs="Arial"/>
                                      <w:color w:val="000000"/>
                                      <w:sz w:val="21"/>
                                    </w:rPr>
                                    <w:t>Interest</w:t>
                                  </w:r>
                                </w:p>
                              </w:txbxContent>
                            </wps:txbx>
                            <wps:bodyPr spcFirstLastPara="1" wrap="square" lIns="91425" tIns="45700" rIns="91425" bIns="45700" anchor="t" anchorCtr="0">
                              <a:noAutofit/>
                            </wps:bodyPr>
                          </wps:wsp>
                          <wps:wsp>
                            <wps:cNvPr id="1235692005" name="Rectangle 1235692005"/>
                            <wps:cNvSpPr/>
                            <wps:spPr>
                              <a:xfrm>
                                <a:off x="4348001" y="1629569"/>
                                <a:ext cx="1654810" cy="358775"/>
                              </a:xfrm>
                              <a:prstGeom prst="rect">
                                <a:avLst/>
                              </a:prstGeom>
                              <a:noFill/>
                              <a:ln>
                                <a:noFill/>
                              </a:ln>
                            </wps:spPr>
                            <wps:txbx>
                              <w:txbxContent>
                                <w:p w:rsidR="00D828B9" w:rsidRDefault="009C06C3" w14:paraId="3BC871DC" w14:textId="77777777">
                                  <w:pPr>
                                    <w:spacing w:line="258" w:lineRule="auto"/>
                                    <w:textDirection w:val="btLr"/>
                                  </w:pPr>
                                  <w:r>
                                    <w:rPr>
                                      <w:rFonts w:ascii="Arial" w:hAnsi="Arial" w:eastAsia="Arial" w:cs="Arial"/>
                                      <w:color w:val="000000"/>
                                      <w:sz w:val="21"/>
                                    </w:rPr>
                                    <w:t>Remaining Revenue</w:t>
                                  </w:r>
                                </w:p>
                              </w:txbxContent>
                            </wps:txbx>
                            <wps:bodyPr spcFirstLastPara="1" wrap="square" lIns="91425" tIns="45700" rIns="91425" bIns="45700" anchor="t" anchorCtr="0">
                              <a:noAutofit/>
                            </wps:bodyPr>
                          </wps:wsp>
                          <wps:wsp>
                            <wps:cNvPr id="853290025" name="Straight Arrow Connector 853290025"/>
                            <wps:cNvCnPr/>
                            <wps:spPr>
                              <a:xfrm rot="10800000" flipH="1">
                                <a:off x="645392" y="1476872"/>
                                <a:ext cx="434268" cy="625735"/>
                              </a:xfrm>
                              <a:prstGeom prst="straightConnector1">
                                <a:avLst/>
                              </a:prstGeom>
                              <a:noFill/>
                              <a:ln w="9525" cap="flat" cmpd="sng">
                                <a:solidFill>
                                  <a:schemeClr val="accent1"/>
                                </a:solidFill>
                                <a:prstDash val="solid"/>
                                <a:miter lim="800000"/>
                                <a:headEnd type="none" w="sm" len="sm"/>
                                <a:tailEnd type="none" w="sm" len="sm"/>
                              </a:ln>
                            </wps:spPr>
                            <wps:bodyPr/>
                          </wps:wsp>
                          <wps:wsp>
                            <wps:cNvPr id="1852569391" name="Rectangle 1852569391"/>
                            <wps:cNvSpPr/>
                            <wps:spPr>
                              <a:xfrm>
                                <a:off x="340397" y="1603233"/>
                                <a:ext cx="1353820" cy="358775"/>
                              </a:xfrm>
                              <a:prstGeom prst="rect">
                                <a:avLst/>
                              </a:prstGeom>
                              <a:noFill/>
                              <a:ln>
                                <a:noFill/>
                              </a:ln>
                            </wps:spPr>
                            <wps:txbx>
                              <w:txbxContent>
                                <w:p w:rsidR="00D828B9" w:rsidRDefault="009C06C3" w14:paraId="025DB39F" w14:textId="77777777">
                                  <w:pPr>
                                    <w:spacing w:line="258" w:lineRule="auto"/>
                                    <w:textDirection w:val="btLr"/>
                                  </w:pPr>
                                  <w:r>
                                    <w:rPr>
                                      <w:rFonts w:ascii="Arial" w:hAnsi="Arial" w:eastAsia="Arial" w:cs="Arial"/>
                                      <w:color w:val="000000"/>
                                      <w:sz w:val="21"/>
                                    </w:rPr>
                                    <w:t>Owns</w:t>
                                  </w:r>
                                </w:p>
                              </w:txbxContent>
                            </wps:txbx>
                            <wps:bodyPr spcFirstLastPara="1" wrap="square" lIns="91425" tIns="45700" rIns="91425" bIns="45700" anchor="t" anchorCtr="0">
                              <a:noAutofit/>
                            </wps:bodyPr>
                          </wps:wsp>
                          <wps:wsp>
                            <wps:cNvPr id="915487709" name="Rectangle 915487709"/>
                            <wps:cNvSpPr/>
                            <wps:spPr>
                              <a:xfrm>
                                <a:off x="5420295" y="284593"/>
                                <a:ext cx="1290785" cy="1202379"/>
                              </a:xfrm>
                              <a:prstGeom prst="rect">
                                <a:avLst/>
                              </a:prstGeom>
                              <a:solidFill>
                                <a:schemeClr val="accent1"/>
                              </a:solidFill>
                              <a:ln w="12700" cap="flat" cmpd="sng">
                                <a:solidFill>
                                  <a:srgbClr val="31538F"/>
                                </a:solidFill>
                                <a:prstDash val="solid"/>
                                <a:miter lim="800000"/>
                                <a:headEnd type="none" w="sm" len="sm"/>
                                <a:tailEnd type="none" w="sm" len="sm"/>
                              </a:ln>
                            </wps:spPr>
                            <wps:txbx>
                              <w:txbxContent>
                                <w:p w:rsidR="00D828B9" w:rsidRDefault="009C06C3" w14:paraId="769F688B" w14:textId="77777777">
                                  <w:pPr>
                                    <w:spacing w:line="258" w:lineRule="auto"/>
                                    <w:jc w:val="center"/>
                                    <w:textDirection w:val="btLr"/>
                                  </w:pPr>
                                  <w:r>
                                    <w:rPr>
                                      <w:rFonts w:ascii="Calibri" w:hAnsi="Calibri" w:eastAsia="Calibri" w:cs="Calibri"/>
                                      <w:color w:val="FFFFFF"/>
                                      <w:sz w:val="21"/>
                                    </w:rPr>
                                    <w:t>Equity Investors</w:t>
                                  </w:r>
                                </w:p>
                              </w:txbxContent>
                            </wps:txbx>
                            <wps:bodyPr spcFirstLastPara="1" wrap="square" lIns="91425" tIns="45700" rIns="91425" bIns="45700" anchor="ctr" anchorCtr="0">
                              <a:noAutofit/>
                            </wps:bodyPr>
                          </wps:wsp>
                          <wps:wsp>
                            <wps:cNvPr id="2033497806" name="Straight Arrow Connector 2033497806"/>
                            <wps:cNvCnPr/>
                            <wps:spPr>
                              <a:xfrm rot="10800000" flipH="1">
                                <a:off x="5002823" y="1445220"/>
                                <a:ext cx="417473" cy="1"/>
                              </a:xfrm>
                              <a:prstGeom prst="straightConnector1">
                                <a:avLst/>
                              </a:prstGeom>
                              <a:noFill/>
                              <a:ln w="9525" cap="flat" cmpd="sng">
                                <a:solidFill>
                                  <a:schemeClr val="dk1"/>
                                </a:solidFill>
                                <a:prstDash val="dash"/>
                                <a:round/>
                                <a:headEnd type="none" w="sm" len="sm"/>
                                <a:tailEnd type="triangle" w="lg" len="lg"/>
                              </a:ln>
                            </wps:spPr>
                            <wps:bodyPr/>
                          </wps:wsp>
                          <wps:wsp>
                            <wps:cNvPr id="1473899495" name="Rectangle 1473899495"/>
                            <wps:cNvSpPr/>
                            <wps:spPr>
                              <a:xfrm>
                                <a:off x="2190889" y="3458250"/>
                                <a:ext cx="1290785" cy="551775"/>
                              </a:xfrm>
                              <a:prstGeom prst="rect">
                                <a:avLst/>
                              </a:prstGeom>
                              <a:solidFill>
                                <a:schemeClr val="accent1"/>
                              </a:solidFill>
                              <a:ln w="12700" cap="flat" cmpd="sng">
                                <a:solidFill>
                                  <a:srgbClr val="31538F"/>
                                </a:solidFill>
                                <a:prstDash val="solid"/>
                                <a:miter lim="800000"/>
                                <a:headEnd type="none" w="sm" len="sm"/>
                                <a:tailEnd type="none" w="sm" len="sm"/>
                              </a:ln>
                            </wps:spPr>
                            <wps:txbx>
                              <w:txbxContent>
                                <w:p w:rsidR="00D828B9" w:rsidRDefault="009C06C3" w14:paraId="639B9639" w14:textId="77777777">
                                  <w:pPr>
                                    <w:spacing w:line="258" w:lineRule="auto"/>
                                    <w:jc w:val="center"/>
                                    <w:textDirection w:val="btLr"/>
                                  </w:pPr>
                                  <w:r>
                                    <w:rPr>
                                      <w:rFonts w:ascii="Calibri" w:hAnsi="Calibri" w:eastAsia="Calibri" w:cs="Calibri"/>
                                      <w:b/>
                                      <w:color w:val="FFFFFF"/>
                                      <w:sz w:val="21"/>
                                    </w:rPr>
                                    <w:t>Equity Fund</w:t>
                                  </w:r>
                                </w:p>
                              </w:txbxContent>
                            </wps:txbx>
                            <wps:bodyPr spcFirstLastPara="1" wrap="square" lIns="91425" tIns="45700" rIns="91425" bIns="45700" anchor="ctr" anchorCtr="0">
                              <a:noAutofit/>
                            </wps:bodyPr>
                          </wps:wsp>
                          <wps:wsp>
                            <wps:cNvPr id="882969691" name="Straight Arrow Connector 882969691"/>
                            <wps:cNvCnPr/>
                            <wps:spPr>
                              <a:xfrm rot="10800000" flipH="1">
                                <a:off x="2836359" y="414617"/>
                                <a:ext cx="787229" cy="3043854"/>
                              </a:xfrm>
                              <a:prstGeom prst="straightConnector1">
                                <a:avLst/>
                              </a:prstGeom>
                              <a:noFill/>
                              <a:ln w="9525" cap="flat" cmpd="sng">
                                <a:solidFill>
                                  <a:schemeClr val="dk1"/>
                                </a:solidFill>
                                <a:prstDash val="dash"/>
                                <a:round/>
                                <a:headEnd type="none" w="sm" len="sm"/>
                                <a:tailEnd type="triangle" w="lg" len="lg"/>
                              </a:ln>
                            </wps:spPr>
                            <wps:bodyPr/>
                          </wps:wsp>
                          <wps:wsp>
                            <wps:cNvPr id="1500726424" name="Straight Arrow Connector 1500726424"/>
                            <wps:cNvCnPr/>
                            <wps:spPr>
                              <a:xfrm rot="10800000" flipH="1">
                                <a:off x="2982278" y="3304986"/>
                                <a:ext cx="279689" cy="326162"/>
                              </a:xfrm>
                              <a:prstGeom prst="straightConnector1">
                                <a:avLst/>
                              </a:prstGeom>
                              <a:noFill/>
                              <a:ln w="9525" cap="flat" cmpd="sng">
                                <a:solidFill>
                                  <a:schemeClr val="dk1"/>
                                </a:solidFill>
                                <a:prstDash val="dash"/>
                                <a:round/>
                                <a:headEnd type="none" w="sm" len="sm"/>
                                <a:tailEnd type="triangle" w="lg" len="lg"/>
                              </a:ln>
                            </wps:spPr>
                            <wps:bodyPr/>
                          </wps:wsp>
                          <wps:wsp>
                            <wps:cNvPr id="139405432" name="Rectangle 139405432"/>
                            <wps:cNvSpPr/>
                            <wps:spPr>
                              <a:xfrm>
                                <a:off x="1330187" y="3036461"/>
                                <a:ext cx="2106296" cy="358775"/>
                              </a:xfrm>
                              <a:prstGeom prst="rect">
                                <a:avLst/>
                              </a:prstGeom>
                              <a:noFill/>
                              <a:ln>
                                <a:noFill/>
                              </a:ln>
                            </wps:spPr>
                            <wps:txbx>
                              <w:txbxContent>
                                <w:p w:rsidR="00D828B9" w:rsidRDefault="009C06C3" w14:paraId="1DED6C48" w14:textId="77777777">
                                  <w:pPr>
                                    <w:spacing w:line="258" w:lineRule="auto"/>
                                    <w:textDirection w:val="btLr"/>
                                  </w:pPr>
                                  <w:r>
                                    <w:rPr>
                                      <w:rFonts w:ascii="Arial" w:hAnsi="Arial" w:eastAsia="Arial" w:cs="Arial"/>
                                      <w:b/>
                                      <w:color w:val="E7E6E6"/>
                                      <w:sz w:val="21"/>
                                    </w:rPr>
                                    <w:t>Secondary Guarantees</w:t>
                                  </w:r>
                                </w:p>
                              </w:txbxContent>
                            </wps:txbx>
                            <wps:bodyPr spcFirstLastPara="1" wrap="square" lIns="91425" tIns="45700" rIns="91425" bIns="45700" anchor="t" anchorCtr="0">
                              <a:noAutofit/>
                            </wps:bodyPr>
                          </wps:wsp>
                        </wpg:grpSp>
                        <wps:wsp>
                          <wps:cNvPr id="254276212" name="Rectangle 254276212"/>
                          <wps:cNvSpPr/>
                          <wps:spPr>
                            <a:xfrm>
                              <a:off x="129940" y="29788"/>
                              <a:ext cx="6828790" cy="284480"/>
                            </a:xfrm>
                            <a:prstGeom prst="rect">
                              <a:avLst/>
                            </a:prstGeom>
                            <a:solidFill>
                              <a:srgbClr val="FFFFFF"/>
                            </a:solidFill>
                            <a:ln>
                              <a:noFill/>
                            </a:ln>
                          </wps:spPr>
                          <wps:txbx>
                            <w:txbxContent>
                              <w:p w:rsidR="00D828B9" w:rsidRDefault="009C06C3" w14:paraId="4C6CA17F" w14:textId="77777777">
                                <w:pPr>
                                  <w:spacing w:after="200" w:line="240" w:lineRule="auto"/>
                                  <w:textDirection w:val="btLr"/>
                                </w:pPr>
                                <w:r>
                                  <w:rPr>
                                    <w:i/>
                                    <w:color w:val="44546A"/>
                                  </w:rPr>
                                  <w:t>Derisking Structure</w:t>
                                </w:r>
                              </w:p>
                            </w:txbxContent>
                          </wps:txbx>
                          <wps:bodyPr spcFirstLastPara="1" wrap="square" lIns="0" tIns="0" rIns="0" bIns="0" anchor="t" anchorCtr="0">
                            <a:noAutofit/>
                          </wps:bodyPr>
                        </wps:wsp>
                      </wpg:grpSp>
                    </wpg:wgp>
                  </a:graphicData>
                </a:graphic>
              </wp:anchor>
            </w:drawing>
          </mc:Choice>
          <mc:Fallback>
            <w:pict>
              <v:group id="Group 1" style="position:absolute;left:0;text-align:left;margin-left:0;margin-top:11pt;width:370.2pt;height:229.8pt;z-index:251660288" coordsize="56832,35211" coordorigin="25075,20226" o:spid="_x0000_s1026" w14:anchorId="24AB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">
                <v:group id="Group 1942528013" style="position:absolute;left:25075;top:20226;width:56769;height:35147" coordsize="69477,43136" coordorigin="1299,29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">
                  <v:rect id="Rectangle 1259152397" style="position:absolute;left:1299;top:297;width:69477;height:43136;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">
                    <v:textbox inset="2.53958mm,2.53958mm,2.53958mm,2.53958mm">
                      <w:txbxContent>
                        <w:p w:rsidR="00D828B9" w:rsidRDefault="00D828B9" w14:paraId="49D28419" w14:textId="77777777">
                          <w:pPr>
                            <w:spacing w:after="0" w:line="240" w:lineRule="auto"/>
                            <w:textDirection w:val="btLr"/>
                          </w:pPr>
                        </w:p>
                      </w:txbxContent>
                    </v:textbox>
                  </v:rect>
                  <v:group id="Group 352684534" style="position:absolute;left:2476;top:2489;width:68300;height:40945" coordsize="68300,40944" coordorigin=",-844"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">
                    <v:rect id="Rectangle 1855854106" style="position:absolute;left:37270;top:2744;width:12291;height:12024;visibility:visible;mso-wrap-style:square;v-text-anchor:middle" o:spid="_x0000_s1030" fillcolor="#4f81bd [3204]" strokecolor="#31538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">
                      <v:stroke startarrowwidth="narrow" startarrowlength="short" endarrowwidth="narrow" endarrowlength="short"/>
                      <v:textbox inset="2.53958mm,1.2694mm,2.53958mm,1.2694mm">
                        <w:txbxContent>
                          <w:p w:rsidR="00D828B9" w:rsidRDefault="009C06C3" w14:paraId="4209C7FD" w14:textId="77777777">
                            <w:pPr>
                              <w:spacing w:line="258" w:lineRule="auto"/>
                              <w:jc w:val="center"/>
                              <w:textDirection w:val="btLr"/>
                            </w:pPr>
                            <w:r>
                              <w:rPr>
                                <w:rFonts w:ascii="Calibri" w:hAnsi="Calibri" w:eastAsia="Calibri" w:cs="Calibri"/>
                                <w:color w:val="FFFFFF"/>
                                <w:sz w:val="21"/>
                              </w:rPr>
                              <w:t>Independent Power Project</w:t>
                            </w:r>
                          </w:p>
                        </w:txbxContent>
                      </v:textbox>
                    </v:rect>
                    <v:rect id="Rectangle 1161931072" style="position:absolute;left:4651;top:2744;width:12291;height:12024;visibility:visible;mso-wrap-style:square;v-text-anchor:middle" o:spid="_x0000_s1031" fillcolor="#4f81bd [3204]" strokecolor="#31538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">
                      <v:stroke startarrowwidth="narrow" startarrowlength="short" endarrowwidth="narrow" endarrowlength="short"/>
                      <v:textbox inset="2.53958mm,1.2694mm,2.53958mm,1.2694mm">
                        <w:txbxContent>
                          <w:p w:rsidR="00D828B9" w:rsidRDefault="009C06C3" w14:paraId="0E951F67" w14:textId="77777777">
                            <w:pPr>
                              <w:spacing w:line="258" w:lineRule="auto"/>
                              <w:jc w:val="center"/>
                              <w:textDirection w:val="btLr"/>
                            </w:pPr>
                            <w:r>
                              <w:rPr>
                                <w:rFonts w:ascii="Calibri" w:hAnsi="Calibri" w:eastAsia="Calibri" w:cs="Calibri"/>
                                <w:color w:val="FFFFFF"/>
                                <w:sz w:val="21"/>
                              </w:rPr>
                              <w:t xml:space="preserve">State </w:t>
                            </w:r>
                          </w:p>
                          <w:p w:rsidR="00D828B9" w:rsidRDefault="009C06C3" w14:paraId="09E262D3" w14:textId="77777777">
                            <w:pPr>
                              <w:spacing w:line="258" w:lineRule="auto"/>
                              <w:jc w:val="center"/>
                              <w:textDirection w:val="btLr"/>
                            </w:pPr>
                            <w:r>
                              <w:rPr>
                                <w:rFonts w:ascii="Calibri" w:hAnsi="Calibri" w:eastAsia="Calibri" w:cs="Calibri"/>
                                <w:color w:val="FFFFFF"/>
                                <w:sz w:val="21"/>
                              </w:rPr>
                              <w:t>Power Utility</w:t>
                            </w:r>
                          </w:p>
                        </w:txbxContent>
                      </v:textbox>
                    </v:rect>
                    <v:shapetype id="_x0000_t32" coordsize="21600,21600" o:oned="t" filled="f" o:spt="32" path="m,l21600,21600e">
                      <v:path fillok="f" arrowok="t" o:connecttype="none"/>
                      <o:lock v:ext="edit" shapetype="t"/>
                    </v:shapetype>
                    <v:shape id="Straight Arrow Connector 556478089" style="position:absolute;left:17041;top:4365;width:19599;height:461;rotation:180;flip:x;visibility:visible;mso-wrap-style:square" o:spid="_x0000_s1032"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">
                      <v:stroke dashstyle="dash" startarrowwidth="narrow" startarrowlength="short" endarrow="block" endarrowwidth="wide" endarrowlength="long"/>
                    </v:shape>
                    <v:rect id="Rectangle 1353153765" style="position:absolute;left:17947;top:-844;width:15589;height:5238;visibility:visible;mso-wrap-style:square;v-text-anchor:top"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">
                      <v:textbox inset="2.53958mm,1.2694mm,2.53958mm,1.2694mm">
                        <w:txbxContent>
                          <w:p w:rsidR="00D828B9" w:rsidRDefault="009C06C3" w14:paraId="1364A929" w14:textId="77777777">
                            <w:pPr>
                              <w:spacing w:line="258" w:lineRule="auto"/>
                              <w:textDirection w:val="btLr"/>
                            </w:pPr>
                            <w:r>
                              <w:rPr>
                                <w:rFonts w:ascii="Arial" w:hAnsi="Arial" w:eastAsia="Arial" w:cs="Arial"/>
                                <w:color w:val="000000"/>
                                <w:sz w:val="21"/>
                              </w:rPr>
                              <w:t>Guarantee Price of Power (auctioned)</w:t>
                            </w:r>
                          </w:p>
                        </w:txbxContent>
                      </v:textbox>
                    </v:rect>
                    <v:shape id="Straight Arrow Connector 944355797" style="position:absolute;left:16942;top:14987;width:15962;height:10526;visibility:visible;mso-wrap-style:square" o:spid="_x0000_s1034"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">
                      <v:stroke startarrowwidth="narrow" startarrowlength="short" endarrow="block" endarrowwidth="wide" endarrowlength="long"/>
                    </v:shape>
                    <v:rect id="Rectangle 282151159" style="position:absolute;left:32810;top:20909;width:12908;height:12024;visibility:visible;mso-wrap-style:square;v-text-anchor:middle" o:spid="_x0000_s1035" fillcolor="#4f81bd [3204]" strokecolor="#31538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">
                      <v:stroke startarrowwidth="narrow" startarrowlength="short" endarrowwidth="narrow" endarrowlength="short"/>
                      <v:textbox inset="2.53958mm,1.2694mm,2.53958mm,1.2694mm">
                        <w:txbxContent>
                          <w:p w:rsidR="00D828B9" w:rsidRDefault="009C06C3" w14:paraId="60862386" w14:textId="77777777">
                            <w:pPr>
                              <w:spacing w:line="258" w:lineRule="auto"/>
                              <w:jc w:val="center"/>
                              <w:textDirection w:val="btLr"/>
                            </w:pPr>
                            <w:r>
                              <w:rPr>
                                <w:rFonts w:ascii="Calibri" w:hAnsi="Calibri" w:eastAsia="Calibri" w:cs="Calibri"/>
                                <w:color w:val="FFFFFF"/>
                                <w:sz w:val="21"/>
                              </w:rPr>
                              <w:t>Special Purpose Vehicle (Securitise PPA and Issue Bonds)</w:t>
                            </w:r>
                          </w:p>
                        </w:txbxContent>
                      </v:textbox>
                    </v:rect>
                    <v:rect id="Rectangle 1627994423" style="position:absolute;left:19360;top:18256;width:9963;height:3587;visibility:visible;mso-wrap-style:square;v-text-anchor:top"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">
                      <v:textbox inset="2.53958mm,1.2694mm,2.53958mm,1.2694mm">
                        <w:txbxContent>
                          <w:p w:rsidR="00D828B9" w:rsidRDefault="009C06C3" w14:paraId="4B5F4547" w14:textId="77777777">
                            <w:pPr>
                              <w:spacing w:line="258" w:lineRule="auto"/>
                              <w:textDirection w:val="btLr"/>
                            </w:pPr>
                            <w:r>
                              <w:rPr>
                                <w:rFonts w:ascii="Arial" w:hAnsi="Arial" w:eastAsia="Arial" w:cs="Arial"/>
                                <w:color w:val="000000"/>
                                <w:sz w:val="21"/>
                              </w:rPr>
                              <w:t>Revenues</w:t>
                            </w:r>
                          </w:p>
                        </w:txbxContent>
                      </v:textbox>
                    </v:rect>
                    <v:shape id="Straight Arrow Connector 1161508697" style="position:absolute;left:17041;top:11177;width:19373;height:113;rotation:180;visibility:visible;mso-wrap-style:square" o:spid="_x0000_s1037"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">
                      <v:stroke startarrowwidth="narrow" startarrowlength="short" endarrow="block" endarrowwidth="wide" endarrowlength="long"/>
                    </v:shape>
                    <v:rect id="Rectangle 379842207" style="position:absolute;left:22553;top:11405;width:13538;height:3588;visibility:visible;mso-wrap-style:square;v-text-anchor:top"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">
                      <v:textbox inset="2.53958mm,1.2694mm,2.53958mm,1.2694mm">
                        <w:txbxContent>
                          <w:p w:rsidR="00D828B9" w:rsidRDefault="009C06C3" w14:paraId="6C2243BB" w14:textId="77777777">
                            <w:pPr>
                              <w:spacing w:line="258" w:lineRule="auto"/>
                              <w:textDirection w:val="btLr"/>
                            </w:pPr>
                            <w:r>
                              <w:rPr>
                                <w:rFonts w:ascii="Arial" w:hAnsi="Arial" w:eastAsia="Arial" w:cs="Arial"/>
                                <w:color w:val="000000"/>
                                <w:sz w:val="21"/>
                              </w:rPr>
                              <w:t>Power</w:t>
                            </w:r>
                          </w:p>
                        </w:txbxContent>
                      </v:textbox>
                    </v:rect>
                    <v:rect id="Rectangle 1967601093" style="position:absolute;top:21026;width:12907;height:12023;visibility:visible;mso-wrap-style:square;v-text-anchor:middle" o:spid="_x0000_s1039" fillcolor="#4f81bd [3204]" strokecolor="#31538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">
                      <v:stroke startarrowwidth="narrow" startarrowlength="short" endarrowwidth="narrow" endarrowlength="short"/>
                      <v:textbox inset="2.53958mm,1.2694mm,2.53958mm,1.2694mm">
                        <w:txbxContent>
                          <w:p w:rsidR="00D828B9" w:rsidRDefault="009C06C3" w14:paraId="3CF63396" w14:textId="77777777">
                            <w:pPr>
                              <w:spacing w:line="258" w:lineRule="auto"/>
                              <w:jc w:val="center"/>
                              <w:textDirection w:val="btLr"/>
                            </w:pPr>
                            <w:r>
                              <w:rPr>
                                <w:rFonts w:ascii="Calibri" w:hAnsi="Calibri" w:eastAsia="Calibri" w:cs="Calibri"/>
                                <w:color w:val="FFFFFF"/>
                                <w:sz w:val="21"/>
                              </w:rPr>
                              <w:t>Government</w:t>
                            </w:r>
                          </w:p>
                        </w:txbxContent>
                      </v:textbox>
                    </v:rect>
                    <v:shape id="Straight Arrow Connector 1489628926" style="position:absolute;left:13966;top:29599;width:18938;height:0;visibility:visible;mso-wrap-style:square" o:spid="_x0000_s1040"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">
                      <v:stroke dashstyle="dash" startarrowwidth="narrow" startarrowlength="short" endarrow="block" endarrowwidth="wide" endarrowlength="long"/>
                    </v:shape>
                    <v:rect id="Rectangle 688058091" style="position:absolute;left:13301;top:26776;width:13539;height:3588;visibility:visible;mso-wrap-style:square;v-text-anchor:top" o:spid="_x0000_s10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">
                      <v:textbox inset="2.53958mm,1.2694mm,2.53958mm,1.2694mm">
                        <w:txbxContent>
                          <w:p w:rsidR="00D828B9" w:rsidRDefault="009C06C3" w14:paraId="629E6616" w14:textId="77777777">
                            <w:pPr>
                              <w:spacing w:line="258" w:lineRule="auto"/>
                              <w:textDirection w:val="btLr"/>
                            </w:pPr>
                            <w:r>
                              <w:rPr>
                                <w:rFonts w:ascii="Arial" w:hAnsi="Arial" w:eastAsia="Arial" w:cs="Arial"/>
                                <w:color w:val="000000"/>
                                <w:sz w:val="21"/>
                              </w:rPr>
                              <w:t>Guarantees</w:t>
                            </w:r>
                          </w:p>
                        </w:txbxContent>
                      </v:textbox>
                    </v:rect>
                    <v:rect id="Rectangle 1667615897" style="position:absolute;left:55392;top:20909;width:12908;height:12024;visibility:visible;mso-wrap-style:square;v-text-anchor:middle" o:spid="_x0000_s1042" fillcolor="#4f81bd [3204]" strokecolor="#31538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">
                      <v:stroke startarrowwidth="narrow" startarrowlength="short" endarrowwidth="narrow" endarrowlength="short"/>
                      <v:textbox inset="2.53958mm,1.2694mm,2.53958mm,1.2694mm">
                        <w:txbxContent>
                          <w:p w:rsidR="00D828B9" w:rsidRDefault="009C06C3" w14:paraId="4FA73EE1" w14:textId="77777777">
                            <w:pPr>
                              <w:spacing w:line="258" w:lineRule="auto"/>
                              <w:jc w:val="center"/>
                              <w:textDirection w:val="btLr"/>
                            </w:pPr>
                            <w:r>
                              <w:rPr>
                                <w:rFonts w:ascii="Calibri" w:hAnsi="Calibri" w:eastAsia="Calibri" w:cs="Calibri"/>
                                <w:color w:val="FFFFFF"/>
                                <w:sz w:val="21"/>
                              </w:rPr>
                              <w:t>Bond Investors</w:t>
                            </w:r>
                          </w:p>
                        </w:txbxContent>
                      </v:textbox>
                    </v:rect>
                    <v:shape id="Straight Arrow Connector 788599970" style="position:absolute;left:45718;top:26829;width:8219;height:208;visibility:visible;mso-wrap-style:square" o:spid="_x0000_s1043"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">
                      <v:stroke dashstyle="dash" startarrowwidth="narrow" startarrowlength="short" endarrow="block" endarrowwidth="wide" endarrowlength="long"/>
                    </v:shape>
                    <v:shape id="Straight Arrow Connector 222441304" style="position:absolute;left:41695;top:15141;width:2757;height:5396;rotation:180;flip:x;visibility:visible;mso-wrap-style:square" o:spid="_x0000_s1044"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">
                      <v:stroke dashstyle="dash" startarrowwidth="narrow" startarrowlength="short" endarrow="block" endarrowwidth="wide" endarrowlength="long"/>
                    </v:shape>
                    <v:rect id="Rectangle 910070346" style="position:absolute;left:45451;top:24287;width:9963;height:3588;visibility:visible;mso-wrap-style:square;v-text-anchor:top" o:spid="_x0000_s10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">
                      <v:textbox inset="2.53958mm,1.2694mm,2.53958mm,1.2694mm">
                        <w:txbxContent>
                          <w:p w:rsidR="00D828B9" w:rsidRDefault="009C06C3" w14:paraId="27E8EE9D" w14:textId="77777777">
                            <w:pPr>
                              <w:spacing w:line="258" w:lineRule="auto"/>
                              <w:textDirection w:val="btLr"/>
                            </w:pPr>
                            <w:r>
                              <w:rPr>
                                <w:rFonts w:ascii="Arial" w:hAnsi="Arial" w:eastAsia="Arial" w:cs="Arial"/>
                                <w:color w:val="000000"/>
                                <w:sz w:val="21"/>
                              </w:rPr>
                              <w:t>Interest</w:t>
                            </w:r>
                          </w:p>
                        </w:txbxContent>
                      </v:textbox>
                    </v:rect>
                    <v:rect id="Rectangle 1235692005" style="position:absolute;left:43480;top:16295;width:16548;height:3588;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">
                      <v:textbox inset="2.53958mm,1.2694mm,2.53958mm,1.2694mm">
                        <w:txbxContent>
                          <w:p w:rsidR="00D828B9" w:rsidRDefault="009C06C3" w14:paraId="3BC871DC" w14:textId="77777777">
                            <w:pPr>
                              <w:spacing w:line="258" w:lineRule="auto"/>
                              <w:textDirection w:val="btLr"/>
                            </w:pPr>
                            <w:r>
                              <w:rPr>
                                <w:rFonts w:ascii="Arial" w:hAnsi="Arial" w:eastAsia="Arial" w:cs="Arial"/>
                                <w:color w:val="000000"/>
                                <w:sz w:val="21"/>
                              </w:rPr>
                              <w:t>Remaining Revenue</w:t>
                            </w:r>
                          </w:p>
                        </w:txbxContent>
                      </v:textbox>
                    </v:rect>
                    <v:shape id="Straight Arrow Connector 853290025" style="position:absolute;left:6453;top:14768;width:4343;height:6258;rotation:180;flip:x;visibility:visible;mso-wrap-style:square" o:spid="_x0000_s1047" strokecolor="#4f81bd [3204]"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">
                      <v:stroke joinstyle="miter" startarrowwidth="narrow" startarrowlength="short" endarrowwidth="narrow" endarrowlength="short"/>
                    </v:shape>
                    <v:rect id="Rectangle 1852569391" style="position:absolute;left:3403;top:16032;width:13539;height:3588;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">
                      <v:textbox inset="2.53958mm,1.2694mm,2.53958mm,1.2694mm">
                        <w:txbxContent>
                          <w:p w:rsidR="00D828B9" w:rsidRDefault="009C06C3" w14:paraId="025DB39F" w14:textId="77777777">
                            <w:pPr>
                              <w:spacing w:line="258" w:lineRule="auto"/>
                              <w:textDirection w:val="btLr"/>
                            </w:pPr>
                            <w:r>
                              <w:rPr>
                                <w:rFonts w:ascii="Arial" w:hAnsi="Arial" w:eastAsia="Arial" w:cs="Arial"/>
                                <w:color w:val="000000"/>
                                <w:sz w:val="21"/>
                              </w:rPr>
                              <w:t>Owns</w:t>
                            </w:r>
                          </w:p>
                        </w:txbxContent>
                      </v:textbox>
                    </v:rect>
                    <v:rect id="Rectangle 915487709" style="position:absolute;left:54202;top:2845;width:12908;height:12024;visibility:visible;mso-wrap-style:square;v-text-anchor:middle" o:spid="_x0000_s1049" fillcolor="#4f81bd [3204]" strokecolor="#31538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">
                      <v:stroke startarrowwidth="narrow" startarrowlength="short" endarrowwidth="narrow" endarrowlength="short"/>
                      <v:textbox inset="2.53958mm,1.2694mm,2.53958mm,1.2694mm">
                        <w:txbxContent>
                          <w:p w:rsidR="00D828B9" w:rsidRDefault="009C06C3" w14:paraId="769F688B" w14:textId="77777777">
                            <w:pPr>
                              <w:spacing w:line="258" w:lineRule="auto"/>
                              <w:jc w:val="center"/>
                              <w:textDirection w:val="btLr"/>
                            </w:pPr>
                            <w:r>
                              <w:rPr>
                                <w:rFonts w:ascii="Calibri" w:hAnsi="Calibri" w:eastAsia="Calibri" w:cs="Calibri"/>
                                <w:color w:val="FFFFFF"/>
                                <w:sz w:val="21"/>
                              </w:rPr>
                              <w:t>Equity Investors</w:t>
                            </w:r>
                          </w:p>
                        </w:txbxContent>
                      </v:textbox>
                    </v:rect>
                    <v:shape id="Straight Arrow Connector 2033497806" style="position:absolute;left:50028;top:14452;width:4174;height:0;rotation:180;flip:x;visibility:visible;mso-wrap-style:square" o:spid="_x0000_s1050"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">
                      <v:stroke dashstyle="dash" startarrowwidth="narrow" startarrowlength="short" endarrow="block" endarrowwidth="wide" endarrowlength="long"/>
                    </v:shape>
                    <v:rect id="Rectangle 1473899495" style="position:absolute;left:21908;top:34582;width:12908;height:5518;visibility:visible;mso-wrap-style:square;v-text-anchor:middle" o:spid="_x0000_s1051" fillcolor="#4f81bd [3204]" strokecolor="#31538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">
                      <v:stroke startarrowwidth="narrow" startarrowlength="short" endarrowwidth="narrow" endarrowlength="short"/>
                      <v:textbox inset="2.53958mm,1.2694mm,2.53958mm,1.2694mm">
                        <w:txbxContent>
                          <w:p w:rsidR="00D828B9" w:rsidRDefault="009C06C3" w14:paraId="639B9639" w14:textId="77777777">
                            <w:pPr>
                              <w:spacing w:line="258" w:lineRule="auto"/>
                              <w:jc w:val="center"/>
                              <w:textDirection w:val="btLr"/>
                            </w:pPr>
                            <w:r>
                              <w:rPr>
                                <w:rFonts w:ascii="Calibri" w:hAnsi="Calibri" w:eastAsia="Calibri" w:cs="Calibri"/>
                                <w:b/>
                                <w:color w:val="FFFFFF"/>
                                <w:sz w:val="21"/>
                              </w:rPr>
                              <w:t>Equity Fund</w:t>
                            </w:r>
                          </w:p>
                        </w:txbxContent>
                      </v:textbox>
                    </v:rect>
                    <v:shape id="Straight Arrow Connector 882969691" style="position:absolute;left:28363;top:4146;width:7872;height:30438;rotation:180;flip:x;visibility:visible;mso-wrap-style:square" o:spid="_x0000_s1052"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">
                      <v:stroke dashstyle="dash" startarrowwidth="narrow" startarrowlength="short" endarrow="block" endarrowwidth="wide" endarrowlength="long"/>
                    </v:shape>
                    <v:shape id="Straight Arrow Connector 1500726424" style="position:absolute;left:29822;top:33049;width:2797;height:3262;rotation:180;flip:x;visibility:visible;mso-wrap-style:square" o:spid="_x0000_s1053"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">
                      <v:stroke dashstyle="dash" startarrowwidth="narrow" startarrowlength="short" endarrow="block" endarrowwidth="wide" endarrowlength="long"/>
                    </v:shape>
                    <v:rect id="Rectangle 139405432" style="position:absolute;left:13301;top:30364;width:21063;height:3588;visibility:visible;mso-wrap-style:square;v-text-anchor:top"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">
                      <v:textbox inset="2.53958mm,1.2694mm,2.53958mm,1.2694mm">
                        <w:txbxContent>
                          <w:p w:rsidR="00D828B9" w:rsidRDefault="009C06C3" w14:paraId="1DED6C48" w14:textId="77777777">
                            <w:pPr>
                              <w:spacing w:line="258" w:lineRule="auto"/>
                              <w:textDirection w:val="btLr"/>
                            </w:pPr>
                            <w:r>
                              <w:rPr>
                                <w:rFonts w:ascii="Arial" w:hAnsi="Arial" w:eastAsia="Arial" w:cs="Arial"/>
                                <w:b/>
                                <w:color w:val="E7E6E6"/>
                                <w:sz w:val="21"/>
                              </w:rPr>
                              <w:t>Secondary Guarantees</w:t>
                            </w:r>
                          </w:p>
                        </w:txbxContent>
                      </v:textbox>
                    </v:rect>
                  </v:group>
                  <v:rect id="Rectangle 254276212" style="position:absolute;left:1299;top:297;width:68288;height:2845;visibility:visible;mso-wrap-style:square;v-text-anchor:top" o:spid="_x0000_s1055"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">
                    <v:textbox inset="0,0,0,0">
                      <w:txbxContent>
                        <w:p w:rsidR="00D828B9" w:rsidRDefault="009C06C3" w14:paraId="4C6CA17F" w14:textId="77777777">
                          <w:pPr>
                            <w:spacing w:after="200" w:line="240" w:lineRule="auto"/>
                            <w:textDirection w:val="btLr"/>
                          </w:pPr>
                          <w:r>
                            <w:rPr>
                              <w:i/>
                              <w:color w:val="44546A"/>
                            </w:rPr>
                            <w:t>Derisking Structure</w:t>
                          </w:r>
                        </w:p>
                      </w:txbxContent>
                    </v:textbox>
                  </v:rect>
                </v:group>
                <w10:wrap type="topAndBottom"/>
              </v:group>
            </w:pict>
          </mc:Fallback>
        </mc:AlternateContent>
      </w:r>
    </w:p>
    <w:p w:rsidRPr="004B3881" w:rsidR="00D828B9" w:rsidP="00B71F5B" w:rsidRDefault="009C06C3" w14:paraId="2D9FD241" w14:textId="77777777">
      <w:pPr>
        <w:pStyle w:val="Heading2"/>
        <w:spacing w:line="360" w:lineRule="auto"/>
        <w:ind w:firstLine="720"/>
        <w:rPr>
          <w:rFonts w:ascii="Times New Roman" w:hAnsi="Times New Roman" w:cs="Times New Roman"/>
          <w:sz w:val="24"/>
          <w:szCs w:val="24"/>
        </w:rPr>
      </w:pPr>
      <w:bookmarkStart w:name="_m5wj61u118kb" w:colFirst="0" w:colLast="0" w:id="9"/>
      <w:bookmarkEnd w:id="9"/>
      <w:r w:rsidRPr="004B3881">
        <w:rPr>
          <w:rFonts w:ascii="Times New Roman" w:hAnsi="Times New Roman" w:cs="Times New Roman"/>
          <w:sz w:val="24"/>
          <w:szCs w:val="24"/>
        </w:rPr>
        <w:br w:type="page"/>
      </w:r>
    </w:p>
    <w:p w:rsidRPr="006A2BF4" w:rsidR="00D828B9" w:rsidP="006A2BF4" w:rsidRDefault="009C06C3" w14:paraId="6751C534" w14:textId="33DBF7EF">
      <w:pPr>
        <w:pStyle w:val="Heading2"/>
        <w:spacing w:line="360" w:lineRule="auto"/>
        <w:jc w:val="center"/>
        <w:rPr>
          <w:rFonts w:ascii="Times New Roman" w:hAnsi="Times New Roman" w:cs="Times New Roman"/>
          <w:b/>
          <w:bCs/>
          <w:sz w:val="24"/>
          <w:szCs w:val="24"/>
        </w:rPr>
      </w:pPr>
      <w:bookmarkStart w:name="_p638rzf0s3xg" w:colFirst="0" w:colLast="0" w:id="10"/>
      <w:bookmarkEnd w:id="10"/>
      <w:r w:rsidRPr="006A2BF4">
        <w:rPr>
          <w:rFonts w:ascii="Times New Roman" w:hAnsi="Times New Roman" w:cs="Times New Roman"/>
          <w:b/>
          <w:bCs/>
          <w:sz w:val="24"/>
          <w:szCs w:val="24"/>
        </w:rPr>
        <w:lastRenderedPageBreak/>
        <w:t>Global Solar Economy Equity Fund: A mechanism for absorbing early-stage project development risk and residual guarantor risk, and socializing the gains from refinancing</w:t>
      </w:r>
    </w:p>
    <w:p w:rsidRPr="004B3881" w:rsidR="00D828B9" w:rsidP="00B71F5B" w:rsidRDefault="009C06C3" w14:paraId="47074191"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Here we propose a Global Solar Economy Equity Fund (GSEEF) to participate in scaling up renewable energy by providing power project developers with </w:t>
      </w:r>
      <w:r w:rsidRPr="004B3881">
        <w:rPr>
          <w:rFonts w:ascii="Times New Roman" w:hAnsi="Times New Roman" w:cs="Times New Roman"/>
          <w:i/>
          <w:sz w:val="24"/>
          <w:szCs w:val="24"/>
        </w:rPr>
        <w:t>project development risk equity funding,</w:t>
      </w:r>
      <w:r w:rsidRPr="004B3881">
        <w:rPr>
          <w:rFonts w:ascii="Times New Roman" w:hAnsi="Times New Roman" w:cs="Times New Roman"/>
          <w:sz w:val="24"/>
          <w:szCs w:val="24"/>
        </w:rPr>
        <w:t xml:space="preserve"> i.e. GSEEF will serve as an equity co-investor, a provider of risk capital to co-finance the relatively high-risk early project development phase of IPP power generation development projects. </w:t>
      </w:r>
    </w:p>
    <w:p w:rsidRPr="004B3881" w:rsidR="00D828B9" w:rsidP="00B71F5B" w:rsidRDefault="009C06C3" w14:paraId="7C6B442B"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From the point of view of private companies whose business model is development of new solar parks or other RE projects in EMDEs, recruiting GSEEF as a co-investor in RE project development ventures will be highly desirable: it will tend to reduce the cost of debt capital extended to the project developer, and should also smooth the path of land acquisition and permitting. The reason is that GSEEF will be a very large fund, giving it the resources to increase its stake in a project if need be (should an otherwise good project hit delays or unexpected costs during the development phase). Moreover, GSEEF’s participation in a development project will be contingent on GSEEF due-diligence staff’s assessment that the project being invested in (and the project development company itself) are credible. This will reassure lenders (e.g. commercial banks), leading to lower-interest loan terms. </w:t>
      </w:r>
    </w:p>
    <w:p w:rsidRPr="004B3881" w:rsidR="00D828B9" w:rsidP="00B71F5B" w:rsidRDefault="009C06C3" w14:paraId="3A23266C"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GSEEF will co-finance the development of new solar power parks (or other qualifying RE projects) and once a project has been built, fully permitted, and grid-connected, GSEEF can either retain its shares so as to collect a portion of net PPA income during the solar park’s operating life, or sell some or all of its shares in the newly operational solar park to operating companies (companies that may, in many cases, be debt-financed by the SEFS-SPV as described in section 3 above). GSEEF can then take the money gained from the sale of those shares and invest it in the next project development, thus recycling project development funds. Alternatively, if GSEEF retains its ownership stake in a project into the operating (PPA revenue-generating) phase, GSEEF could recycle the attendant income stream by co-investing in additional new solar park development projects.</w:t>
      </w:r>
    </w:p>
    <w:p w:rsidRPr="004B3881" w:rsidR="00D828B9" w:rsidP="00B71F5B" w:rsidRDefault="009C06C3" w14:paraId="7185E05D"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GSEEF will be a key part of overall RE project finance derisking within the Solar Economy Financing System. The investors in GSEEF could be a) governments, b) pension funds c) funds that sell on the shares to retail investors in developing countries. Because GSEEF would own </w:t>
      </w:r>
      <w:r w:rsidRPr="004B3881">
        <w:rPr>
          <w:rFonts w:ascii="Times New Roman" w:hAnsi="Times New Roman" w:cs="Times New Roman"/>
          <w:sz w:val="24"/>
          <w:szCs w:val="24"/>
        </w:rPr>
        <w:lastRenderedPageBreak/>
        <w:t>shares in a growing (and in due course very large) portfolio of PPA-secured renewable energy generating assets, it would enjoy an increasingly large flow of net income.</w:t>
      </w:r>
    </w:p>
    <w:p w:rsidRPr="006A2BF4" w:rsidR="00D828B9" w:rsidP="006A2BF4" w:rsidRDefault="009C06C3" w14:paraId="37FD358A" w14:textId="77777777">
      <w:pPr>
        <w:pStyle w:val="Heading3"/>
        <w:spacing w:line="360" w:lineRule="auto"/>
        <w:ind w:firstLine="720"/>
        <w:jc w:val="center"/>
        <w:rPr>
          <w:rFonts w:ascii="Times New Roman" w:hAnsi="Times New Roman" w:cs="Times New Roman"/>
          <w:b/>
          <w:bCs/>
          <w:color w:val="000000" w:themeColor="text1"/>
          <w:sz w:val="24"/>
          <w:szCs w:val="24"/>
        </w:rPr>
      </w:pPr>
      <w:bookmarkStart w:name="_mqs9f371ijgb" w:colFirst="0" w:colLast="0" w:id="11"/>
      <w:bookmarkEnd w:id="11"/>
      <w:r w:rsidRPr="006A2BF4">
        <w:rPr>
          <w:rFonts w:ascii="Times New Roman" w:hAnsi="Times New Roman" w:cs="Times New Roman"/>
          <w:b/>
          <w:bCs/>
          <w:color w:val="000000" w:themeColor="text1"/>
          <w:sz w:val="24"/>
          <w:szCs w:val="24"/>
        </w:rPr>
        <w:t>Profit Sharing Provisions</w:t>
      </w:r>
    </w:p>
    <w:p w:rsidRPr="004B3881" w:rsidR="00D828B9" w:rsidP="00B71F5B" w:rsidRDefault="009C06C3" w14:paraId="07FBBC63"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The fund could feature </w:t>
      </w:r>
      <w:r w:rsidRPr="004B3881">
        <w:rPr>
          <w:rFonts w:ascii="Times New Roman" w:hAnsi="Times New Roman" w:cs="Times New Roman"/>
          <w:i/>
          <w:sz w:val="24"/>
          <w:szCs w:val="24"/>
        </w:rPr>
        <w:t>profit-sharing provisions.</w:t>
      </w:r>
      <w:r w:rsidRPr="004B3881">
        <w:rPr>
          <w:rFonts w:ascii="Times New Roman" w:hAnsi="Times New Roman" w:cs="Times New Roman"/>
          <w:sz w:val="24"/>
          <w:szCs w:val="24"/>
        </w:rPr>
        <w:t xml:space="preserve"> In early years, to speed the pace of new solar park development, GSEEF could re-invest </w:t>
      </w:r>
      <w:proofErr w:type="gramStart"/>
      <w:r w:rsidRPr="004B3881">
        <w:rPr>
          <w:rFonts w:ascii="Times New Roman" w:hAnsi="Times New Roman" w:cs="Times New Roman"/>
          <w:sz w:val="24"/>
          <w:szCs w:val="24"/>
        </w:rPr>
        <w:t>all of</w:t>
      </w:r>
      <w:proofErr w:type="gramEnd"/>
      <w:r w:rsidRPr="004B3881">
        <w:rPr>
          <w:rFonts w:ascii="Times New Roman" w:hAnsi="Times New Roman" w:cs="Times New Roman"/>
          <w:sz w:val="24"/>
          <w:szCs w:val="24"/>
        </w:rPr>
        <w:t xml:space="preserve"> its net income and disburse none of its profits as dividends. In later years, some portion (say 25%) of net profits from the fund could be allocated directly to the adult citizens of participating countries on a per capita basis, i.e., a universal solar energy dividend income, as a reward for their country participating in the scheme. Another (say) 25% could be paid out to investors as dividends.</w:t>
      </w:r>
    </w:p>
    <w:p w:rsidRPr="004B3881" w:rsidR="00D828B9" w:rsidP="00B71F5B" w:rsidRDefault="009C06C3" w14:paraId="5F76DFDB"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The remaining 50% of net income from PPA energy sales could continue to be reinvested, until some future year (e.g. 2050) in which participating countries had achieved a per capita clean energy target corresponding to a high average level of energy prosperity (e.g. 45 MWh per person per year). After that target has been achieved, a larger percentage of profits could be disbursed rather than re-invested (e.g. 80% of net income could be disbursed, rather than 50%), half to adult citizens on a per capita basis and half to equity investors. In this way, developing country populations would in effect be beneficiaries of a sort of supplementary pension fund, based on sales of electricity from participating clean power generation assets. </w:t>
      </w:r>
    </w:p>
    <w:p w:rsidRPr="004B3881" w:rsidR="00D828B9" w:rsidP="00B71F5B" w:rsidRDefault="009C06C3" w14:paraId="6E76AFBE"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In each renewable energy development project that qualifies and is approved for participation in SEFS, the project developer would be issued relatively low-cost debt finance for the development phase (perhaps 70% of project development costs would be debt-financed, and 30% equity-investment-financed). The loan could come from a bank or development finance institution affiliated with SEFS (but not from the SEFS-SPV, which will not participate in any new project development - SEFS-SPV will only lend for purposes of refinancing already-operational solar and RE parks, as detailed in section 3). </w:t>
      </w:r>
    </w:p>
    <w:p w:rsidRPr="004B3881" w:rsidR="00D828B9" w:rsidP="00B71F5B" w:rsidRDefault="009C06C3" w14:paraId="5A410E66"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In exchange for this privilege, the project developer would agree to allow the Global Solar Economy Equity Fund to either participate as an investor (and equity co-owner) during the project development phase, or be given an option to purchase, at a pre-agreed price, a share of the company that will own and operate the solar park once development phase is complete and the power project is operational. </w:t>
      </w:r>
    </w:p>
    <w:p w:rsidRPr="004B3881" w:rsidR="00D828B9" w:rsidP="00B71F5B" w:rsidRDefault="009C06C3" w14:paraId="0CD23AFF" w14:textId="77777777">
      <w:pPr>
        <w:spacing w:line="360" w:lineRule="auto"/>
        <w:ind w:firstLine="720"/>
        <w:jc w:val="both"/>
        <w:rPr>
          <w:rFonts w:ascii="Times New Roman" w:hAnsi="Times New Roman" w:cs="Times New Roman"/>
          <w:b/>
          <w:sz w:val="24"/>
          <w:szCs w:val="24"/>
          <w:u w:val="single"/>
        </w:rPr>
      </w:pPr>
      <w:r w:rsidRPr="004B3881">
        <w:rPr>
          <w:rFonts w:ascii="Times New Roman" w:hAnsi="Times New Roman" w:cs="Times New Roman"/>
          <w:sz w:val="24"/>
          <w:szCs w:val="24"/>
        </w:rPr>
        <w:lastRenderedPageBreak/>
        <w:t>The advantage of the latter option is that the Global Solar Economy Equity Fund would not be exposed to any construction risk. So, for example, imagine a solar PV park project requiring $1.0 million, 80% of which is financed with a de-risked loan from the SPV, and the remaining 20% with $200k in equity investment funding. In the construction phase, this $200k is supplied by the private project developer as risk capital. In exchange for the privilege of low-cost borrowing of the $800k debt component, the project developer is required to issue an option to the Global Solar Economy Equity Fund that gives it the right to purchase 15% of the solar park’s equity shares for $150k on completion of the project’s development phase. Should those shares be worth more than $150k, as is likely given low funding costs, the equity fund would profit.</w:t>
      </w:r>
    </w:p>
    <w:p w:rsidRPr="004B3881" w:rsidR="00D828B9" w:rsidP="00B71F5B" w:rsidRDefault="009C06C3" w14:paraId="782DF73D"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We expect that this new model would, in the early years of its deployment, lead to a higher level of profitability for the investors, both the private component and the Global Solar Economy Equity Fund</w:t>
      </w:r>
      <w:r w:rsidRPr="004B3881">
        <w:rPr>
          <w:rFonts w:ascii="Times New Roman" w:hAnsi="Times New Roman" w:cs="Times New Roman"/>
          <w:b/>
          <w:sz w:val="24"/>
          <w:szCs w:val="24"/>
        </w:rPr>
        <w:t xml:space="preserve"> </w:t>
      </w:r>
      <w:r w:rsidRPr="004B3881">
        <w:rPr>
          <w:rFonts w:ascii="Times New Roman" w:hAnsi="Times New Roman" w:cs="Times New Roman"/>
          <w:sz w:val="24"/>
          <w:szCs w:val="24"/>
        </w:rPr>
        <w:t xml:space="preserve">component, than in later years. This is advantageous because high levels of profitability will </w:t>
      </w:r>
      <w:proofErr w:type="gramStart"/>
      <w:r w:rsidRPr="004B3881">
        <w:rPr>
          <w:rFonts w:ascii="Times New Roman" w:hAnsi="Times New Roman" w:cs="Times New Roman"/>
          <w:sz w:val="24"/>
          <w:szCs w:val="24"/>
        </w:rPr>
        <w:t>stimulate  interest</w:t>
      </w:r>
      <w:proofErr w:type="gramEnd"/>
      <w:r w:rsidRPr="004B3881">
        <w:rPr>
          <w:rFonts w:ascii="Times New Roman" w:hAnsi="Times New Roman" w:cs="Times New Roman"/>
          <w:sz w:val="24"/>
          <w:szCs w:val="24"/>
        </w:rPr>
        <w:t xml:space="preserve"> both in solar projects and in the Global Solar Economy Equity Fund itself. Given the massive scale-up needed, early profitability is desirable; it will help accelerate the global clean energy transition. Over time, investors in potential solar plant would compete by bidding lower rates for the PPAs, reducing profit rates and lowering the auctioned cost of solar PPAs.</w:t>
      </w:r>
    </w:p>
    <w:p w:rsidRPr="006A2BF4" w:rsidR="00D828B9" w:rsidP="006A2BF4" w:rsidRDefault="009C06C3" w14:paraId="4FD305D3" w14:textId="3F39E1EC">
      <w:pPr>
        <w:pStyle w:val="Heading1"/>
        <w:spacing w:line="360" w:lineRule="auto"/>
        <w:jc w:val="center"/>
        <w:rPr>
          <w:rFonts w:ascii="Times New Roman" w:hAnsi="Times New Roman" w:cs="Times New Roman"/>
          <w:b/>
          <w:bCs/>
          <w:sz w:val="24"/>
          <w:szCs w:val="24"/>
        </w:rPr>
      </w:pPr>
      <w:bookmarkStart w:name="_ysno9ofu26bx" w:colFirst="0" w:colLast="0" w:id="12"/>
      <w:bookmarkEnd w:id="12"/>
      <w:r w:rsidRPr="004B3881">
        <w:rPr>
          <w:rFonts w:ascii="Times New Roman" w:hAnsi="Times New Roman" w:cs="Times New Roman"/>
          <w:sz w:val="24"/>
          <w:szCs w:val="24"/>
        </w:rPr>
        <w:br w:type="page"/>
      </w:r>
      <w:bookmarkStart w:name="_ogvyphw3xwlt" w:colFirst="0" w:colLast="0" w:id="13"/>
      <w:bookmarkEnd w:id="13"/>
      <w:r w:rsidRPr="006A2BF4">
        <w:rPr>
          <w:rFonts w:ascii="Times New Roman" w:hAnsi="Times New Roman" w:cs="Times New Roman"/>
          <w:b/>
          <w:bCs/>
          <w:color w:val="000000" w:themeColor="text1"/>
          <w:sz w:val="24"/>
          <w:szCs w:val="24"/>
        </w:rPr>
        <w:lastRenderedPageBreak/>
        <w:t>Summary of Advantages</w:t>
      </w:r>
    </w:p>
    <w:p w:rsidR="006A2BF4" w:rsidP="006A2BF4" w:rsidRDefault="009C06C3" w14:paraId="78727A3A" w14:textId="77777777">
      <w:pPr>
        <w:spacing w:line="360" w:lineRule="auto"/>
        <w:rPr>
          <w:rFonts w:ascii="Times New Roman" w:hAnsi="Times New Roman" w:cs="Times New Roman"/>
          <w:sz w:val="24"/>
          <w:szCs w:val="24"/>
        </w:rPr>
      </w:pPr>
      <w:r w:rsidRPr="004B3881">
        <w:rPr>
          <w:rFonts w:ascii="Times New Roman" w:hAnsi="Times New Roman" w:cs="Times New Roman"/>
          <w:sz w:val="24"/>
          <w:szCs w:val="24"/>
        </w:rPr>
        <w:t xml:space="preserve">In summary we propose that we </w:t>
      </w:r>
      <w:proofErr w:type="spellStart"/>
      <w:r w:rsidRPr="004B3881">
        <w:rPr>
          <w:rFonts w:ascii="Times New Roman" w:hAnsi="Times New Roman" w:cs="Times New Roman"/>
          <w:sz w:val="24"/>
          <w:szCs w:val="24"/>
        </w:rPr>
        <w:t>organise</w:t>
      </w:r>
      <w:proofErr w:type="spellEnd"/>
      <w:r w:rsidRPr="004B3881">
        <w:rPr>
          <w:rFonts w:ascii="Times New Roman" w:hAnsi="Times New Roman" w:cs="Times New Roman"/>
          <w:sz w:val="24"/>
          <w:szCs w:val="24"/>
        </w:rPr>
        <w:t xml:space="preserve"> solar projects into the following scheme:</w:t>
      </w:r>
    </w:p>
    <w:p w:rsidR="006A2BF4" w:rsidP="006A2BF4" w:rsidRDefault="009C06C3" w14:paraId="336E77F1" w14:textId="77777777">
      <w:pPr>
        <w:pStyle w:val="ListParagraph"/>
        <w:numPr>
          <w:ilvl w:val="0"/>
          <w:numId w:val="6"/>
        </w:numPr>
        <w:spacing w:line="360" w:lineRule="auto"/>
        <w:rPr>
          <w:rFonts w:ascii="Times New Roman" w:hAnsi="Times New Roman" w:cs="Times New Roman"/>
          <w:sz w:val="24"/>
          <w:szCs w:val="24"/>
        </w:rPr>
      </w:pPr>
      <w:r w:rsidRPr="006A2BF4">
        <w:rPr>
          <w:rFonts w:ascii="Times New Roman" w:hAnsi="Times New Roman" w:cs="Times New Roman"/>
          <w:sz w:val="24"/>
          <w:szCs w:val="24"/>
        </w:rPr>
        <w:t>Co-investment in the early stages of standardized projects</w:t>
      </w:r>
    </w:p>
    <w:p w:rsidR="006A2BF4" w:rsidP="006A2BF4" w:rsidRDefault="009C06C3" w14:paraId="40F1EDD3" w14:textId="77777777">
      <w:pPr>
        <w:pStyle w:val="ListParagraph"/>
        <w:numPr>
          <w:ilvl w:val="0"/>
          <w:numId w:val="6"/>
        </w:numPr>
        <w:spacing w:line="360" w:lineRule="auto"/>
        <w:rPr>
          <w:rFonts w:ascii="Times New Roman" w:hAnsi="Times New Roman" w:cs="Times New Roman"/>
          <w:sz w:val="24"/>
          <w:szCs w:val="24"/>
        </w:rPr>
      </w:pPr>
      <w:r w:rsidRPr="006A2BF4">
        <w:rPr>
          <w:rFonts w:ascii="Times New Roman" w:hAnsi="Times New Roman" w:cs="Times New Roman"/>
          <w:sz w:val="24"/>
          <w:szCs w:val="24"/>
        </w:rPr>
        <w:t>Guarantees of auctioned power purchase agreements</w:t>
      </w:r>
    </w:p>
    <w:p w:rsidR="006A2BF4" w:rsidP="006A2BF4" w:rsidRDefault="009C06C3" w14:paraId="14F03C1F" w14:textId="77777777">
      <w:pPr>
        <w:pStyle w:val="ListParagraph"/>
        <w:numPr>
          <w:ilvl w:val="0"/>
          <w:numId w:val="6"/>
        </w:numPr>
        <w:spacing w:line="360" w:lineRule="auto"/>
        <w:rPr>
          <w:rFonts w:ascii="Times New Roman" w:hAnsi="Times New Roman" w:cs="Times New Roman"/>
          <w:sz w:val="24"/>
          <w:szCs w:val="24"/>
        </w:rPr>
      </w:pPr>
      <w:r w:rsidRPr="006A2BF4">
        <w:rPr>
          <w:rFonts w:ascii="Times New Roman" w:hAnsi="Times New Roman" w:cs="Times New Roman"/>
          <w:sz w:val="24"/>
          <w:szCs w:val="24"/>
        </w:rPr>
        <w:t>Securitization of the revenue once built, combined with sale of the project equity stakes</w:t>
      </w:r>
    </w:p>
    <w:p w:rsidRPr="006A2BF4" w:rsidR="00D828B9" w:rsidP="006A2BF4" w:rsidRDefault="009C06C3" w14:paraId="41B49395" w14:textId="5499376D">
      <w:pPr>
        <w:pStyle w:val="ListParagraph"/>
        <w:numPr>
          <w:ilvl w:val="0"/>
          <w:numId w:val="6"/>
        </w:numPr>
        <w:spacing w:line="360" w:lineRule="auto"/>
        <w:rPr>
          <w:rFonts w:ascii="Times New Roman" w:hAnsi="Times New Roman" w:cs="Times New Roman"/>
          <w:sz w:val="24"/>
          <w:szCs w:val="24"/>
        </w:rPr>
      </w:pPr>
      <w:r w:rsidRPr="006A2BF4">
        <w:rPr>
          <w:rFonts w:ascii="Times New Roman" w:hAnsi="Times New Roman" w:cs="Times New Roman"/>
          <w:sz w:val="24"/>
          <w:szCs w:val="24"/>
        </w:rPr>
        <w:t>Wrapping up the entire financial infrastructure in standardized deals (slowly declining price per kwh) for developing countries with low financial capacity.</w:t>
      </w:r>
    </w:p>
    <w:p w:rsidR="006A2BF4" w:rsidP="006A2BF4" w:rsidRDefault="009C06C3" w14:paraId="7BEF69A9" w14:textId="77777777">
      <w:pPr>
        <w:spacing w:line="360" w:lineRule="auto"/>
        <w:rPr>
          <w:rFonts w:ascii="Times New Roman" w:hAnsi="Times New Roman" w:cs="Times New Roman"/>
          <w:sz w:val="24"/>
          <w:szCs w:val="24"/>
        </w:rPr>
      </w:pPr>
      <w:r w:rsidRPr="004B3881">
        <w:rPr>
          <w:rFonts w:ascii="Times New Roman" w:hAnsi="Times New Roman" w:cs="Times New Roman"/>
          <w:sz w:val="24"/>
          <w:szCs w:val="24"/>
        </w:rPr>
        <w:t>The scheme achieves several important objectives:</w:t>
      </w:r>
    </w:p>
    <w:p w:rsidR="006A2BF4" w:rsidP="006A2BF4" w:rsidRDefault="009C06C3" w14:paraId="099A9A2D" w14:textId="77777777">
      <w:pPr>
        <w:pStyle w:val="ListParagraph"/>
        <w:numPr>
          <w:ilvl w:val="0"/>
          <w:numId w:val="7"/>
        </w:numPr>
        <w:spacing w:line="360" w:lineRule="auto"/>
        <w:rPr>
          <w:rFonts w:ascii="Times New Roman" w:hAnsi="Times New Roman" w:cs="Times New Roman"/>
          <w:sz w:val="24"/>
          <w:szCs w:val="24"/>
        </w:rPr>
      </w:pPr>
      <w:r w:rsidRPr="006A2BF4">
        <w:rPr>
          <w:rFonts w:ascii="Times New Roman" w:hAnsi="Times New Roman" w:cs="Times New Roman"/>
          <w:sz w:val="24"/>
          <w:szCs w:val="24"/>
        </w:rPr>
        <w:t>It reduces the cost of capital on renewable energy development while enhancing its profitability</w:t>
      </w:r>
    </w:p>
    <w:p w:rsidR="006A2BF4" w:rsidP="006A2BF4" w:rsidRDefault="009C06C3" w14:paraId="1F6F22DB" w14:textId="77777777">
      <w:pPr>
        <w:pStyle w:val="ListParagraph"/>
        <w:numPr>
          <w:ilvl w:val="0"/>
          <w:numId w:val="7"/>
        </w:numPr>
        <w:spacing w:line="360" w:lineRule="auto"/>
        <w:rPr>
          <w:rFonts w:ascii="Times New Roman" w:hAnsi="Times New Roman" w:cs="Times New Roman"/>
          <w:sz w:val="24"/>
          <w:szCs w:val="24"/>
        </w:rPr>
      </w:pPr>
      <w:r w:rsidRPr="006A2BF4">
        <w:rPr>
          <w:rFonts w:ascii="Times New Roman" w:hAnsi="Times New Roman" w:cs="Times New Roman"/>
          <w:sz w:val="24"/>
          <w:szCs w:val="24"/>
        </w:rPr>
        <w:t>It scales up scarce risk equity</w:t>
      </w:r>
    </w:p>
    <w:p w:rsidR="006A2BF4" w:rsidP="006A2BF4" w:rsidRDefault="009C06C3" w14:paraId="3D1A7EF2" w14:textId="77777777">
      <w:pPr>
        <w:pStyle w:val="ListParagraph"/>
        <w:numPr>
          <w:ilvl w:val="0"/>
          <w:numId w:val="7"/>
        </w:numPr>
        <w:spacing w:line="360" w:lineRule="auto"/>
        <w:rPr>
          <w:rFonts w:ascii="Times New Roman" w:hAnsi="Times New Roman" w:cs="Times New Roman"/>
          <w:sz w:val="24"/>
          <w:szCs w:val="24"/>
        </w:rPr>
      </w:pPr>
      <w:r w:rsidRPr="006A2BF4">
        <w:rPr>
          <w:rFonts w:ascii="Times New Roman" w:hAnsi="Times New Roman" w:cs="Times New Roman"/>
          <w:sz w:val="24"/>
          <w:szCs w:val="24"/>
        </w:rPr>
        <w:t>It creates the basis for a global public Global Solar Economy Equity Fund that participates in projects and recycles scarce funds</w:t>
      </w:r>
    </w:p>
    <w:p w:rsidR="006A2BF4" w:rsidP="006A2BF4" w:rsidRDefault="009C06C3" w14:paraId="2E4C3104" w14:textId="77777777">
      <w:pPr>
        <w:pStyle w:val="ListParagraph"/>
        <w:numPr>
          <w:ilvl w:val="0"/>
          <w:numId w:val="7"/>
        </w:numPr>
        <w:spacing w:line="360" w:lineRule="auto"/>
        <w:rPr>
          <w:rFonts w:ascii="Times New Roman" w:hAnsi="Times New Roman" w:cs="Times New Roman"/>
          <w:sz w:val="24"/>
          <w:szCs w:val="24"/>
        </w:rPr>
      </w:pPr>
      <w:r w:rsidRPr="006A2BF4">
        <w:rPr>
          <w:rFonts w:ascii="Times New Roman" w:hAnsi="Times New Roman" w:cs="Times New Roman"/>
          <w:sz w:val="24"/>
          <w:szCs w:val="24"/>
        </w:rPr>
        <w:t>It opens out renewable energy projects to be the revenue backing of green sovereign-rated bonds</w:t>
      </w:r>
    </w:p>
    <w:p w:rsidRPr="006A2BF4" w:rsidR="00D828B9" w:rsidP="006A2BF4" w:rsidRDefault="009C06C3" w14:paraId="0E0E6516" w14:textId="320CC0C6">
      <w:pPr>
        <w:pStyle w:val="ListParagraph"/>
        <w:numPr>
          <w:ilvl w:val="0"/>
          <w:numId w:val="7"/>
        </w:numPr>
        <w:spacing w:line="360" w:lineRule="auto"/>
        <w:rPr>
          <w:rFonts w:ascii="Times New Roman" w:hAnsi="Times New Roman" w:cs="Times New Roman"/>
          <w:sz w:val="24"/>
          <w:szCs w:val="24"/>
        </w:rPr>
      </w:pPr>
      <w:r w:rsidRPr="006A2BF4">
        <w:rPr>
          <w:rFonts w:ascii="Times New Roman" w:hAnsi="Times New Roman" w:cs="Times New Roman"/>
          <w:sz w:val="24"/>
          <w:szCs w:val="24"/>
        </w:rPr>
        <w:t xml:space="preserve">It does these things cost-effectively with efficient risk management. </w:t>
      </w:r>
    </w:p>
    <w:p w:rsidRPr="004B3881" w:rsidR="00D828B9" w:rsidP="00B71F5B" w:rsidRDefault="00D828B9" w14:paraId="5948ADB2" w14:textId="77777777">
      <w:pPr>
        <w:spacing w:line="360" w:lineRule="auto"/>
        <w:ind w:firstLine="720"/>
        <w:jc w:val="both"/>
        <w:rPr>
          <w:rFonts w:ascii="Times New Roman" w:hAnsi="Times New Roman" w:cs="Times New Roman"/>
          <w:sz w:val="24"/>
          <w:szCs w:val="24"/>
        </w:rPr>
      </w:pPr>
    </w:p>
    <w:p w:rsidRPr="006A2BF4" w:rsidR="00D828B9" w:rsidP="006A2BF4" w:rsidRDefault="009C06C3" w14:paraId="543C620D" w14:textId="77777777">
      <w:pPr>
        <w:pStyle w:val="Heading1"/>
        <w:spacing w:line="360" w:lineRule="auto"/>
        <w:ind w:firstLine="720"/>
        <w:jc w:val="center"/>
        <w:rPr>
          <w:rFonts w:ascii="Times New Roman" w:hAnsi="Times New Roman" w:cs="Times New Roman"/>
          <w:b/>
          <w:bCs/>
          <w:sz w:val="24"/>
          <w:szCs w:val="24"/>
        </w:rPr>
      </w:pPr>
      <w:bookmarkStart w:name="_3srbb6dx9mec" w:colFirst="0" w:colLast="0" w:id="14"/>
      <w:bookmarkEnd w:id="14"/>
      <w:r w:rsidRPr="006A2BF4">
        <w:rPr>
          <w:rFonts w:ascii="Times New Roman" w:hAnsi="Times New Roman" w:cs="Times New Roman"/>
          <w:b/>
          <w:bCs/>
          <w:sz w:val="24"/>
          <w:szCs w:val="24"/>
        </w:rPr>
        <w:lastRenderedPageBreak/>
        <w:t>Appendices</w:t>
      </w:r>
    </w:p>
    <w:p w:rsidRPr="006A2BF4" w:rsidR="00D828B9" w:rsidP="006A2BF4" w:rsidRDefault="009C06C3" w14:paraId="2B8A6524" w14:textId="77777777">
      <w:pPr>
        <w:pStyle w:val="Heading2"/>
        <w:spacing w:line="360" w:lineRule="auto"/>
        <w:jc w:val="center"/>
        <w:rPr>
          <w:rFonts w:ascii="Times New Roman" w:hAnsi="Times New Roman" w:cs="Times New Roman"/>
          <w:b/>
          <w:bCs/>
          <w:color w:val="000000" w:themeColor="text1"/>
          <w:sz w:val="24"/>
          <w:szCs w:val="24"/>
        </w:rPr>
      </w:pPr>
      <w:bookmarkStart w:name="_is4mfxsz65o8" w:colFirst="0" w:colLast="0" w:id="15"/>
      <w:bookmarkEnd w:id="15"/>
      <w:r w:rsidRPr="006A2BF4">
        <w:rPr>
          <w:rFonts w:ascii="Times New Roman" w:hAnsi="Times New Roman" w:cs="Times New Roman"/>
          <w:b/>
          <w:bCs/>
          <w:color w:val="000000" w:themeColor="text1"/>
          <w:sz w:val="24"/>
          <w:szCs w:val="24"/>
        </w:rPr>
        <w:t>Appendix 1: Diagram Describing the Scheme</w:t>
      </w:r>
    </w:p>
    <w:p w:rsidRPr="004B3881" w:rsidR="00D828B9" w:rsidP="00B71F5B" w:rsidRDefault="009C06C3" w14:paraId="7756D670" w14:textId="77777777">
      <w:pPr>
        <w:pStyle w:val="Heading2"/>
        <w:spacing w:line="360" w:lineRule="auto"/>
        <w:ind w:firstLine="720"/>
        <w:rPr>
          <w:rFonts w:ascii="Times New Roman" w:hAnsi="Times New Roman" w:eastAsia="Garamond" w:cs="Times New Roman"/>
          <w:color w:val="000000"/>
          <w:sz w:val="24"/>
          <w:szCs w:val="24"/>
        </w:rPr>
      </w:pPr>
      <w:bookmarkStart w:name="_kzndihj3na0o" w:colFirst="0" w:colLast="0" w:id="16"/>
      <w:bookmarkEnd w:id="16"/>
      <w:r w:rsidRPr="004B3881">
        <w:rPr>
          <w:rFonts w:ascii="Times New Roman" w:hAnsi="Times New Roman" w:eastAsia="Garamond" w:cs="Times New Roman"/>
          <w:noProof/>
          <w:color w:val="000000"/>
          <w:sz w:val="24"/>
          <w:szCs w:val="24"/>
        </w:rPr>
        <w:drawing>
          <wp:inline distT="114300" distB="114300" distL="114300" distR="114300" wp14:anchorId="01C7A761" wp14:editId="636CD31B">
            <wp:extent cx="5088467" cy="2862263"/>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088467" cy="2862263"/>
                    </a:xfrm>
                    <a:prstGeom prst="rect">
                      <a:avLst/>
                    </a:prstGeom>
                    <a:ln/>
                  </pic:spPr>
                </pic:pic>
              </a:graphicData>
            </a:graphic>
          </wp:inline>
        </w:drawing>
      </w:r>
    </w:p>
    <w:p w:rsidRPr="004B3881" w:rsidR="00D828B9" w:rsidP="00B71F5B" w:rsidRDefault="009C06C3" w14:paraId="596D8803" w14:textId="77777777">
      <w:pPr>
        <w:pStyle w:val="Heading2"/>
        <w:spacing w:line="360" w:lineRule="auto"/>
        <w:ind w:firstLine="720"/>
        <w:rPr>
          <w:rFonts w:ascii="Times New Roman" w:hAnsi="Times New Roman" w:cs="Times New Roman"/>
          <w:sz w:val="24"/>
          <w:szCs w:val="24"/>
        </w:rPr>
      </w:pPr>
      <w:bookmarkStart w:name="_v7m67l7m9sap" w:colFirst="0" w:colLast="0" w:id="17"/>
      <w:bookmarkEnd w:id="17"/>
      <w:r w:rsidRPr="004B3881">
        <w:rPr>
          <w:rFonts w:ascii="Times New Roman" w:hAnsi="Times New Roman" w:cs="Times New Roman"/>
          <w:sz w:val="24"/>
          <w:szCs w:val="24"/>
        </w:rPr>
        <w:br w:type="page"/>
      </w:r>
    </w:p>
    <w:p w:rsidRPr="006A2BF4" w:rsidR="00D828B9" w:rsidP="006A2BF4" w:rsidRDefault="009C06C3" w14:paraId="5A07C8B5" w14:textId="77777777">
      <w:pPr>
        <w:pStyle w:val="Heading2"/>
        <w:spacing w:line="360" w:lineRule="auto"/>
        <w:jc w:val="center"/>
        <w:rPr>
          <w:rFonts w:ascii="Times New Roman" w:hAnsi="Times New Roman" w:cs="Times New Roman"/>
          <w:b/>
          <w:bCs/>
          <w:color w:val="000000" w:themeColor="text1"/>
          <w:sz w:val="24"/>
          <w:szCs w:val="24"/>
        </w:rPr>
      </w:pPr>
      <w:bookmarkStart w:name="_g6z47cxz17vd" w:colFirst="0" w:colLast="0" w:id="18"/>
      <w:bookmarkEnd w:id="18"/>
      <w:r w:rsidRPr="006A2BF4">
        <w:rPr>
          <w:rFonts w:ascii="Times New Roman" w:hAnsi="Times New Roman" w:cs="Times New Roman"/>
          <w:b/>
          <w:bCs/>
          <w:color w:val="000000" w:themeColor="text1"/>
          <w:sz w:val="24"/>
          <w:szCs w:val="24"/>
        </w:rPr>
        <w:lastRenderedPageBreak/>
        <w:t>Appendix 2: Details of the Guarantor Facility</w:t>
      </w:r>
    </w:p>
    <w:p w:rsidRPr="004B3881" w:rsidR="00D828B9" w:rsidP="00B71F5B" w:rsidRDefault="009C06C3" w14:paraId="77ABBDFD"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This section describes the mechanics of the guarantee facility.</w:t>
      </w:r>
    </w:p>
    <w:p w:rsidRPr="004B3881" w:rsidR="00D828B9" w:rsidP="00B71F5B" w:rsidRDefault="009C06C3" w14:paraId="12A484E1"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Temporary loans could be made to IPPs by that facility to cover any temporary arrears on Power Purchase Agreement tariff payments owed to solar park operators by SOE electricity off-takers (Discoms, in Indian terminology). Alternatively, the facility could simply pay IPPs the outstanding amounts owed to them by a Discom in arrears, in exchange for acquiring the IPP’s financial claim on the Discom, with a late fee added to the bill that the Discom will in due course have to pay.</w:t>
      </w:r>
    </w:p>
    <w:p w:rsidRPr="004B3881" w:rsidR="00D828B9" w:rsidP="00B71F5B" w:rsidRDefault="009C06C3" w14:paraId="4C8A69DA"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In addition to compensating power generators when off-takers are late with payments, to ensure the generators do not suffer cash-flow problems due to their clients being in arrears, IPPAGF would also cover non-payment of amounts owed under PPAs, which could arise if e.g. a power distribution company goes </w:t>
      </w:r>
      <w:proofErr w:type="gramStart"/>
      <w:r w:rsidRPr="004B3881">
        <w:rPr>
          <w:rFonts w:ascii="Times New Roman" w:hAnsi="Times New Roman" w:cs="Times New Roman"/>
          <w:sz w:val="24"/>
          <w:szCs w:val="24"/>
        </w:rPr>
        <w:t>bankrupt, or</w:t>
      </w:r>
      <w:proofErr w:type="gramEnd"/>
      <w:r w:rsidRPr="004B3881">
        <w:rPr>
          <w:rFonts w:ascii="Times New Roman" w:hAnsi="Times New Roman" w:cs="Times New Roman"/>
          <w:sz w:val="24"/>
          <w:szCs w:val="24"/>
        </w:rPr>
        <w:t xml:space="preserve"> refuses to pay the contractually agreed amounts. In such cases, IPPAGF would first pay out IPPs (power generators) the amounts owed them, and then turn to government guarantors to recover the money.    </w:t>
      </w:r>
    </w:p>
    <w:p w:rsidRPr="004B3881" w:rsidR="00D828B9" w:rsidP="00B71F5B" w:rsidRDefault="009C06C3" w14:paraId="750BC049"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IPPAGF could in turn be backed by OECD donor countries. Its day-to-day operations costs could be funded by modest surcharges per MWh on power produced by participating power producers (IPPs), but these surcharges would not encompass payouts to power producers to compensate them for off-takers’ non-payment or for forex losses. IPPAGF would in effect act as an insurance fund against non-payment or late payment by electricity buyers within the IPPAGF-administered PPA system, but the insurance fees would not be built into PPA tariffs. Instead, a three-layered system of backers would provide the insurance coverage. </w:t>
      </w:r>
    </w:p>
    <w:p w:rsidRPr="004B3881" w:rsidR="00D828B9" w:rsidP="00B71F5B" w:rsidRDefault="009C06C3" w14:paraId="5EDCA688"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Recapitulating: The facility (IPPAGF) would pay IPPs the amounts owed by non-paying or late-paying transmission grid operator SOEs (i.e. Discoms) or other parties who have PPA contracts with the IPPs (</w:t>
      </w:r>
      <w:proofErr w:type="spellStart"/>
      <w:r w:rsidRPr="004B3881">
        <w:rPr>
          <w:rFonts w:ascii="Times New Roman" w:hAnsi="Times New Roman" w:cs="Times New Roman"/>
          <w:sz w:val="24"/>
          <w:szCs w:val="24"/>
        </w:rPr>
        <w:t>Gencoms</w:t>
      </w:r>
      <w:proofErr w:type="spellEnd"/>
      <w:r w:rsidRPr="004B3881">
        <w:rPr>
          <w:rFonts w:ascii="Times New Roman" w:hAnsi="Times New Roman" w:cs="Times New Roman"/>
          <w:sz w:val="24"/>
          <w:szCs w:val="24"/>
        </w:rPr>
        <w:t xml:space="preserve">). To recover the money disbursed to IPPs, IPPAGF would (in the first instance) attempt to recover the money from the Discoms that are in arrears to participating IPPs (plus a penalty fee for lateness). If that proves impossible within a contractually specified </w:t>
      </w:r>
      <w:proofErr w:type="gramStart"/>
      <w:r w:rsidRPr="004B3881">
        <w:rPr>
          <w:rFonts w:ascii="Times New Roman" w:hAnsi="Times New Roman" w:cs="Times New Roman"/>
          <w:sz w:val="24"/>
          <w:szCs w:val="24"/>
        </w:rPr>
        <w:t>time-frame</w:t>
      </w:r>
      <w:proofErr w:type="gramEnd"/>
      <w:r w:rsidRPr="004B3881">
        <w:rPr>
          <w:rFonts w:ascii="Times New Roman" w:hAnsi="Times New Roman" w:cs="Times New Roman"/>
          <w:sz w:val="24"/>
          <w:szCs w:val="24"/>
        </w:rPr>
        <w:t xml:space="preserve">, then, in the second instance, IPPAGF would claim payment from the relevant regional or national government (provided that government has agreed in advance to participate in the guarantee system). </w:t>
      </w:r>
    </w:p>
    <w:p w:rsidRPr="004B3881" w:rsidR="00D828B9" w:rsidP="00B71F5B" w:rsidRDefault="009C06C3" w14:paraId="51ED8C8B"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lastRenderedPageBreak/>
        <w:t>A third layer of recourse would round out the triple-layered PPA payment guarantee system and remove any remaining risk to participating solar power generators. The proposed third-layer mechanism, called the Global Solar Economy Equity Fund, is described in section 4, further below. It would be the final guarantor of PPA payment streams; it would be called on to compensate IPPAGF for its outlays of money to IPPs (</w:t>
      </w:r>
      <w:proofErr w:type="spellStart"/>
      <w:r w:rsidRPr="004B3881">
        <w:rPr>
          <w:rFonts w:ascii="Times New Roman" w:hAnsi="Times New Roman" w:cs="Times New Roman"/>
          <w:sz w:val="24"/>
          <w:szCs w:val="24"/>
        </w:rPr>
        <w:t>Gencoms</w:t>
      </w:r>
      <w:proofErr w:type="spellEnd"/>
      <w:r w:rsidRPr="004B3881">
        <w:rPr>
          <w:rFonts w:ascii="Times New Roman" w:hAnsi="Times New Roman" w:cs="Times New Roman"/>
          <w:sz w:val="24"/>
          <w:szCs w:val="24"/>
        </w:rPr>
        <w:t>) if (and only if) neither the SOE (Discom) nor the host government were willing or able to pay out the amount owed to the IPPAGF in consequence to IPPAGF having compensated an IPP for non-payment or late payment of electricity delivered to off-takers as per the PPA.</w:t>
      </w:r>
    </w:p>
    <w:p w:rsidRPr="004B3881" w:rsidR="00D828B9" w:rsidP="00B71F5B" w:rsidRDefault="009C06C3" w14:paraId="213581DF" w14:textId="77777777">
      <w:pPr>
        <w:spacing w:line="360" w:lineRule="auto"/>
        <w:ind w:firstLine="720"/>
        <w:rPr>
          <w:rFonts w:ascii="Times New Roman" w:hAnsi="Times New Roman" w:cs="Times New Roman"/>
          <w:sz w:val="24"/>
          <w:szCs w:val="24"/>
        </w:rPr>
      </w:pPr>
      <w:r w:rsidRPr="004B3881">
        <w:rPr>
          <w:rFonts w:ascii="Times New Roman" w:hAnsi="Times New Roman" w:cs="Times New Roman"/>
          <w:noProof/>
          <w:sz w:val="24"/>
          <w:szCs w:val="24"/>
        </w:rPr>
        <mc:AlternateContent>
          <mc:Choice Requires="wpg">
            <w:drawing>
              <wp:anchor distT="0" distB="0" distL="114300" distR="114300" simplePos="0" relativeHeight="251661312" behindDoc="0" locked="0" layoutInCell="1" hidden="0" allowOverlap="1" wp14:anchorId="60EBACB8" wp14:editId="4C4DEDA1">
                <wp:simplePos x="0" y="0"/>
                <wp:positionH relativeFrom="column">
                  <wp:posOffset>114300</wp:posOffset>
                </wp:positionH>
                <wp:positionV relativeFrom="paragraph">
                  <wp:posOffset>0</wp:posOffset>
                </wp:positionV>
                <wp:extent cx="5708015" cy="2754283"/>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5708015" cy="2754283"/>
                          <a:chOff x="2485625" y="2408700"/>
                          <a:chExt cx="5720750" cy="2748950"/>
                        </a:xfrm>
                      </wpg:grpSpPr>
                      <wpg:grpSp>
                        <wpg:cNvPr id="1231410221" name="Group 1231410221"/>
                        <wpg:cNvGrpSpPr/>
                        <wpg:grpSpPr>
                          <a:xfrm>
                            <a:off x="2491993" y="2408718"/>
                            <a:ext cx="5708015" cy="2742565"/>
                            <a:chOff x="628610" y="284480"/>
                            <a:chExt cx="6385286" cy="2743092"/>
                          </a:xfrm>
                        </wpg:grpSpPr>
                        <wps:wsp>
                          <wps:cNvPr id="1960360949" name="Rectangle 1960360949"/>
                          <wps:cNvSpPr/>
                          <wps:spPr>
                            <a:xfrm>
                              <a:off x="628610" y="284480"/>
                              <a:ext cx="6385275" cy="2743075"/>
                            </a:xfrm>
                            <a:prstGeom prst="rect">
                              <a:avLst/>
                            </a:prstGeom>
                            <a:noFill/>
                            <a:ln>
                              <a:noFill/>
                            </a:ln>
                          </wps:spPr>
                          <wps:txbx>
                            <w:txbxContent>
                              <w:p w:rsidR="00D828B9" w:rsidRDefault="00D828B9" w14:paraId="04518EA0" w14:textId="77777777">
                                <w:pPr>
                                  <w:spacing w:after="0" w:line="240" w:lineRule="auto"/>
                                  <w:textDirection w:val="btLr"/>
                                </w:pPr>
                              </w:p>
                            </w:txbxContent>
                          </wps:txbx>
                          <wps:bodyPr spcFirstLastPara="1" wrap="square" lIns="91425" tIns="91425" rIns="91425" bIns="91425" anchor="ctr" anchorCtr="0">
                            <a:noAutofit/>
                          </wps:bodyPr>
                        </wps:wsp>
                        <wpg:grpSp>
                          <wpg:cNvPr id="915250433" name="Group 915250433"/>
                          <wpg:cNvGrpSpPr/>
                          <wpg:grpSpPr>
                            <a:xfrm>
                              <a:off x="628610" y="284480"/>
                              <a:ext cx="6385286" cy="2743092"/>
                              <a:chOff x="554300" y="-29845"/>
                              <a:chExt cx="6385755" cy="2743093"/>
                            </a:xfrm>
                          </wpg:grpSpPr>
                          <wps:wsp>
                            <wps:cNvPr id="737536969" name="Rectangle 737536969"/>
                            <wps:cNvSpPr/>
                            <wps:spPr>
                              <a:xfrm>
                                <a:off x="5649270" y="769241"/>
                                <a:ext cx="1290785" cy="1099845"/>
                              </a:xfrm>
                              <a:prstGeom prst="rect">
                                <a:avLst/>
                              </a:prstGeom>
                              <a:solidFill>
                                <a:schemeClr val="accent1"/>
                              </a:solidFill>
                              <a:ln w="12700" cap="flat" cmpd="sng">
                                <a:solidFill>
                                  <a:srgbClr val="31538F"/>
                                </a:solidFill>
                                <a:prstDash val="solid"/>
                                <a:miter lim="800000"/>
                                <a:headEnd type="none" w="sm" len="sm"/>
                                <a:tailEnd type="none" w="sm" len="sm"/>
                              </a:ln>
                            </wps:spPr>
                            <wps:txbx>
                              <w:txbxContent>
                                <w:p w:rsidR="00D828B9" w:rsidRDefault="009C06C3" w14:paraId="7592F626" w14:textId="77777777">
                                  <w:pPr>
                                    <w:spacing w:line="258" w:lineRule="auto"/>
                                    <w:jc w:val="center"/>
                                    <w:textDirection w:val="btLr"/>
                                  </w:pPr>
                                  <w:r>
                                    <w:rPr>
                                      <w:rFonts w:ascii="Calibri" w:hAnsi="Calibri" w:eastAsia="Calibri" w:cs="Calibri"/>
                                      <w:b/>
                                      <w:color w:val="FFFFFF"/>
                                      <w:sz w:val="21"/>
                                    </w:rPr>
                                    <w:t>Intl. Guarantee</w:t>
                                  </w:r>
                                </w:p>
                              </w:txbxContent>
                            </wps:txbx>
                            <wps:bodyPr spcFirstLastPara="1" wrap="square" lIns="91425" tIns="45700" rIns="91425" bIns="45700" anchor="ctr" anchorCtr="0">
                              <a:noAutofit/>
                            </wps:bodyPr>
                          </wps:wsp>
                          <wps:wsp>
                            <wps:cNvPr id="1426708504" name="Rectangle 1426708504"/>
                            <wps:cNvSpPr/>
                            <wps:spPr>
                              <a:xfrm>
                                <a:off x="2512335" y="0"/>
                                <a:ext cx="1290785" cy="1099845"/>
                              </a:xfrm>
                              <a:prstGeom prst="rect">
                                <a:avLst/>
                              </a:prstGeom>
                              <a:solidFill>
                                <a:schemeClr val="accent1"/>
                              </a:solidFill>
                              <a:ln w="12700" cap="flat" cmpd="sng">
                                <a:solidFill>
                                  <a:srgbClr val="31538F"/>
                                </a:solidFill>
                                <a:prstDash val="solid"/>
                                <a:miter lim="800000"/>
                                <a:headEnd type="none" w="sm" len="sm"/>
                                <a:tailEnd type="none" w="sm" len="sm"/>
                              </a:ln>
                            </wps:spPr>
                            <wps:txbx>
                              <w:txbxContent>
                                <w:p w:rsidR="00D828B9" w:rsidRDefault="009C06C3" w14:paraId="0F1187D3" w14:textId="77777777">
                                  <w:pPr>
                                    <w:spacing w:line="258" w:lineRule="auto"/>
                                    <w:jc w:val="center"/>
                                    <w:textDirection w:val="btLr"/>
                                  </w:pPr>
                                  <w:r>
                                    <w:rPr>
                                      <w:rFonts w:ascii="Calibri" w:hAnsi="Calibri" w:eastAsia="Calibri" w:cs="Calibri"/>
                                      <w:color w:val="FFFFFF"/>
                                      <w:sz w:val="21"/>
                                    </w:rPr>
                                    <w:t xml:space="preserve">Donor Government </w:t>
                                  </w:r>
                                </w:p>
                                <w:p w:rsidR="00D828B9" w:rsidRDefault="009C06C3" w14:paraId="2E9465BF" w14:textId="77777777">
                                  <w:pPr>
                                    <w:spacing w:line="258" w:lineRule="auto"/>
                                    <w:jc w:val="center"/>
                                    <w:textDirection w:val="btLr"/>
                                  </w:pPr>
                                  <w:r>
                                    <w:rPr>
                                      <w:rFonts w:ascii="Calibri" w:hAnsi="Calibri" w:eastAsia="Calibri" w:cs="Calibri"/>
                                      <w:color w:val="FFFFFF"/>
                                      <w:sz w:val="21"/>
                                    </w:rPr>
                                    <w:t>(20y loan</w:t>
                                  </w:r>
                                  <w:r>
                                    <w:rPr>
                                      <w:rFonts w:ascii="Calibri" w:hAnsi="Calibri" w:eastAsia="Calibri" w:cs="Calibri"/>
                                      <w:b/>
                                      <w:color w:val="FFFFFF"/>
                                      <w:sz w:val="21"/>
                                    </w:rPr>
                                    <w:t>)</w:t>
                                  </w:r>
                                </w:p>
                              </w:txbxContent>
                            </wps:txbx>
                            <wps:bodyPr spcFirstLastPara="1" wrap="square" lIns="91425" tIns="45700" rIns="91425" bIns="45700" anchor="ctr" anchorCtr="0">
                              <a:noAutofit/>
                            </wps:bodyPr>
                          </wps:wsp>
                          <wps:wsp>
                            <wps:cNvPr id="549503169" name="Rectangle 549503169"/>
                            <wps:cNvSpPr/>
                            <wps:spPr>
                              <a:xfrm>
                                <a:off x="1367705" y="1613403"/>
                                <a:ext cx="1290785" cy="1099845"/>
                              </a:xfrm>
                              <a:prstGeom prst="rect">
                                <a:avLst/>
                              </a:prstGeom>
                              <a:solidFill>
                                <a:schemeClr val="accent1"/>
                              </a:solidFill>
                              <a:ln w="12700" cap="flat" cmpd="sng">
                                <a:solidFill>
                                  <a:srgbClr val="31538F"/>
                                </a:solidFill>
                                <a:prstDash val="solid"/>
                                <a:miter lim="800000"/>
                                <a:headEnd type="none" w="sm" len="sm"/>
                                <a:tailEnd type="none" w="sm" len="sm"/>
                              </a:ln>
                            </wps:spPr>
                            <wps:txbx>
                              <w:txbxContent>
                                <w:p w:rsidR="00D828B9" w:rsidRDefault="009C06C3" w14:paraId="1B539A36" w14:textId="77777777">
                                  <w:pPr>
                                    <w:spacing w:line="258" w:lineRule="auto"/>
                                    <w:jc w:val="center"/>
                                    <w:textDirection w:val="btLr"/>
                                  </w:pPr>
                                  <w:r>
                                    <w:rPr>
                                      <w:rFonts w:ascii="Calibri" w:hAnsi="Calibri" w:eastAsia="Calibri" w:cs="Calibri"/>
                                      <w:color w:val="FFFFFF"/>
                                      <w:sz w:val="21"/>
                                    </w:rPr>
                                    <w:t>(Recipient) Government</w:t>
                                  </w:r>
                                </w:p>
                              </w:txbxContent>
                            </wps:txbx>
                            <wps:bodyPr spcFirstLastPara="1" wrap="square" lIns="91425" tIns="45700" rIns="91425" bIns="45700" anchor="ctr" anchorCtr="0">
                              <a:noAutofit/>
                            </wps:bodyPr>
                          </wps:wsp>
                          <wps:wsp>
                            <wps:cNvPr id="121538076" name="Rectangle 121538076"/>
                            <wps:cNvSpPr/>
                            <wps:spPr>
                              <a:xfrm>
                                <a:off x="554300" y="0"/>
                                <a:ext cx="1290785" cy="1099845"/>
                              </a:xfrm>
                              <a:prstGeom prst="rect">
                                <a:avLst/>
                              </a:prstGeom>
                              <a:solidFill>
                                <a:schemeClr val="accent1"/>
                              </a:solidFill>
                              <a:ln w="12700" cap="flat" cmpd="sng">
                                <a:solidFill>
                                  <a:srgbClr val="31538F"/>
                                </a:solidFill>
                                <a:prstDash val="solid"/>
                                <a:miter lim="800000"/>
                                <a:headEnd type="none" w="sm" len="sm"/>
                                <a:tailEnd type="none" w="sm" len="sm"/>
                              </a:ln>
                            </wps:spPr>
                            <wps:txbx>
                              <w:txbxContent>
                                <w:p w:rsidR="00D828B9" w:rsidRDefault="009C06C3" w14:paraId="1FCD5D13" w14:textId="77777777">
                                  <w:pPr>
                                    <w:spacing w:line="258" w:lineRule="auto"/>
                                    <w:jc w:val="center"/>
                                    <w:textDirection w:val="btLr"/>
                                  </w:pPr>
                                  <w:r>
                                    <w:rPr>
                                      <w:rFonts w:ascii="Calibri" w:hAnsi="Calibri" w:eastAsia="Calibri" w:cs="Calibri"/>
                                      <w:color w:val="FFFFFF"/>
                                      <w:sz w:val="21"/>
                                    </w:rPr>
                                    <w:t>Shared Equity Fund</w:t>
                                  </w:r>
                                </w:p>
                              </w:txbxContent>
                            </wps:txbx>
                            <wps:bodyPr spcFirstLastPara="1" wrap="square" lIns="91425" tIns="45700" rIns="91425" bIns="45700" anchor="ctr" anchorCtr="0">
                              <a:noAutofit/>
                            </wps:bodyPr>
                          </wps:wsp>
                          <wps:wsp>
                            <wps:cNvPr id="838541398" name="Straight Arrow Connector 838541398"/>
                            <wps:cNvCnPr/>
                            <wps:spPr>
                              <a:xfrm rot="10800000" flipH="1">
                                <a:off x="2658489" y="1319163"/>
                                <a:ext cx="2990781" cy="844163"/>
                              </a:xfrm>
                              <a:prstGeom prst="straightConnector1">
                                <a:avLst/>
                              </a:prstGeom>
                              <a:noFill/>
                              <a:ln w="9525" cap="flat" cmpd="sng">
                                <a:solidFill>
                                  <a:schemeClr val="accent1"/>
                                </a:solidFill>
                                <a:prstDash val="solid"/>
                                <a:miter lim="800000"/>
                                <a:headEnd type="none" w="sm" len="sm"/>
                                <a:tailEnd type="triangle" w="med" len="med"/>
                              </a:ln>
                            </wps:spPr>
                            <wps:bodyPr/>
                          </wps:wsp>
                          <wps:wsp>
                            <wps:cNvPr id="1960418578" name="Straight Arrow Connector 1960418578"/>
                            <wps:cNvCnPr/>
                            <wps:spPr>
                              <a:xfrm>
                                <a:off x="3675812" y="435622"/>
                                <a:ext cx="1960451" cy="883541"/>
                              </a:xfrm>
                              <a:prstGeom prst="straightConnector1">
                                <a:avLst/>
                              </a:prstGeom>
                              <a:noFill/>
                              <a:ln w="9525" cap="flat" cmpd="sng">
                                <a:solidFill>
                                  <a:schemeClr val="accent1"/>
                                </a:solidFill>
                                <a:prstDash val="solid"/>
                                <a:miter lim="800000"/>
                                <a:headEnd type="none" w="sm" len="sm"/>
                                <a:tailEnd type="triangle" w="med" len="med"/>
                              </a:ln>
                            </wps:spPr>
                            <wps:bodyPr/>
                          </wps:wsp>
                          <wps:wsp>
                            <wps:cNvPr id="2088723727" name="Rectangle 2088723727"/>
                            <wps:cNvSpPr/>
                            <wps:spPr>
                              <a:xfrm>
                                <a:off x="3260237" y="1613089"/>
                                <a:ext cx="1641475" cy="358775"/>
                              </a:xfrm>
                              <a:prstGeom prst="rect">
                                <a:avLst/>
                              </a:prstGeom>
                              <a:noFill/>
                              <a:ln>
                                <a:noFill/>
                              </a:ln>
                            </wps:spPr>
                            <wps:txbx>
                              <w:txbxContent>
                                <w:p w:rsidR="00D828B9" w:rsidRDefault="009C06C3" w14:paraId="3C7801F9" w14:textId="77777777">
                                  <w:pPr>
                                    <w:spacing w:line="258" w:lineRule="auto"/>
                                    <w:textDirection w:val="btLr"/>
                                  </w:pPr>
                                  <w:r>
                                    <w:rPr>
                                      <w:rFonts w:ascii="Arial" w:hAnsi="Arial" w:eastAsia="Arial" w:cs="Arial"/>
                                      <w:color w:val="000000"/>
                                      <w:sz w:val="21"/>
                                    </w:rPr>
                                    <w:t>Primary Indemnity</w:t>
                                  </w:r>
                                </w:p>
                              </w:txbxContent>
                            </wps:txbx>
                            <wps:bodyPr spcFirstLastPara="1" wrap="square" lIns="91425" tIns="45700" rIns="91425" bIns="45700" anchor="t" anchorCtr="0">
                              <a:noAutofit/>
                            </wps:bodyPr>
                          </wps:wsp>
                          <wps:wsp>
                            <wps:cNvPr id="308510954" name="Rectangle 308510954"/>
                            <wps:cNvSpPr/>
                            <wps:spPr>
                              <a:xfrm>
                                <a:off x="3898878" y="589065"/>
                                <a:ext cx="1641814" cy="358775"/>
                              </a:xfrm>
                              <a:prstGeom prst="rect">
                                <a:avLst/>
                              </a:prstGeom>
                              <a:noFill/>
                              <a:ln>
                                <a:noFill/>
                              </a:ln>
                            </wps:spPr>
                            <wps:txbx>
                              <w:txbxContent>
                                <w:p w:rsidR="00D828B9" w:rsidRDefault="009C06C3" w14:paraId="3FBA0956" w14:textId="77777777">
                                  <w:pPr>
                                    <w:spacing w:line="258" w:lineRule="auto"/>
                                    <w:textDirection w:val="btLr"/>
                                  </w:pPr>
                                  <w:r>
                                    <w:rPr>
                                      <w:rFonts w:ascii="Arial" w:hAnsi="Arial" w:eastAsia="Arial" w:cs="Arial"/>
                                      <w:color w:val="000000"/>
                                      <w:sz w:val="21"/>
                                    </w:rPr>
                                    <w:t>Secondary Indemnity</w:t>
                                  </w:r>
                                </w:p>
                              </w:txbxContent>
                            </wps:txbx>
                            <wps:bodyPr spcFirstLastPara="1" wrap="square" lIns="91425" tIns="45700" rIns="91425" bIns="45700" anchor="t" anchorCtr="0">
                              <a:noAutofit/>
                            </wps:bodyPr>
                          </wps:wsp>
                          <wps:wsp>
                            <wps:cNvPr id="1405178823" name="Straight Arrow Connector 1405178823"/>
                            <wps:cNvCnPr/>
                            <wps:spPr>
                              <a:xfrm>
                                <a:off x="1845086" y="549923"/>
                                <a:ext cx="667250" cy="0"/>
                              </a:xfrm>
                              <a:prstGeom prst="straightConnector1">
                                <a:avLst/>
                              </a:prstGeom>
                              <a:noFill/>
                              <a:ln w="9525" cap="flat" cmpd="sng">
                                <a:solidFill>
                                  <a:schemeClr val="accent1"/>
                                </a:solidFill>
                                <a:prstDash val="solid"/>
                                <a:miter lim="800000"/>
                                <a:headEnd type="none" w="sm" len="sm"/>
                                <a:tailEnd type="triangle" w="med" len="med"/>
                              </a:ln>
                            </wps:spPr>
                            <wps:bodyPr/>
                          </wps:wsp>
                          <wps:wsp>
                            <wps:cNvPr id="1587436746" name="Rectangle 1587436746"/>
                            <wps:cNvSpPr/>
                            <wps:spPr>
                              <a:xfrm>
                                <a:off x="1790092" y="-29845"/>
                                <a:ext cx="855210" cy="689610"/>
                              </a:xfrm>
                              <a:prstGeom prst="rect">
                                <a:avLst/>
                              </a:prstGeom>
                              <a:noFill/>
                              <a:ln>
                                <a:noFill/>
                              </a:ln>
                            </wps:spPr>
                            <wps:txbx>
                              <w:txbxContent>
                                <w:p w:rsidR="00D828B9" w:rsidRDefault="009C06C3" w14:paraId="5B5951E4" w14:textId="77777777">
                                  <w:pPr>
                                    <w:spacing w:line="258" w:lineRule="auto"/>
                                    <w:textDirection w:val="btLr"/>
                                  </w:pPr>
                                  <w:r>
                                    <w:rPr>
                                      <w:rFonts w:ascii="Arial" w:hAnsi="Arial" w:eastAsia="Arial" w:cs="Arial"/>
                                      <w:color w:val="000000"/>
                                      <w:sz w:val="21"/>
                                    </w:rPr>
                                    <w:t>Long term Indemnity</w:t>
                                  </w:r>
                                </w:p>
                              </w:txbxContent>
                            </wps:txbx>
                            <wps:bodyPr spcFirstLastPara="1" wrap="square" lIns="91425" tIns="45700" rIns="91425" bIns="45700" anchor="t" anchorCtr="0">
                              <a:noAutofit/>
                            </wps:bodyPr>
                          </wps:wsp>
                        </wpg:grpSp>
                        <wps:wsp>
                          <wps:cNvPr id="371248545" name="Rectangle 371248545"/>
                          <wps:cNvSpPr/>
                          <wps:spPr>
                            <a:xfrm>
                              <a:off x="3505505" y="2676533"/>
                              <a:ext cx="2775901" cy="284480"/>
                            </a:xfrm>
                            <a:prstGeom prst="rect">
                              <a:avLst/>
                            </a:prstGeom>
                            <a:solidFill>
                              <a:srgbClr val="FFFFFF"/>
                            </a:solidFill>
                            <a:ln>
                              <a:noFill/>
                            </a:ln>
                          </wps:spPr>
                          <wps:txbx>
                            <w:txbxContent>
                              <w:p w:rsidR="00D828B9" w:rsidRDefault="009C06C3" w14:paraId="0F16BAEB" w14:textId="77777777">
                                <w:pPr>
                                  <w:spacing w:after="200" w:line="240" w:lineRule="auto"/>
                                  <w:jc w:val="center"/>
                                  <w:textDirection w:val="btLr"/>
                                </w:pPr>
                                <w:r>
                                  <w:rPr>
                                    <w:i/>
                                    <w:color w:val="44546A"/>
                                  </w:rPr>
                                  <w:t>Risks are transferred  away from the World Bank</w:t>
                                </w:r>
                              </w:p>
                            </w:txbxContent>
                          </wps:txbx>
                          <wps:bodyPr spcFirstLastPara="1" wrap="square" lIns="0" tIns="0" rIns="0" bIns="0" anchor="t" anchorCtr="0">
                            <a:noAutofit/>
                          </wps:bodyPr>
                        </wps:wsp>
                      </wpg:grpSp>
                    </wpg:wgp>
                  </a:graphicData>
                </a:graphic>
              </wp:anchor>
            </w:drawing>
          </mc:Choice>
          <mc:Fallback>
            <w:pict>
              <v:group id="Group 2" style="position:absolute;left:0;text-align:left;margin-left:9pt;margin-top:0;width:449.45pt;height:216.85pt;z-index:251661312" coordsize="57207,27489" coordorigin="24856,24087" o:spid="_x0000_s1056" w14:anchorId="60EBAC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">
                <v:group id="Group 1231410221" style="position:absolute;left:24919;top:24087;width:57081;height:27425" coordsize="63852,27430" coordorigin="6286,2844" o:spid="_x0000_s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">
                  <v:rect id="Rectangle 1960360949" style="position:absolute;left:6286;top:2844;width:63852;height:27431;visibility:visible;mso-wrap-style:square;v-text-anchor:middle" o:spid="_x0000_s10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">
                    <v:textbox inset="2.53958mm,2.53958mm,2.53958mm,2.53958mm">
                      <w:txbxContent>
                        <w:p w:rsidR="00D828B9" w:rsidRDefault="00D828B9" w14:paraId="04518EA0" w14:textId="77777777">
                          <w:pPr>
                            <w:spacing w:after="0" w:line="240" w:lineRule="auto"/>
                            <w:textDirection w:val="btLr"/>
                          </w:pPr>
                        </w:p>
                      </w:txbxContent>
                    </v:textbox>
                  </v:rect>
                  <v:group id="Group 915250433" style="position:absolute;left:6286;top:2844;width:63852;height:27431" coordsize="63857,27430" coordorigin="5543,-298" o:spid="_x0000_s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">
                    <v:rect id="Rectangle 737536969" style="position:absolute;left:56492;top:7692;width:12908;height:10998;visibility:visible;mso-wrap-style:square;v-text-anchor:middle" o:spid="_x0000_s1060" fillcolor="#4f81bd [3204]" strokecolor="#31538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">
                      <v:stroke startarrowwidth="narrow" startarrowlength="short" endarrowwidth="narrow" endarrowlength="short"/>
                      <v:textbox inset="2.53958mm,1.2694mm,2.53958mm,1.2694mm">
                        <w:txbxContent>
                          <w:p w:rsidR="00D828B9" w:rsidRDefault="009C06C3" w14:paraId="7592F626" w14:textId="77777777">
                            <w:pPr>
                              <w:spacing w:line="258" w:lineRule="auto"/>
                              <w:jc w:val="center"/>
                              <w:textDirection w:val="btLr"/>
                            </w:pPr>
                            <w:r>
                              <w:rPr>
                                <w:rFonts w:ascii="Calibri" w:hAnsi="Calibri" w:eastAsia="Calibri" w:cs="Calibri"/>
                                <w:b/>
                                <w:color w:val="FFFFFF"/>
                                <w:sz w:val="21"/>
                              </w:rPr>
                              <w:t>Intl. Guarantee</w:t>
                            </w:r>
                          </w:p>
                        </w:txbxContent>
                      </v:textbox>
                    </v:rect>
                    <v:rect id="Rectangle 1426708504" style="position:absolute;left:25123;width:12908;height:10998;visibility:visible;mso-wrap-style:square;v-text-anchor:middle" o:spid="_x0000_s1061" fillcolor="#4f81bd [3204]" strokecolor="#31538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">
                      <v:stroke startarrowwidth="narrow" startarrowlength="short" endarrowwidth="narrow" endarrowlength="short"/>
                      <v:textbox inset="2.53958mm,1.2694mm,2.53958mm,1.2694mm">
                        <w:txbxContent>
                          <w:p w:rsidR="00D828B9" w:rsidRDefault="009C06C3" w14:paraId="0F1187D3" w14:textId="77777777">
                            <w:pPr>
                              <w:spacing w:line="258" w:lineRule="auto"/>
                              <w:jc w:val="center"/>
                              <w:textDirection w:val="btLr"/>
                            </w:pPr>
                            <w:r>
                              <w:rPr>
                                <w:rFonts w:ascii="Calibri" w:hAnsi="Calibri" w:eastAsia="Calibri" w:cs="Calibri"/>
                                <w:color w:val="FFFFFF"/>
                                <w:sz w:val="21"/>
                              </w:rPr>
                              <w:t xml:space="preserve">Donor Government </w:t>
                            </w:r>
                          </w:p>
                          <w:p w:rsidR="00D828B9" w:rsidRDefault="009C06C3" w14:paraId="2E9465BF" w14:textId="77777777">
                            <w:pPr>
                              <w:spacing w:line="258" w:lineRule="auto"/>
                              <w:jc w:val="center"/>
                              <w:textDirection w:val="btLr"/>
                            </w:pPr>
                            <w:r>
                              <w:rPr>
                                <w:rFonts w:ascii="Calibri" w:hAnsi="Calibri" w:eastAsia="Calibri" w:cs="Calibri"/>
                                <w:color w:val="FFFFFF"/>
                                <w:sz w:val="21"/>
                              </w:rPr>
                              <w:t>(20y loan</w:t>
                            </w:r>
                            <w:r>
                              <w:rPr>
                                <w:rFonts w:ascii="Calibri" w:hAnsi="Calibri" w:eastAsia="Calibri" w:cs="Calibri"/>
                                <w:b/>
                                <w:color w:val="FFFFFF"/>
                                <w:sz w:val="21"/>
                              </w:rPr>
                              <w:t>)</w:t>
                            </w:r>
                          </w:p>
                        </w:txbxContent>
                      </v:textbox>
                    </v:rect>
                    <v:rect id="Rectangle 549503169" style="position:absolute;left:13677;top:16134;width:12907;height:10998;visibility:visible;mso-wrap-style:square;v-text-anchor:middle" o:spid="_x0000_s1062" fillcolor="#4f81bd [3204]" strokecolor="#31538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">
                      <v:stroke startarrowwidth="narrow" startarrowlength="short" endarrowwidth="narrow" endarrowlength="short"/>
                      <v:textbox inset="2.53958mm,1.2694mm,2.53958mm,1.2694mm">
                        <w:txbxContent>
                          <w:p w:rsidR="00D828B9" w:rsidRDefault="009C06C3" w14:paraId="1B539A36" w14:textId="77777777">
                            <w:pPr>
                              <w:spacing w:line="258" w:lineRule="auto"/>
                              <w:jc w:val="center"/>
                              <w:textDirection w:val="btLr"/>
                            </w:pPr>
                            <w:r>
                              <w:rPr>
                                <w:rFonts w:ascii="Calibri" w:hAnsi="Calibri" w:eastAsia="Calibri" w:cs="Calibri"/>
                                <w:color w:val="FFFFFF"/>
                                <w:sz w:val="21"/>
                              </w:rPr>
                              <w:t>(Recipient) Government</w:t>
                            </w:r>
                          </w:p>
                        </w:txbxContent>
                      </v:textbox>
                    </v:rect>
                    <v:rect id="Rectangle 121538076" style="position:absolute;left:5543;width:12907;height:10998;visibility:visible;mso-wrap-style:square;v-text-anchor:middle" o:spid="_x0000_s1063" fillcolor="#4f81bd [3204]" strokecolor="#31538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">
                      <v:stroke startarrowwidth="narrow" startarrowlength="short" endarrowwidth="narrow" endarrowlength="short"/>
                      <v:textbox inset="2.53958mm,1.2694mm,2.53958mm,1.2694mm">
                        <w:txbxContent>
                          <w:p w:rsidR="00D828B9" w:rsidRDefault="009C06C3" w14:paraId="1FCD5D13" w14:textId="77777777">
                            <w:pPr>
                              <w:spacing w:line="258" w:lineRule="auto"/>
                              <w:jc w:val="center"/>
                              <w:textDirection w:val="btLr"/>
                            </w:pPr>
                            <w:r>
                              <w:rPr>
                                <w:rFonts w:ascii="Calibri" w:hAnsi="Calibri" w:eastAsia="Calibri" w:cs="Calibri"/>
                                <w:color w:val="FFFFFF"/>
                                <w:sz w:val="21"/>
                              </w:rPr>
                              <w:t>Shared Equity Fund</w:t>
                            </w:r>
                          </w:p>
                        </w:txbxContent>
                      </v:textbox>
                    </v:rect>
                    <v:shape id="Straight Arrow Connector 838541398" style="position:absolute;left:26584;top:13191;width:29908;height:8442;rotation:180;flip:x;visibility:visible;mso-wrap-style:square" o:spid="_x0000_s1064" strokecolor="#4f81bd [3204]"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">
                      <v:stroke joinstyle="miter" startarrowwidth="narrow" startarrowlength="short" endarrow="block"/>
                    </v:shape>
                    <v:shape id="Straight Arrow Connector 1960418578" style="position:absolute;left:36758;top:4356;width:19604;height:8835;visibility:visible;mso-wrap-style:square" o:spid="_x0000_s1065" strokecolor="#4f81bd [3204]"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">
                      <v:stroke joinstyle="miter" startarrowwidth="narrow" startarrowlength="short" endarrow="block"/>
                    </v:shape>
                    <v:rect id="Rectangle 2088723727" style="position:absolute;left:32602;top:16130;width:16415;height:3588;visibility:visible;mso-wrap-style:square;v-text-anchor:top" o:spid="_x0000_s106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">
                      <v:textbox inset="2.53958mm,1.2694mm,2.53958mm,1.2694mm">
                        <w:txbxContent>
                          <w:p w:rsidR="00D828B9" w:rsidRDefault="009C06C3" w14:paraId="3C7801F9" w14:textId="77777777">
                            <w:pPr>
                              <w:spacing w:line="258" w:lineRule="auto"/>
                              <w:textDirection w:val="btLr"/>
                            </w:pPr>
                            <w:r>
                              <w:rPr>
                                <w:rFonts w:ascii="Arial" w:hAnsi="Arial" w:eastAsia="Arial" w:cs="Arial"/>
                                <w:color w:val="000000"/>
                                <w:sz w:val="21"/>
                              </w:rPr>
                              <w:t>Primary Indemnity</w:t>
                            </w:r>
                          </w:p>
                        </w:txbxContent>
                      </v:textbox>
                    </v:rect>
                    <v:rect id="Rectangle 308510954" style="position:absolute;left:38988;top:5890;width:16418;height:3588;visibility:visible;mso-wrap-style:square;v-text-anchor:top" o:spid="_x0000_s106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">
                      <v:textbox inset="2.53958mm,1.2694mm,2.53958mm,1.2694mm">
                        <w:txbxContent>
                          <w:p w:rsidR="00D828B9" w:rsidRDefault="009C06C3" w14:paraId="3FBA0956" w14:textId="77777777">
                            <w:pPr>
                              <w:spacing w:line="258" w:lineRule="auto"/>
                              <w:textDirection w:val="btLr"/>
                            </w:pPr>
                            <w:r>
                              <w:rPr>
                                <w:rFonts w:ascii="Arial" w:hAnsi="Arial" w:eastAsia="Arial" w:cs="Arial"/>
                                <w:color w:val="000000"/>
                                <w:sz w:val="21"/>
                              </w:rPr>
                              <w:t>Secondary Indemnity</w:t>
                            </w:r>
                          </w:p>
                        </w:txbxContent>
                      </v:textbox>
                    </v:rect>
                    <v:shape id="Straight Arrow Connector 1405178823" style="position:absolute;left:18450;top:5499;width:6673;height:0;visibility:visible;mso-wrap-style:square" o:spid="_x0000_s1068" strokecolor="#4f81bd [3204]"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">
                      <v:stroke joinstyle="miter" startarrowwidth="narrow" startarrowlength="short" endarrow="block"/>
                    </v:shape>
                    <v:rect id="Rectangle 1587436746" style="position:absolute;left:17900;top:-298;width:8553;height:6895;visibility:visible;mso-wrap-style:square;v-text-anchor:top" o:spid="_x0000_s106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">
                      <v:textbox inset="2.53958mm,1.2694mm,2.53958mm,1.2694mm">
                        <w:txbxContent>
                          <w:p w:rsidR="00D828B9" w:rsidRDefault="009C06C3" w14:paraId="5B5951E4" w14:textId="77777777">
                            <w:pPr>
                              <w:spacing w:line="258" w:lineRule="auto"/>
                              <w:textDirection w:val="btLr"/>
                            </w:pPr>
                            <w:r>
                              <w:rPr>
                                <w:rFonts w:ascii="Arial" w:hAnsi="Arial" w:eastAsia="Arial" w:cs="Arial"/>
                                <w:color w:val="000000"/>
                                <w:sz w:val="21"/>
                              </w:rPr>
                              <w:t>Long term Indemnity</w:t>
                            </w:r>
                          </w:p>
                        </w:txbxContent>
                      </v:textbox>
                    </v:rect>
                  </v:group>
                  <v:rect id="Rectangle 371248545" style="position:absolute;left:35055;top:26765;width:27759;height:2845;visibility:visible;mso-wrap-style:square;v-text-anchor:top" o:spid="_x0000_s1070"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">
                    <v:textbox inset="0,0,0,0">
                      <w:txbxContent>
                        <w:p w:rsidR="00D828B9" w:rsidRDefault="009C06C3" w14:paraId="0F16BAEB" w14:textId="77777777">
                          <w:pPr>
                            <w:spacing w:after="200" w:line="240" w:lineRule="auto"/>
                            <w:jc w:val="center"/>
                            <w:textDirection w:val="btLr"/>
                          </w:pPr>
                          <w:r>
                            <w:rPr>
                              <w:i/>
                              <w:color w:val="44546A"/>
                            </w:rPr>
                            <w:t>Risks are transferred  away from the World Bank</w:t>
                          </w:r>
                        </w:p>
                      </w:txbxContent>
                    </v:textbox>
                  </v:rect>
                </v:group>
                <w10:wrap type="topAndBottom"/>
              </v:group>
            </w:pict>
          </mc:Fallback>
        </mc:AlternateContent>
      </w:r>
    </w:p>
    <w:p w:rsidRPr="004B3881" w:rsidR="00D828B9" w:rsidP="00B71F5B" w:rsidRDefault="00D828B9" w14:paraId="1CC40588" w14:textId="77777777">
      <w:pPr>
        <w:pStyle w:val="Heading2"/>
        <w:spacing w:line="360" w:lineRule="auto"/>
        <w:ind w:firstLine="720"/>
        <w:jc w:val="both"/>
        <w:rPr>
          <w:rFonts w:ascii="Times New Roman" w:hAnsi="Times New Roman" w:cs="Times New Roman"/>
          <w:sz w:val="24"/>
          <w:szCs w:val="24"/>
        </w:rPr>
      </w:pPr>
      <w:bookmarkStart w:name="_om58gjjobfg9" w:colFirst="0" w:colLast="0" w:id="19"/>
      <w:bookmarkEnd w:id="19"/>
    </w:p>
    <w:p w:rsidRPr="006A2BF4" w:rsidR="00D828B9" w:rsidP="006A2BF4" w:rsidRDefault="009C06C3" w14:paraId="2714EAC1" w14:textId="77777777">
      <w:pPr>
        <w:pStyle w:val="Heading2"/>
        <w:spacing w:line="360" w:lineRule="auto"/>
        <w:jc w:val="center"/>
        <w:rPr>
          <w:rFonts w:ascii="Times New Roman" w:hAnsi="Times New Roman" w:cs="Times New Roman"/>
          <w:b/>
          <w:bCs/>
          <w:color w:val="000000" w:themeColor="text1"/>
          <w:sz w:val="24"/>
          <w:szCs w:val="24"/>
        </w:rPr>
      </w:pPr>
      <w:bookmarkStart w:name="_xjowrbqih9z1" w:colFirst="0" w:colLast="0" w:id="20"/>
      <w:bookmarkEnd w:id="20"/>
      <w:r w:rsidRPr="006A2BF4">
        <w:rPr>
          <w:rFonts w:ascii="Times New Roman" w:hAnsi="Times New Roman" w:cs="Times New Roman"/>
          <w:b/>
          <w:bCs/>
          <w:color w:val="000000" w:themeColor="text1"/>
          <w:sz w:val="24"/>
          <w:szCs w:val="24"/>
        </w:rPr>
        <w:t>Appendix 3: Useful Complimentary Scheme: A Network of Pre-approved solar projects</w:t>
      </w:r>
    </w:p>
    <w:p w:rsidRPr="004B3881" w:rsidR="00D828B9" w:rsidP="00B71F5B" w:rsidRDefault="009C06C3" w14:paraId="687EB85D" w14:textId="77777777">
      <w:pPr>
        <w:spacing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This section suggests that pre-approved locations for RE projects could be useful to facilitate rapid project construction</w:t>
      </w:r>
    </w:p>
    <w:p w:rsidRPr="004B3881" w:rsidR="00D828B9" w:rsidP="00B71F5B" w:rsidRDefault="009C06C3" w14:paraId="6073C836"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b/>
          <w:sz w:val="24"/>
          <w:szCs w:val="24"/>
        </w:rPr>
        <w:t>Land for solar and hybrid renewable energy project development must be allocated at low cost and with minimal administrative burden.</w:t>
      </w:r>
      <w:r w:rsidRPr="004B3881">
        <w:rPr>
          <w:rFonts w:ascii="Times New Roman" w:hAnsi="Times New Roman" w:cs="Times New Roman"/>
          <w:sz w:val="24"/>
          <w:szCs w:val="24"/>
        </w:rPr>
        <w:t xml:space="preserve"> Developing country governments participating in the proposed Solar Economy Financing System would set aside land and grid connections for new solar PV parks or hybrid wind, solar, and energy storage system parks. </w:t>
      </w:r>
    </w:p>
    <w:p w:rsidRPr="004B3881" w:rsidR="00D828B9" w:rsidP="00B71F5B" w:rsidRDefault="009C06C3" w14:paraId="54D4A631"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b/>
          <w:sz w:val="24"/>
          <w:szCs w:val="24"/>
        </w:rPr>
        <w:t>In some cases, land could be allocated at or near newly retired coal power stations, so as to make use of their grid connections</w:t>
      </w:r>
      <w:r w:rsidRPr="004B3881">
        <w:rPr>
          <w:rFonts w:ascii="Times New Roman" w:hAnsi="Times New Roman" w:cs="Times New Roman"/>
          <w:sz w:val="24"/>
          <w:szCs w:val="24"/>
        </w:rPr>
        <w:t xml:space="preserve"> - an approach </w:t>
      </w:r>
      <w:hyperlink r:id="rId25">
        <w:r w:rsidRPr="004B3881" w:rsidR="00D828B9">
          <w:rPr>
            <w:rFonts w:ascii="Times New Roman" w:hAnsi="Times New Roman" w:cs="Times New Roman"/>
            <w:color w:val="1155CC"/>
            <w:sz w:val="24"/>
            <w:szCs w:val="24"/>
            <w:u w:val="single"/>
          </w:rPr>
          <w:t>Gireesh Shrimali</w:t>
        </w:r>
      </w:hyperlink>
      <w:r w:rsidRPr="004B3881">
        <w:rPr>
          <w:rFonts w:ascii="Times New Roman" w:hAnsi="Times New Roman" w:cs="Times New Roman"/>
          <w:sz w:val="24"/>
          <w:szCs w:val="24"/>
        </w:rPr>
        <w:t xml:space="preserve">, head of Transition </w:t>
      </w:r>
      <w:r w:rsidRPr="004B3881">
        <w:rPr>
          <w:rFonts w:ascii="Times New Roman" w:hAnsi="Times New Roman" w:cs="Times New Roman"/>
          <w:sz w:val="24"/>
          <w:szCs w:val="24"/>
        </w:rPr>
        <w:lastRenderedPageBreak/>
        <w:t>Finance Research at Oxford University’s Sustainable Finance Group terms “coal plant repurposing”</w:t>
      </w:r>
      <w:r w:rsidRPr="004B3881">
        <w:rPr>
          <w:rFonts w:ascii="Times New Roman" w:hAnsi="Times New Roman" w:cs="Times New Roman"/>
          <w:sz w:val="24"/>
          <w:szCs w:val="24"/>
          <w:vertAlign w:val="superscript"/>
        </w:rPr>
        <w:footnoteReference w:id="4"/>
      </w:r>
      <w:r w:rsidRPr="004B3881">
        <w:rPr>
          <w:rFonts w:ascii="Times New Roman" w:hAnsi="Times New Roman" w:cs="Times New Roman"/>
          <w:sz w:val="24"/>
          <w:szCs w:val="24"/>
        </w:rPr>
        <w:t xml:space="preserve"> and that he and his colleagues have shown can provide large net financial benefits, e.g. in a study of repurposing old coal plants in </w:t>
      </w:r>
      <w:hyperlink r:id="rId26">
        <w:r w:rsidRPr="004B3881" w:rsidR="00D828B9">
          <w:rPr>
            <w:rFonts w:ascii="Times New Roman" w:hAnsi="Times New Roman" w:cs="Times New Roman"/>
            <w:color w:val="1155CC"/>
            <w:sz w:val="24"/>
            <w:szCs w:val="24"/>
            <w:u w:val="single"/>
          </w:rPr>
          <w:t>Tamil Nadu</w:t>
        </w:r>
      </w:hyperlink>
      <w:r w:rsidRPr="004B3881">
        <w:rPr>
          <w:rFonts w:ascii="Times New Roman" w:hAnsi="Times New Roman" w:cs="Times New Roman"/>
          <w:sz w:val="24"/>
          <w:szCs w:val="24"/>
        </w:rPr>
        <w:t>.</w:t>
      </w:r>
      <w:r w:rsidRPr="004B3881">
        <w:rPr>
          <w:rFonts w:ascii="Times New Roman" w:hAnsi="Times New Roman" w:cs="Times New Roman"/>
          <w:sz w:val="24"/>
          <w:szCs w:val="24"/>
          <w:vertAlign w:val="superscript"/>
        </w:rPr>
        <w:footnoteReference w:id="5"/>
      </w:r>
      <w:r w:rsidRPr="004B3881">
        <w:rPr>
          <w:rFonts w:ascii="Times New Roman" w:hAnsi="Times New Roman" w:cs="Times New Roman"/>
          <w:sz w:val="24"/>
          <w:szCs w:val="24"/>
        </w:rPr>
        <w:t xml:space="preserve"> </w:t>
      </w:r>
    </w:p>
    <w:p w:rsidRPr="004B3881" w:rsidR="00D828B9" w:rsidP="00B71F5B" w:rsidRDefault="009C06C3" w14:paraId="7CF89930"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New large-scale renewable energy projects could connect directly to the grid in such locations, replacing coal power with dispatchable renewable power. Electricity price and delivery terms could be specified under new PPAs, or under re-negotiated and re-allocated PPAs that previously had been based on coal power. As an additional benefit, siting new renewable energy projects near existing or recently retired coal- or gas-fired power stations could </w:t>
      </w:r>
      <w:r w:rsidRPr="004B3881">
        <w:rPr>
          <w:rFonts w:ascii="Times New Roman" w:hAnsi="Times New Roman" w:cs="Times New Roman"/>
          <w:b/>
          <w:sz w:val="24"/>
          <w:szCs w:val="24"/>
        </w:rPr>
        <w:t>enable “just transition” initiatives in the form of employment opportunities for displaced coal-sector workers.</w:t>
      </w:r>
      <w:r w:rsidRPr="004B3881">
        <w:rPr>
          <w:rFonts w:ascii="Times New Roman" w:hAnsi="Times New Roman" w:cs="Times New Roman"/>
          <w:sz w:val="24"/>
          <w:szCs w:val="24"/>
        </w:rPr>
        <w:t xml:space="preserve"> </w:t>
      </w:r>
    </w:p>
    <w:p w:rsidRPr="004B3881" w:rsidR="00D828B9" w:rsidP="00B71F5B" w:rsidRDefault="009C06C3" w14:paraId="6819BC26"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Additional solar or hybrid renewable energy project options include community solar parks developed in tandem with new connections to the broader grid, and/or microgrid connections to local homes and businesses, and/or local electric vehicle charging points. </w:t>
      </w:r>
    </w:p>
    <w:p w:rsidRPr="004B3881" w:rsidR="00D828B9" w:rsidP="00B71F5B" w:rsidRDefault="00D828B9" w14:paraId="3E53E56E" w14:textId="77777777">
      <w:pPr>
        <w:spacing w:line="360" w:lineRule="auto"/>
        <w:ind w:firstLine="720"/>
        <w:rPr>
          <w:rFonts w:ascii="Times New Roman" w:hAnsi="Times New Roman" w:cs="Times New Roman"/>
          <w:sz w:val="24"/>
          <w:szCs w:val="24"/>
        </w:rPr>
      </w:pPr>
    </w:p>
    <w:p w:rsidRPr="006A2BF4" w:rsidR="00D828B9" w:rsidP="006A2BF4" w:rsidRDefault="009C06C3" w14:paraId="33958ED2" w14:textId="77777777">
      <w:pPr>
        <w:pStyle w:val="Heading2"/>
        <w:spacing w:line="360" w:lineRule="auto"/>
        <w:jc w:val="center"/>
        <w:rPr>
          <w:rFonts w:ascii="Times New Roman" w:hAnsi="Times New Roman" w:cs="Times New Roman"/>
          <w:b/>
          <w:bCs/>
          <w:color w:val="000000" w:themeColor="text1"/>
          <w:sz w:val="24"/>
          <w:szCs w:val="24"/>
        </w:rPr>
      </w:pPr>
      <w:bookmarkStart w:name="_pyrlut6ye971" w:colFirst="0" w:colLast="0" w:id="21"/>
      <w:bookmarkEnd w:id="21"/>
      <w:r w:rsidRPr="006A2BF4">
        <w:rPr>
          <w:rFonts w:ascii="Times New Roman" w:hAnsi="Times New Roman" w:cs="Times New Roman"/>
          <w:b/>
          <w:bCs/>
          <w:color w:val="000000" w:themeColor="text1"/>
          <w:sz w:val="24"/>
          <w:szCs w:val="24"/>
        </w:rPr>
        <w:t>Appendix 4: Numerical Example with Notional Numbers Explaining the Scheme</w:t>
      </w:r>
    </w:p>
    <w:p w:rsidRPr="004B3881" w:rsidR="00D828B9" w:rsidP="00B71F5B" w:rsidRDefault="009C06C3" w14:paraId="0B94CA4F" w14:textId="77777777">
      <w:pPr>
        <w:spacing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In general, we would expect that the effect of derisking would be a combination of a) reduction in contracted renewable auctioned tariff price and b) increased profit. We would expect some combination of both effects: i.e., an increase in profitability </w:t>
      </w:r>
      <w:r w:rsidRPr="004B3881">
        <w:rPr>
          <w:rFonts w:ascii="Times New Roman" w:hAnsi="Times New Roman" w:cs="Times New Roman"/>
          <w:i/>
          <w:sz w:val="24"/>
          <w:szCs w:val="24"/>
        </w:rPr>
        <w:t>and</w:t>
      </w:r>
      <w:r w:rsidRPr="004B3881">
        <w:rPr>
          <w:rFonts w:ascii="Times New Roman" w:hAnsi="Times New Roman" w:cs="Times New Roman"/>
          <w:sz w:val="24"/>
          <w:szCs w:val="24"/>
        </w:rPr>
        <w:t xml:space="preserve"> a reduction in contracted price in some combination. We show both cases below.</w:t>
      </w:r>
    </w:p>
    <w:tbl>
      <w:tblPr>
        <w:tblStyle w:val="a"/>
        <w:tblW w:w="9360" w:type="dxa"/>
        <w:tblLayout w:type="fixed"/>
        <w:tblLook w:val="0400" w:firstRow="0" w:lastRow="0" w:firstColumn="0" w:lastColumn="0" w:noHBand="0" w:noVBand="1"/>
      </w:tblPr>
      <w:tblGrid>
        <w:gridCol w:w="3367"/>
        <w:gridCol w:w="1998"/>
        <w:gridCol w:w="1998"/>
        <w:gridCol w:w="1997"/>
      </w:tblGrid>
      <w:tr w:rsidRPr="004B3881" w:rsidR="00D828B9" w14:paraId="092112CC"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D828B9" w14:paraId="6621FF21" w14:textId="77777777">
            <w:pPr>
              <w:spacing w:after="0" w:line="360" w:lineRule="auto"/>
              <w:ind w:firstLine="720"/>
              <w:jc w:val="both"/>
              <w:rPr>
                <w:rFonts w:ascii="Times New Roman" w:hAnsi="Times New Roman" w:eastAsia="Times New Roman" w:cs="Times New Roman"/>
                <w:sz w:val="24"/>
                <w:szCs w:val="24"/>
              </w:rPr>
            </w:pPr>
          </w:p>
        </w:tc>
        <w:tc>
          <w:tcPr>
            <w:tcW w:w="1998" w:type="dxa"/>
            <w:tcBorders>
              <w:top w:val="nil"/>
              <w:left w:val="nil"/>
              <w:bottom w:val="nil"/>
              <w:right w:val="nil"/>
            </w:tcBorders>
            <w:shd w:val="clear" w:color="auto" w:fill="auto"/>
            <w:vAlign w:val="bottom"/>
          </w:tcPr>
          <w:p w:rsidRPr="004B3881" w:rsidR="00D828B9" w:rsidP="00B71F5B" w:rsidRDefault="009C06C3" w14:paraId="41458B4D"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PV</w:t>
            </w:r>
          </w:p>
        </w:tc>
        <w:tc>
          <w:tcPr>
            <w:tcW w:w="1998" w:type="dxa"/>
            <w:tcBorders>
              <w:top w:val="nil"/>
              <w:left w:val="nil"/>
              <w:bottom w:val="nil"/>
              <w:right w:val="nil"/>
            </w:tcBorders>
            <w:shd w:val="clear" w:color="auto" w:fill="auto"/>
            <w:vAlign w:val="bottom"/>
          </w:tcPr>
          <w:p w:rsidRPr="004B3881" w:rsidR="00D828B9" w:rsidP="00B71F5B" w:rsidRDefault="009C06C3" w14:paraId="23FDDB8C"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PV</w:t>
            </w:r>
          </w:p>
        </w:tc>
        <w:tc>
          <w:tcPr>
            <w:tcW w:w="1997" w:type="dxa"/>
            <w:tcBorders>
              <w:top w:val="nil"/>
              <w:left w:val="nil"/>
              <w:bottom w:val="nil"/>
              <w:right w:val="nil"/>
            </w:tcBorders>
            <w:shd w:val="clear" w:color="auto" w:fill="auto"/>
            <w:vAlign w:val="bottom"/>
          </w:tcPr>
          <w:p w:rsidRPr="004B3881" w:rsidR="00D828B9" w:rsidP="00B71F5B" w:rsidRDefault="009C06C3" w14:paraId="5CDC43C7"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PV</w:t>
            </w:r>
          </w:p>
        </w:tc>
      </w:tr>
      <w:tr w:rsidRPr="004B3881" w:rsidR="00D828B9" w14:paraId="6DD172ED"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D828B9" w14:paraId="54DAC5FE" w14:textId="77777777">
            <w:pPr>
              <w:spacing w:after="0" w:line="360" w:lineRule="auto"/>
              <w:ind w:firstLine="720"/>
              <w:jc w:val="both"/>
              <w:rPr>
                <w:rFonts w:ascii="Times New Roman" w:hAnsi="Times New Roman" w:cs="Times New Roman"/>
                <w:b/>
                <w:sz w:val="24"/>
                <w:szCs w:val="24"/>
              </w:rPr>
            </w:pPr>
          </w:p>
        </w:tc>
        <w:tc>
          <w:tcPr>
            <w:tcW w:w="1998" w:type="dxa"/>
            <w:tcBorders>
              <w:top w:val="nil"/>
              <w:left w:val="nil"/>
              <w:bottom w:val="nil"/>
              <w:right w:val="nil"/>
            </w:tcBorders>
            <w:shd w:val="clear" w:color="auto" w:fill="auto"/>
            <w:vAlign w:val="bottom"/>
          </w:tcPr>
          <w:p w:rsidRPr="004B3881" w:rsidR="00D828B9" w:rsidP="00B71F5B" w:rsidRDefault="009C06C3" w14:paraId="67EA8FB7"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Without Derisking </w:t>
            </w:r>
          </w:p>
        </w:tc>
        <w:tc>
          <w:tcPr>
            <w:tcW w:w="1998" w:type="dxa"/>
            <w:tcBorders>
              <w:top w:val="nil"/>
              <w:left w:val="nil"/>
              <w:bottom w:val="nil"/>
              <w:right w:val="nil"/>
            </w:tcBorders>
            <w:shd w:val="clear" w:color="auto" w:fill="auto"/>
            <w:vAlign w:val="bottom"/>
          </w:tcPr>
          <w:p w:rsidRPr="004B3881" w:rsidR="00D828B9" w:rsidP="00B71F5B" w:rsidRDefault="009C06C3" w14:paraId="2C9855A5"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With Derisking </w:t>
            </w:r>
          </w:p>
        </w:tc>
        <w:tc>
          <w:tcPr>
            <w:tcW w:w="1997" w:type="dxa"/>
            <w:tcBorders>
              <w:top w:val="nil"/>
              <w:left w:val="nil"/>
              <w:bottom w:val="nil"/>
              <w:right w:val="nil"/>
            </w:tcBorders>
            <w:shd w:val="clear" w:color="auto" w:fill="auto"/>
            <w:vAlign w:val="bottom"/>
          </w:tcPr>
          <w:p w:rsidRPr="004B3881" w:rsidR="00D828B9" w:rsidP="00B71F5B" w:rsidRDefault="009C06C3" w14:paraId="6B1A5F93"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With Derisking </w:t>
            </w:r>
          </w:p>
        </w:tc>
      </w:tr>
      <w:tr w:rsidRPr="004B3881" w:rsidR="00D828B9" w14:paraId="262FABA4"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D828B9" w14:paraId="1732D6ED" w14:textId="77777777">
            <w:pPr>
              <w:spacing w:after="0" w:line="360" w:lineRule="auto"/>
              <w:ind w:firstLine="720"/>
              <w:jc w:val="both"/>
              <w:rPr>
                <w:rFonts w:ascii="Times New Roman" w:hAnsi="Times New Roman" w:cs="Times New Roman"/>
                <w:sz w:val="24"/>
                <w:szCs w:val="24"/>
              </w:rPr>
            </w:pPr>
          </w:p>
        </w:tc>
        <w:tc>
          <w:tcPr>
            <w:tcW w:w="1998" w:type="dxa"/>
            <w:tcBorders>
              <w:top w:val="nil"/>
              <w:left w:val="nil"/>
              <w:bottom w:val="nil"/>
              <w:right w:val="nil"/>
            </w:tcBorders>
            <w:shd w:val="clear" w:color="auto" w:fill="auto"/>
            <w:vAlign w:val="bottom"/>
          </w:tcPr>
          <w:p w:rsidRPr="004B3881" w:rsidR="00D828B9" w:rsidP="00B71F5B" w:rsidRDefault="00D828B9" w14:paraId="146BFA12" w14:textId="77777777">
            <w:pPr>
              <w:spacing w:after="0" w:line="360" w:lineRule="auto"/>
              <w:ind w:firstLine="720"/>
              <w:jc w:val="both"/>
              <w:rPr>
                <w:rFonts w:ascii="Times New Roman" w:hAnsi="Times New Roman" w:eastAsia="Times New Roman" w:cs="Times New Roman"/>
                <w:sz w:val="24"/>
                <w:szCs w:val="24"/>
              </w:rPr>
            </w:pPr>
          </w:p>
        </w:tc>
        <w:tc>
          <w:tcPr>
            <w:tcW w:w="1998" w:type="dxa"/>
            <w:tcBorders>
              <w:top w:val="nil"/>
              <w:left w:val="nil"/>
              <w:bottom w:val="nil"/>
              <w:right w:val="nil"/>
            </w:tcBorders>
            <w:shd w:val="clear" w:color="auto" w:fill="auto"/>
            <w:vAlign w:val="bottom"/>
          </w:tcPr>
          <w:p w:rsidRPr="004B3881" w:rsidR="00D828B9" w:rsidP="00B71F5B" w:rsidRDefault="009C06C3" w14:paraId="0D655251"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Increase Profit </w:t>
            </w:r>
          </w:p>
        </w:tc>
        <w:tc>
          <w:tcPr>
            <w:tcW w:w="1997" w:type="dxa"/>
            <w:tcBorders>
              <w:top w:val="nil"/>
              <w:left w:val="nil"/>
              <w:bottom w:val="nil"/>
              <w:right w:val="nil"/>
            </w:tcBorders>
            <w:shd w:val="clear" w:color="auto" w:fill="auto"/>
            <w:vAlign w:val="bottom"/>
          </w:tcPr>
          <w:p w:rsidRPr="004B3881" w:rsidR="00D828B9" w:rsidP="00B71F5B" w:rsidRDefault="009C06C3" w14:paraId="0313B5BC"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Reduce Power Price </w:t>
            </w:r>
          </w:p>
        </w:tc>
      </w:tr>
      <w:tr w:rsidRPr="004B3881" w:rsidR="00D828B9" w14:paraId="34894812"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9C06C3" w14:paraId="0DD86ADB"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Asset</w:t>
            </w:r>
          </w:p>
        </w:tc>
        <w:tc>
          <w:tcPr>
            <w:tcW w:w="1998" w:type="dxa"/>
            <w:tcBorders>
              <w:top w:val="nil"/>
              <w:left w:val="nil"/>
              <w:bottom w:val="nil"/>
              <w:right w:val="nil"/>
            </w:tcBorders>
            <w:shd w:val="clear" w:color="auto" w:fill="auto"/>
            <w:vAlign w:val="bottom"/>
          </w:tcPr>
          <w:p w:rsidRPr="004B3881" w:rsidR="00D828B9" w:rsidP="00B71F5B" w:rsidRDefault="009C06C3" w14:paraId="4288077C"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Solar PV Utility Scale </w:t>
            </w:r>
          </w:p>
        </w:tc>
        <w:tc>
          <w:tcPr>
            <w:tcW w:w="1998" w:type="dxa"/>
            <w:tcBorders>
              <w:top w:val="nil"/>
              <w:left w:val="nil"/>
              <w:bottom w:val="nil"/>
              <w:right w:val="nil"/>
            </w:tcBorders>
            <w:shd w:val="clear" w:color="auto" w:fill="auto"/>
            <w:vAlign w:val="bottom"/>
          </w:tcPr>
          <w:p w:rsidRPr="004B3881" w:rsidR="00D828B9" w:rsidP="00B71F5B" w:rsidRDefault="009C06C3" w14:paraId="7793F52A"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Solar PV Utility Scale </w:t>
            </w:r>
          </w:p>
        </w:tc>
        <w:tc>
          <w:tcPr>
            <w:tcW w:w="1997" w:type="dxa"/>
            <w:tcBorders>
              <w:top w:val="nil"/>
              <w:left w:val="nil"/>
              <w:bottom w:val="nil"/>
              <w:right w:val="nil"/>
            </w:tcBorders>
            <w:shd w:val="clear" w:color="auto" w:fill="auto"/>
            <w:vAlign w:val="bottom"/>
          </w:tcPr>
          <w:p w:rsidRPr="004B3881" w:rsidR="00D828B9" w:rsidP="00B71F5B" w:rsidRDefault="009C06C3" w14:paraId="0231334A"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Solar PV Utility Scale </w:t>
            </w:r>
          </w:p>
        </w:tc>
      </w:tr>
      <w:tr w:rsidRPr="004B3881" w:rsidR="00D828B9" w14:paraId="63BF9D2D"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9C06C3" w14:paraId="119E9823"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lastRenderedPageBreak/>
              <w:t>Size</w:t>
            </w:r>
          </w:p>
        </w:tc>
        <w:tc>
          <w:tcPr>
            <w:tcW w:w="1998" w:type="dxa"/>
            <w:tcBorders>
              <w:top w:val="nil"/>
              <w:left w:val="nil"/>
              <w:bottom w:val="nil"/>
              <w:right w:val="nil"/>
            </w:tcBorders>
            <w:shd w:val="clear" w:color="auto" w:fill="auto"/>
            <w:vAlign w:val="bottom"/>
          </w:tcPr>
          <w:p w:rsidRPr="004B3881" w:rsidR="00D828B9" w:rsidP="00B71F5B" w:rsidRDefault="009C06C3" w14:paraId="0C3F26AC"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1MW </w:t>
            </w:r>
          </w:p>
        </w:tc>
        <w:tc>
          <w:tcPr>
            <w:tcW w:w="1998" w:type="dxa"/>
            <w:tcBorders>
              <w:top w:val="nil"/>
              <w:left w:val="nil"/>
              <w:bottom w:val="nil"/>
              <w:right w:val="nil"/>
            </w:tcBorders>
            <w:shd w:val="clear" w:color="auto" w:fill="auto"/>
            <w:vAlign w:val="bottom"/>
          </w:tcPr>
          <w:p w:rsidRPr="004B3881" w:rsidR="00D828B9" w:rsidP="00B71F5B" w:rsidRDefault="009C06C3" w14:paraId="6DBB518C"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1MW </w:t>
            </w:r>
          </w:p>
        </w:tc>
        <w:tc>
          <w:tcPr>
            <w:tcW w:w="1997" w:type="dxa"/>
            <w:tcBorders>
              <w:top w:val="nil"/>
              <w:left w:val="nil"/>
              <w:bottom w:val="nil"/>
              <w:right w:val="nil"/>
            </w:tcBorders>
            <w:shd w:val="clear" w:color="auto" w:fill="auto"/>
            <w:vAlign w:val="bottom"/>
          </w:tcPr>
          <w:p w:rsidRPr="004B3881" w:rsidR="00D828B9" w:rsidP="00B71F5B" w:rsidRDefault="009C06C3" w14:paraId="4634697C"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1MW </w:t>
            </w:r>
          </w:p>
        </w:tc>
      </w:tr>
      <w:tr w:rsidRPr="004B3881" w:rsidR="00D828B9" w14:paraId="1F24FA8F"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9C06C3" w14:paraId="48FDAD1A"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Capital cost $/MW</w:t>
            </w:r>
          </w:p>
        </w:tc>
        <w:tc>
          <w:tcPr>
            <w:tcW w:w="1998" w:type="dxa"/>
            <w:tcBorders>
              <w:top w:val="nil"/>
              <w:left w:val="nil"/>
              <w:bottom w:val="nil"/>
              <w:right w:val="nil"/>
            </w:tcBorders>
            <w:shd w:val="clear" w:color="auto" w:fill="auto"/>
            <w:vAlign w:val="bottom"/>
          </w:tcPr>
          <w:p w:rsidRPr="004B3881" w:rsidR="00D828B9" w:rsidP="00B71F5B" w:rsidRDefault="009C06C3" w14:paraId="46E68B8C"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$1,000,000</w:t>
            </w:r>
          </w:p>
        </w:tc>
        <w:tc>
          <w:tcPr>
            <w:tcW w:w="1998" w:type="dxa"/>
            <w:tcBorders>
              <w:top w:val="nil"/>
              <w:left w:val="nil"/>
              <w:bottom w:val="nil"/>
              <w:right w:val="nil"/>
            </w:tcBorders>
            <w:shd w:val="clear" w:color="auto" w:fill="auto"/>
            <w:vAlign w:val="bottom"/>
          </w:tcPr>
          <w:p w:rsidRPr="004B3881" w:rsidR="00D828B9" w:rsidP="00B71F5B" w:rsidRDefault="009C06C3" w14:paraId="1584502E"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$1,000,000</w:t>
            </w:r>
          </w:p>
        </w:tc>
        <w:tc>
          <w:tcPr>
            <w:tcW w:w="1997" w:type="dxa"/>
            <w:tcBorders>
              <w:top w:val="nil"/>
              <w:left w:val="nil"/>
              <w:bottom w:val="nil"/>
              <w:right w:val="nil"/>
            </w:tcBorders>
            <w:shd w:val="clear" w:color="auto" w:fill="auto"/>
            <w:vAlign w:val="bottom"/>
          </w:tcPr>
          <w:p w:rsidRPr="004B3881" w:rsidR="00D828B9" w:rsidP="00B71F5B" w:rsidRDefault="009C06C3" w14:paraId="1004B1C8"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$1,000,000</w:t>
            </w:r>
          </w:p>
        </w:tc>
      </w:tr>
      <w:tr w:rsidRPr="004B3881" w:rsidR="00D828B9" w14:paraId="303E88B5"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9C06C3" w14:paraId="68ACFC90"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Lifetime</w:t>
            </w:r>
          </w:p>
        </w:tc>
        <w:tc>
          <w:tcPr>
            <w:tcW w:w="1998" w:type="dxa"/>
            <w:tcBorders>
              <w:top w:val="nil"/>
              <w:left w:val="nil"/>
              <w:bottom w:val="nil"/>
              <w:right w:val="nil"/>
            </w:tcBorders>
            <w:shd w:val="clear" w:color="auto" w:fill="auto"/>
            <w:vAlign w:val="bottom"/>
          </w:tcPr>
          <w:p w:rsidRPr="004B3881" w:rsidR="00D828B9" w:rsidP="00B71F5B" w:rsidRDefault="009C06C3" w14:paraId="4F621E7E"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25</w:t>
            </w:r>
          </w:p>
        </w:tc>
        <w:tc>
          <w:tcPr>
            <w:tcW w:w="1998" w:type="dxa"/>
            <w:tcBorders>
              <w:top w:val="nil"/>
              <w:left w:val="nil"/>
              <w:bottom w:val="nil"/>
              <w:right w:val="nil"/>
            </w:tcBorders>
            <w:shd w:val="clear" w:color="auto" w:fill="auto"/>
            <w:vAlign w:val="bottom"/>
          </w:tcPr>
          <w:p w:rsidRPr="004B3881" w:rsidR="00D828B9" w:rsidP="00B71F5B" w:rsidRDefault="009C06C3" w14:paraId="02389D1F"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25</w:t>
            </w:r>
          </w:p>
        </w:tc>
        <w:tc>
          <w:tcPr>
            <w:tcW w:w="1997" w:type="dxa"/>
            <w:tcBorders>
              <w:top w:val="nil"/>
              <w:left w:val="nil"/>
              <w:bottom w:val="nil"/>
              <w:right w:val="nil"/>
            </w:tcBorders>
            <w:shd w:val="clear" w:color="auto" w:fill="auto"/>
            <w:vAlign w:val="bottom"/>
          </w:tcPr>
          <w:p w:rsidRPr="004B3881" w:rsidR="00D828B9" w:rsidP="00B71F5B" w:rsidRDefault="009C06C3" w14:paraId="50F05D77"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25</w:t>
            </w:r>
          </w:p>
        </w:tc>
      </w:tr>
      <w:tr w:rsidRPr="004B3881" w:rsidR="00D828B9" w14:paraId="512AA12E"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9C06C3" w14:paraId="6A0F5680"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Capacity %</w:t>
            </w:r>
          </w:p>
        </w:tc>
        <w:tc>
          <w:tcPr>
            <w:tcW w:w="1998" w:type="dxa"/>
            <w:tcBorders>
              <w:top w:val="nil"/>
              <w:left w:val="nil"/>
              <w:bottom w:val="nil"/>
              <w:right w:val="nil"/>
            </w:tcBorders>
            <w:shd w:val="clear" w:color="auto" w:fill="auto"/>
            <w:vAlign w:val="bottom"/>
          </w:tcPr>
          <w:p w:rsidRPr="004B3881" w:rsidR="00D828B9" w:rsidP="00B71F5B" w:rsidRDefault="009C06C3" w14:paraId="69766907"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20%</w:t>
            </w:r>
          </w:p>
        </w:tc>
        <w:tc>
          <w:tcPr>
            <w:tcW w:w="1998" w:type="dxa"/>
            <w:tcBorders>
              <w:top w:val="nil"/>
              <w:left w:val="nil"/>
              <w:bottom w:val="nil"/>
              <w:right w:val="nil"/>
            </w:tcBorders>
            <w:shd w:val="clear" w:color="auto" w:fill="auto"/>
            <w:vAlign w:val="bottom"/>
          </w:tcPr>
          <w:p w:rsidRPr="004B3881" w:rsidR="00D828B9" w:rsidP="00B71F5B" w:rsidRDefault="009C06C3" w14:paraId="7EA82D65"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20%</w:t>
            </w:r>
          </w:p>
        </w:tc>
        <w:tc>
          <w:tcPr>
            <w:tcW w:w="1997" w:type="dxa"/>
            <w:tcBorders>
              <w:top w:val="nil"/>
              <w:left w:val="nil"/>
              <w:bottom w:val="nil"/>
              <w:right w:val="nil"/>
            </w:tcBorders>
            <w:shd w:val="clear" w:color="auto" w:fill="auto"/>
            <w:vAlign w:val="bottom"/>
          </w:tcPr>
          <w:p w:rsidRPr="004B3881" w:rsidR="00D828B9" w:rsidP="00B71F5B" w:rsidRDefault="009C06C3" w14:paraId="14E28590"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20%</w:t>
            </w:r>
          </w:p>
        </w:tc>
      </w:tr>
      <w:tr w:rsidRPr="004B3881" w:rsidR="00D828B9" w14:paraId="084F6F6E"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9C06C3" w14:paraId="6B764091"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Power Produced Per Year</w:t>
            </w:r>
          </w:p>
        </w:tc>
        <w:tc>
          <w:tcPr>
            <w:tcW w:w="1998" w:type="dxa"/>
            <w:tcBorders>
              <w:top w:val="nil"/>
              <w:left w:val="nil"/>
              <w:bottom w:val="nil"/>
              <w:right w:val="nil"/>
            </w:tcBorders>
            <w:shd w:val="clear" w:color="auto" w:fill="auto"/>
            <w:vAlign w:val="bottom"/>
          </w:tcPr>
          <w:p w:rsidRPr="004B3881" w:rsidR="00D828B9" w:rsidP="00B71F5B" w:rsidRDefault="009C06C3" w14:paraId="3297F93B"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1752</w:t>
            </w:r>
          </w:p>
        </w:tc>
        <w:tc>
          <w:tcPr>
            <w:tcW w:w="1998" w:type="dxa"/>
            <w:tcBorders>
              <w:top w:val="nil"/>
              <w:left w:val="nil"/>
              <w:bottom w:val="nil"/>
              <w:right w:val="nil"/>
            </w:tcBorders>
            <w:shd w:val="clear" w:color="auto" w:fill="auto"/>
            <w:vAlign w:val="bottom"/>
          </w:tcPr>
          <w:p w:rsidRPr="004B3881" w:rsidR="00D828B9" w:rsidP="00B71F5B" w:rsidRDefault="009C06C3" w14:paraId="0B411E55"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1752</w:t>
            </w:r>
          </w:p>
        </w:tc>
        <w:tc>
          <w:tcPr>
            <w:tcW w:w="1997" w:type="dxa"/>
            <w:tcBorders>
              <w:top w:val="nil"/>
              <w:left w:val="nil"/>
              <w:bottom w:val="nil"/>
              <w:right w:val="nil"/>
            </w:tcBorders>
            <w:shd w:val="clear" w:color="auto" w:fill="auto"/>
            <w:vAlign w:val="bottom"/>
          </w:tcPr>
          <w:p w:rsidRPr="004B3881" w:rsidR="00D828B9" w:rsidP="00B71F5B" w:rsidRDefault="009C06C3" w14:paraId="5C356ACF"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1752</w:t>
            </w:r>
          </w:p>
        </w:tc>
      </w:tr>
      <w:tr w:rsidRPr="004B3881" w:rsidR="00D828B9" w14:paraId="259A5160"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D828B9" w14:paraId="6A727579" w14:textId="77777777">
            <w:pPr>
              <w:spacing w:after="0" w:line="360" w:lineRule="auto"/>
              <w:ind w:firstLine="720"/>
              <w:jc w:val="both"/>
              <w:rPr>
                <w:rFonts w:ascii="Times New Roman" w:hAnsi="Times New Roman" w:cs="Times New Roman"/>
                <w:sz w:val="24"/>
                <w:szCs w:val="24"/>
              </w:rPr>
            </w:pPr>
          </w:p>
        </w:tc>
        <w:tc>
          <w:tcPr>
            <w:tcW w:w="1998" w:type="dxa"/>
            <w:tcBorders>
              <w:top w:val="nil"/>
              <w:left w:val="nil"/>
              <w:bottom w:val="nil"/>
              <w:right w:val="nil"/>
            </w:tcBorders>
            <w:shd w:val="clear" w:color="auto" w:fill="auto"/>
            <w:vAlign w:val="bottom"/>
          </w:tcPr>
          <w:p w:rsidRPr="004B3881" w:rsidR="00D828B9" w:rsidP="00B71F5B" w:rsidRDefault="00D828B9" w14:paraId="44118ABC" w14:textId="77777777">
            <w:pPr>
              <w:spacing w:after="0" w:line="360" w:lineRule="auto"/>
              <w:ind w:firstLine="720"/>
              <w:jc w:val="both"/>
              <w:rPr>
                <w:rFonts w:ascii="Times New Roman" w:hAnsi="Times New Roman" w:eastAsia="Times New Roman" w:cs="Times New Roman"/>
                <w:sz w:val="24"/>
                <w:szCs w:val="24"/>
              </w:rPr>
            </w:pPr>
          </w:p>
        </w:tc>
        <w:tc>
          <w:tcPr>
            <w:tcW w:w="1998" w:type="dxa"/>
            <w:tcBorders>
              <w:top w:val="nil"/>
              <w:left w:val="nil"/>
              <w:bottom w:val="nil"/>
              <w:right w:val="nil"/>
            </w:tcBorders>
            <w:shd w:val="clear" w:color="auto" w:fill="auto"/>
            <w:vAlign w:val="bottom"/>
          </w:tcPr>
          <w:p w:rsidRPr="004B3881" w:rsidR="00D828B9" w:rsidP="00B71F5B" w:rsidRDefault="00D828B9" w14:paraId="700417B9" w14:textId="77777777">
            <w:pPr>
              <w:spacing w:after="0" w:line="360" w:lineRule="auto"/>
              <w:ind w:firstLine="720"/>
              <w:jc w:val="both"/>
              <w:rPr>
                <w:rFonts w:ascii="Times New Roman" w:hAnsi="Times New Roman" w:eastAsia="Times New Roman" w:cs="Times New Roman"/>
                <w:sz w:val="24"/>
                <w:szCs w:val="24"/>
              </w:rPr>
            </w:pPr>
          </w:p>
        </w:tc>
        <w:tc>
          <w:tcPr>
            <w:tcW w:w="1997" w:type="dxa"/>
            <w:tcBorders>
              <w:top w:val="nil"/>
              <w:left w:val="nil"/>
              <w:bottom w:val="nil"/>
              <w:right w:val="nil"/>
            </w:tcBorders>
            <w:shd w:val="clear" w:color="auto" w:fill="auto"/>
            <w:vAlign w:val="bottom"/>
          </w:tcPr>
          <w:p w:rsidRPr="004B3881" w:rsidR="00D828B9" w:rsidP="00B71F5B" w:rsidRDefault="00D828B9" w14:paraId="680F14B5" w14:textId="77777777">
            <w:pPr>
              <w:spacing w:after="0" w:line="360" w:lineRule="auto"/>
              <w:ind w:firstLine="720"/>
              <w:jc w:val="both"/>
              <w:rPr>
                <w:rFonts w:ascii="Times New Roman" w:hAnsi="Times New Roman" w:eastAsia="Times New Roman" w:cs="Times New Roman"/>
                <w:sz w:val="24"/>
                <w:szCs w:val="24"/>
              </w:rPr>
            </w:pPr>
          </w:p>
        </w:tc>
      </w:tr>
      <w:tr w:rsidRPr="004B3881" w:rsidR="00D828B9" w14:paraId="11279A07"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9C06C3" w14:paraId="2C309FC0" w14:textId="77777777">
            <w:pPr>
              <w:spacing w:after="0" w:line="360" w:lineRule="auto"/>
              <w:ind w:firstLine="720"/>
              <w:jc w:val="both"/>
              <w:rPr>
                <w:rFonts w:ascii="Times New Roman" w:hAnsi="Times New Roman" w:cs="Times New Roman"/>
                <w:i/>
                <w:sz w:val="24"/>
                <w:szCs w:val="24"/>
                <w:u w:val="single"/>
              </w:rPr>
            </w:pPr>
            <w:r w:rsidRPr="004B3881">
              <w:rPr>
                <w:rFonts w:ascii="Times New Roman" w:hAnsi="Times New Roman" w:cs="Times New Roman"/>
                <w:i/>
                <w:sz w:val="24"/>
                <w:szCs w:val="24"/>
                <w:u w:val="single"/>
              </w:rPr>
              <w:t>Debt Interest Rates Assumptions</w:t>
            </w:r>
          </w:p>
        </w:tc>
        <w:tc>
          <w:tcPr>
            <w:tcW w:w="1998" w:type="dxa"/>
            <w:tcBorders>
              <w:top w:val="nil"/>
              <w:left w:val="nil"/>
              <w:bottom w:val="nil"/>
              <w:right w:val="nil"/>
            </w:tcBorders>
            <w:shd w:val="clear" w:color="auto" w:fill="auto"/>
            <w:vAlign w:val="bottom"/>
          </w:tcPr>
          <w:p w:rsidRPr="004B3881" w:rsidR="00D828B9" w:rsidP="00B71F5B" w:rsidRDefault="00D828B9" w14:paraId="606D545A" w14:textId="77777777">
            <w:pPr>
              <w:spacing w:after="0" w:line="360" w:lineRule="auto"/>
              <w:ind w:firstLine="720"/>
              <w:jc w:val="both"/>
              <w:rPr>
                <w:rFonts w:ascii="Times New Roman" w:hAnsi="Times New Roman" w:cs="Times New Roman"/>
                <w:i/>
                <w:sz w:val="24"/>
                <w:szCs w:val="24"/>
                <w:u w:val="single"/>
              </w:rPr>
            </w:pPr>
          </w:p>
        </w:tc>
        <w:tc>
          <w:tcPr>
            <w:tcW w:w="1998" w:type="dxa"/>
            <w:tcBorders>
              <w:top w:val="nil"/>
              <w:left w:val="nil"/>
              <w:bottom w:val="nil"/>
              <w:right w:val="nil"/>
            </w:tcBorders>
            <w:shd w:val="clear" w:color="auto" w:fill="auto"/>
            <w:vAlign w:val="bottom"/>
          </w:tcPr>
          <w:p w:rsidRPr="004B3881" w:rsidR="00D828B9" w:rsidP="00B71F5B" w:rsidRDefault="00D828B9" w14:paraId="5D49E519" w14:textId="77777777">
            <w:pPr>
              <w:spacing w:after="0" w:line="360" w:lineRule="auto"/>
              <w:ind w:firstLine="720"/>
              <w:jc w:val="both"/>
              <w:rPr>
                <w:rFonts w:ascii="Times New Roman" w:hAnsi="Times New Roman" w:eastAsia="Times New Roman" w:cs="Times New Roman"/>
                <w:i/>
                <w:sz w:val="24"/>
                <w:szCs w:val="24"/>
              </w:rPr>
            </w:pPr>
          </w:p>
        </w:tc>
        <w:tc>
          <w:tcPr>
            <w:tcW w:w="1997" w:type="dxa"/>
            <w:tcBorders>
              <w:top w:val="nil"/>
              <w:left w:val="nil"/>
              <w:bottom w:val="nil"/>
              <w:right w:val="nil"/>
            </w:tcBorders>
            <w:shd w:val="clear" w:color="auto" w:fill="auto"/>
            <w:vAlign w:val="bottom"/>
          </w:tcPr>
          <w:p w:rsidRPr="004B3881" w:rsidR="00D828B9" w:rsidP="00B71F5B" w:rsidRDefault="00D828B9" w14:paraId="76E6D934" w14:textId="77777777">
            <w:pPr>
              <w:spacing w:after="0" w:line="360" w:lineRule="auto"/>
              <w:ind w:firstLine="720"/>
              <w:jc w:val="both"/>
              <w:rPr>
                <w:rFonts w:ascii="Times New Roman" w:hAnsi="Times New Roman" w:eastAsia="Times New Roman" w:cs="Times New Roman"/>
                <w:i/>
                <w:sz w:val="24"/>
                <w:szCs w:val="24"/>
              </w:rPr>
            </w:pPr>
          </w:p>
        </w:tc>
      </w:tr>
      <w:tr w:rsidRPr="004B3881" w:rsidR="00D828B9" w14:paraId="65D34E8A"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9C06C3" w14:paraId="374CB504" w14:textId="77777777">
            <w:pPr>
              <w:spacing w:after="0" w:line="360" w:lineRule="auto"/>
              <w:ind w:firstLine="720"/>
              <w:jc w:val="both"/>
              <w:rPr>
                <w:rFonts w:ascii="Times New Roman" w:hAnsi="Times New Roman" w:cs="Times New Roman"/>
                <w:i/>
                <w:sz w:val="24"/>
                <w:szCs w:val="24"/>
              </w:rPr>
            </w:pPr>
            <w:r w:rsidRPr="004B3881">
              <w:rPr>
                <w:rFonts w:ascii="Times New Roman" w:hAnsi="Times New Roman" w:cs="Times New Roman"/>
                <w:i/>
                <w:sz w:val="24"/>
                <w:szCs w:val="24"/>
              </w:rPr>
              <w:t>Developed</w:t>
            </w:r>
          </w:p>
        </w:tc>
        <w:tc>
          <w:tcPr>
            <w:tcW w:w="1998" w:type="dxa"/>
            <w:tcBorders>
              <w:top w:val="nil"/>
              <w:left w:val="nil"/>
              <w:bottom w:val="nil"/>
              <w:right w:val="nil"/>
            </w:tcBorders>
            <w:shd w:val="clear" w:color="auto" w:fill="auto"/>
            <w:vAlign w:val="bottom"/>
          </w:tcPr>
          <w:p w:rsidRPr="004B3881" w:rsidR="00D828B9" w:rsidP="00B71F5B" w:rsidRDefault="009C06C3" w14:paraId="14C93651" w14:textId="77777777">
            <w:pPr>
              <w:spacing w:after="0" w:line="360" w:lineRule="auto"/>
              <w:ind w:firstLine="720"/>
              <w:jc w:val="both"/>
              <w:rPr>
                <w:rFonts w:ascii="Times New Roman" w:hAnsi="Times New Roman" w:cs="Times New Roman"/>
                <w:i/>
                <w:sz w:val="24"/>
                <w:szCs w:val="24"/>
              </w:rPr>
            </w:pPr>
            <w:r w:rsidRPr="004B3881">
              <w:rPr>
                <w:rFonts w:ascii="Times New Roman" w:hAnsi="Times New Roman" w:cs="Times New Roman"/>
                <w:i/>
                <w:sz w:val="24"/>
                <w:szCs w:val="24"/>
              </w:rPr>
              <w:t>7.5%</w:t>
            </w:r>
          </w:p>
        </w:tc>
        <w:tc>
          <w:tcPr>
            <w:tcW w:w="1998" w:type="dxa"/>
            <w:tcBorders>
              <w:top w:val="nil"/>
              <w:left w:val="nil"/>
              <w:bottom w:val="nil"/>
              <w:right w:val="nil"/>
            </w:tcBorders>
            <w:shd w:val="clear" w:color="auto" w:fill="auto"/>
            <w:vAlign w:val="bottom"/>
          </w:tcPr>
          <w:p w:rsidRPr="004B3881" w:rsidR="00D828B9" w:rsidP="00B71F5B" w:rsidRDefault="009C06C3" w14:paraId="06358F6E" w14:textId="77777777">
            <w:pPr>
              <w:spacing w:after="0" w:line="360" w:lineRule="auto"/>
              <w:ind w:firstLine="720"/>
              <w:jc w:val="both"/>
              <w:rPr>
                <w:rFonts w:ascii="Times New Roman" w:hAnsi="Times New Roman" w:cs="Times New Roman"/>
                <w:i/>
                <w:sz w:val="24"/>
                <w:szCs w:val="24"/>
              </w:rPr>
            </w:pPr>
            <w:r w:rsidRPr="004B3881">
              <w:rPr>
                <w:rFonts w:ascii="Times New Roman" w:hAnsi="Times New Roman" w:cs="Times New Roman"/>
                <w:i/>
                <w:sz w:val="24"/>
                <w:szCs w:val="24"/>
              </w:rPr>
              <w:t>2.5%</w:t>
            </w:r>
          </w:p>
        </w:tc>
        <w:tc>
          <w:tcPr>
            <w:tcW w:w="1997" w:type="dxa"/>
            <w:tcBorders>
              <w:top w:val="nil"/>
              <w:left w:val="nil"/>
              <w:bottom w:val="nil"/>
              <w:right w:val="nil"/>
            </w:tcBorders>
            <w:shd w:val="clear" w:color="auto" w:fill="auto"/>
            <w:vAlign w:val="bottom"/>
          </w:tcPr>
          <w:p w:rsidRPr="004B3881" w:rsidR="00D828B9" w:rsidP="00B71F5B" w:rsidRDefault="009C06C3" w14:paraId="4FCC25CF" w14:textId="77777777">
            <w:pPr>
              <w:spacing w:after="0" w:line="360" w:lineRule="auto"/>
              <w:ind w:firstLine="720"/>
              <w:jc w:val="both"/>
              <w:rPr>
                <w:rFonts w:ascii="Times New Roman" w:hAnsi="Times New Roman" w:cs="Times New Roman"/>
                <w:i/>
                <w:sz w:val="24"/>
                <w:szCs w:val="24"/>
              </w:rPr>
            </w:pPr>
            <w:r w:rsidRPr="004B3881">
              <w:rPr>
                <w:rFonts w:ascii="Times New Roman" w:hAnsi="Times New Roman" w:cs="Times New Roman"/>
                <w:i/>
                <w:sz w:val="24"/>
                <w:szCs w:val="24"/>
              </w:rPr>
              <w:t>2.5%</w:t>
            </w:r>
          </w:p>
        </w:tc>
      </w:tr>
      <w:tr w:rsidRPr="004B3881" w:rsidR="00D828B9" w14:paraId="07D99607"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9C06C3" w14:paraId="7678E3E3" w14:textId="77777777">
            <w:pPr>
              <w:spacing w:after="0" w:line="360" w:lineRule="auto"/>
              <w:ind w:firstLine="720"/>
              <w:jc w:val="both"/>
              <w:rPr>
                <w:rFonts w:ascii="Times New Roman" w:hAnsi="Times New Roman" w:cs="Times New Roman"/>
                <w:i/>
                <w:sz w:val="24"/>
                <w:szCs w:val="24"/>
              </w:rPr>
            </w:pPr>
            <w:r w:rsidRPr="004B3881">
              <w:rPr>
                <w:rFonts w:ascii="Times New Roman" w:hAnsi="Times New Roman" w:cs="Times New Roman"/>
                <w:i/>
                <w:sz w:val="24"/>
                <w:szCs w:val="24"/>
              </w:rPr>
              <w:t>Middle Income</w:t>
            </w:r>
          </w:p>
        </w:tc>
        <w:tc>
          <w:tcPr>
            <w:tcW w:w="1998" w:type="dxa"/>
            <w:tcBorders>
              <w:top w:val="nil"/>
              <w:left w:val="nil"/>
              <w:bottom w:val="nil"/>
              <w:right w:val="nil"/>
            </w:tcBorders>
            <w:shd w:val="clear" w:color="auto" w:fill="auto"/>
            <w:vAlign w:val="bottom"/>
          </w:tcPr>
          <w:p w:rsidRPr="004B3881" w:rsidR="00D828B9" w:rsidP="00B71F5B" w:rsidRDefault="009C06C3" w14:paraId="16CB80EA" w14:textId="77777777">
            <w:pPr>
              <w:spacing w:after="0" w:line="360" w:lineRule="auto"/>
              <w:ind w:firstLine="720"/>
              <w:jc w:val="both"/>
              <w:rPr>
                <w:rFonts w:ascii="Times New Roman" w:hAnsi="Times New Roman" w:cs="Times New Roman"/>
                <w:i/>
                <w:sz w:val="24"/>
                <w:szCs w:val="24"/>
              </w:rPr>
            </w:pPr>
            <w:r w:rsidRPr="004B3881">
              <w:rPr>
                <w:rFonts w:ascii="Times New Roman" w:hAnsi="Times New Roman" w:cs="Times New Roman"/>
                <w:i/>
                <w:sz w:val="24"/>
                <w:szCs w:val="24"/>
              </w:rPr>
              <w:t>10%</w:t>
            </w:r>
          </w:p>
        </w:tc>
        <w:tc>
          <w:tcPr>
            <w:tcW w:w="1998" w:type="dxa"/>
            <w:tcBorders>
              <w:top w:val="nil"/>
              <w:left w:val="nil"/>
              <w:bottom w:val="nil"/>
              <w:right w:val="nil"/>
            </w:tcBorders>
            <w:shd w:val="clear" w:color="auto" w:fill="auto"/>
            <w:vAlign w:val="bottom"/>
          </w:tcPr>
          <w:p w:rsidRPr="004B3881" w:rsidR="00D828B9" w:rsidP="00B71F5B" w:rsidRDefault="009C06C3" w14:paraId="181D57D1" w14:textId="77777777">
            <w:pPr>
              <w:spacing w:after="0" w:line="360" w:lineRule="auto"/>
              <w:ind w:firstLine="720"/>
              <w:jc w:val="both"/>
              <w:rPr>
                <w:rFonts w:ascii="Times New Roman" w:hAnsi="Times New Roman" w:cs="Times New Roman"/>
                <w:i/>
                <w:sz w:val="24"/>
                <w:szCs w:val="24"/>
              </w:rPr>
            </w:pPr>
            <w:r w:rsidRPr="004B3881">
              <w:rPr>
                <w:rFonts w:ascii="Times New Roman" w:hAnsi="Times New Roman" w:cs="Times New Roman"/>
                <w:i/>
                <w:sz w:val="24"/>
                <w:szCs w:val="24"/>
              </w:rPr>
              <w:t>5%</w:t>
            </w:r>
          </w:p>
        </w:tc>
        <w:tc>
          <w:tcPr>
            <w:tcW w:w="1997" w:type="dxa"/>
            <w:tcBorders>
              <w:top w:val="nil"/>
              <w:left w:val="nil"/>
              <w:bottom w:val="nil"/>
              <w:right w:val="nil"/>
            </w:tcBorders>
            <w:shd w:val="clear" w:color="auto" w:fill="auto"/>
            <w:vAlign w:val="bottom"/>
          </w:tcPr>
          <w:p w:rsidRPr="004B3881" w:rsidR="00D828B9" w:rsidP="00B71F5B" w:rsidRDefault="009C06C3" w14:paraId="38BEB95A" w14:textId="77777777">
            <w:pPr>
              <w:spacing w:after="0" w:line="360" w:lineRule="auto"/>
              <w:ind w:firstLine="720"/>
              <w:jc w:val="both"/>
              <w:rPr>
                <w:rFonts w:ascii="Times New Roman" w:hAnsi="Times New Roman" w:cs="Times New Roman"/>
                <w:i/>
                <w:sz w:val="24"/>
                <w:szCs w:val="24"/>
              </w:rPr>
            </w:pPr>
            <w:r w:rsidRPr="004B3881">
              <w:rPr>
                <w:rFonts w:ascii="Times New Roman" w:hAnsi="Times New Roman" w:cs="Times New Roman"/>
                <w:i/>
                <w:sz w:val="24"/>
                <w:szCs w:val="24"/>
              </w:rPr>
              <w:t>5%</w:t>
            </w:r>
          </w:p>
        </w:tc>
      </w:tr>
      <w:tr w:rsidRPr="004B3881" w:rsidR="00D828B9" w14:paraId="1C4555BE"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9C06C3" w14:paraId="415D4656" w14:textId="77777777">
            <w:pPr>
              <w:spacing w:after="0" w:line="360" w:lineRule="auto"/>
              <w:ind w:firstLine="720"/>
              <w:jc w:val="both"/>
              <w:rPr>
                <w:rFonts w:ascii="Times New Roman" w:hAnsi="Times New Roman" w:cs="Times New Roman"/>
                <w:b/>
                <w:i/>
                <w:sz w:val="24"/>
                <w:szCs w:val="24"/>
              </w:rPr>
            </w:pPr>
            <w:r w:rsidRPr="004B3881">
              <w:rPr>
                <w:rFonts w:ascii="Times New Roman" w:hAnsi="Times New Roman" w:cs="Times New Roman"/>
                <w:b/>
                <w:i/>
                <w:sz w:val="24"/>
                <w:szCs w:val="24"/>
              </w:rPr>
              <w:t>Lower Middle Income (LMIC)</w:t>
            </w:r>
          </w:p>
        </w:tc>
        <w:tc>
          <w:tcPr>
            <w:tcW w:w="1998" w:type="dxa"/>
            <w:tcBorders>
              <w:top w:val="nil"/>
              <w:left w:val="nil"/>
              <w:bottom w:val="nil"/>
              <w:right w:val="nil"/>
            </w:tcBorders>
            <w:shd w:val="clear" w:color="auto" w:fill="auto"/>
            <w:vAlign w:val="bottom"/>
          </w:tcPr>
          <w:p w:rsidRPr="004B3881" w:rsidR="00D828B9" w:rsidP="00B71F5B" w:rsidRDefault="009C06C3" w14:paraId="32602922" w14:textId="77777777">
            <w:pPr>
              <w:spacing w:after="0" w:line="360" w:lineRule="auto"/>
              <w:ind w:firstLine="720"/>
              <w:jc w:val="both"/>
              <w:rPr>
                <w:rFonts w:ascii="Times New Roman" w:hAnsi="Times New Roman" w:cs="Times New Roman"/>
                <w:b/>
                <w:i/>
                <w:sz w:val="24"/>
                <w:szCs w:val="24"/>
              </w:rPr>
            </w:pPr>
            <w:r w:rsidRPr="004B3881">
              <w:rPr>
                <w:rFonts w:ascii="Times New Roman" w:hAnsi="Times New Roman" w:cs="Times New Roman"/>
                <w:b/>
                <w:i/>
                <w:sz w:val="24"/>
                <w:szCs w:val="24"/>
              </w:rPr>
              <w:t>12.5%</w:t>
            </w:r>
          </w:p>
        </w:tc>
        <w:tc>
          <w:tcPr>
            <w:tcW w:w="1998" w:type="dxa"/>
            <w:tcBorders>
              <w:top w:val="nil"/>
              <w:left w:val="nil"/>
              <w:bottom w:val="nil"/>
              <w:right w:val="nil"/>
            </w:tcBorders>
            <w:shd w:val="clear" w:color="auto" w:fill="auto"/>
            <w:vAlign w:val="bottom"/>
          </w:tcPr>
          <w:p w:rsidRPr="004B3881" w:rsidR="00D828B9" w:rsidP="00B71F5B" w:rsidRDefault="009C06C3" w14:paraId="2E16D9AA" w14:textId="77777777">
            <w:pPr>
              <w:spacing w:after="0" w:line="360" w:lineRule="auto"/>
              <w:ind w:firstLine="720"/>
              <w:jc w:val="both"/>
              <w:rPr>
                <w:rFonts w:ascii="Times New Roman" w:hAnsi="Times New Roman" w:cs="Times New Roman"/>
                <w:b/>
                <w:i/>
                <w:sz w:val="24"/>
                <w:szCs w:val="24"/>
              </w:rPr>
            </w:pPr>
            <w:r w:rsidRPr="004B3881">
              <w:rPr>
                <w:rFonts w:ascii="Times New Roman" w:hAnsi="Times New Roman" w:cs="Times New Roman"/>
                <w:b/>
                <w:i/>
                <w:sz w:val="24"/>
                <w:szCs w:val="24"/>
              </w:rPr>
              <w:t>7.5%</w:t>
            </w:r>
          </w:p>
        </w:tc>
        <w:tc>
          <w:tcPr>
            <w:tcW w:w="1997" w:type="dxa"/>
            <w:tcBorders>
              <w:top w:val="nil"/>
              <w:left w:val="nil"/>
              <w:bottom w:val="nil"/>
              <w:right w:val="nil"/>
            </w:tcBorders>
            <w:shd w:val="clear" w:color="auto" w:fill="auto"/>
            <w:vAlign w:val="bottom"/>
          </w:tcPr>
          <w:p w:rsidRPr="004B3881" w:rsidR="00D828B9" w:rsidP="00B71F5B" w:rsidRDefault="009C06C3" w14:paraId="3DA92035" w14:textId="77777777">
            <w:pPr>
              <w:spacing w:after="0" w:line="360" w:lineRule="auto"/>
              <w:ind w:firstLine="720"/>
              <w:jc w:val="both"/>
              <w:rPr>
                <w:rFonts w:ascii="Times New Roman" w:hAnsi="Times New Roman" w:cs="Times New Roman"/>
                <w:b/>
                <w:i/>
                <w:sz w:val="24"/>
                <w:szCs w:val="24"/>
              </w:rPr>
            </w:pPr>
            <w:r w:rsidRPr="004B3881">
              <w:rPr>
                <w:rFonts w:ascii="Times New Roman" w:hAnsi="Times New Roman" w:cs="Times New Roman"/>
                <w:b/>
                <w:i/>
                <w:sz w:val="24"/>
                <w:szCs w:val="24"/>
              </w:rPr>
              <w:t>7.5%</w:t>
            </w:r>
          </w:p>
        </w:tc>
      </w:tr>
      <w:tr w:rsidRPr="004B3881" w:rsidR="00D828B9" w14:paraId="4CBD3DE3"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9C06C3" w14:paraId="2AF70E40" w14:textId="77777777">
            <w:pPr>
              <w:spacing w:after="0" w:line="360" w:lineRule="auto"/>
              <w:ind w:firstLine="720"/>
              <w:jc w:val="both"/>
              <w:rPr>
                <w:rFonts w:ascii="Times New Roman" w:hAnsi="Times New Roman" w:cs="Times New Roman"/>
                <w:i/>
                <w:sz w:val="24"/>
                <w:szCs w:val="24"/>
              </w:rPr>
            </w:pPr>
            <w:r w:rsidRPr="004B3881">
              <w:rPr>
                <w:rFonts w:ascii="Times New Roman" w:hAnsi="Times New Roman" w:cs="Times New Roman"/>
                <w:i/>
                <w:sz w:val="24"/>
                <w:szCs w:val="24"/>
              </w:rPr>
              <w:t>Conflict/very poor</w:t>
            </w:r>
          </w:p>
        </w:tc>
        <w:tc>
          <w:tcPr>
            <w:tcW w:w="1998" w:type="dxa"/>
            <w:tcBorders>
              <w:top w:val="nil"/>
              <w:left w:val="nil"/>
              <w:bottom w:val="nil"/>
              <w:right w:val="nil"/>
            </w:tcBorders>
            <w:shd w:val="clear" w:color="auto" w:fill="auto"/>
            <w:vAlign w:val="bottom"/>
          </w:tcPr>
          <w:p w:rsidRPr="004B3881" w:rsidR="00D828B9" w:rsidP="00B71F5B" w:rsidRDefault="009C06C3" w14:paraId="62EA77E0" w14:textId="77777777">
            <w:pPr>
              <w:spacing w:after="0" w:line="360" w:lineRule="auto"/>
              <w:ind w:firstLine="720"/>
              <w:jc w:val="both"/>
              <w:rPr>
                <w:rFonts w:ascii="Times New Roman" w:hAnsi="Times New Roman" w:cs="Times New Roman"/>
                <w:i/>
                <w:sz w:val="24"/>
                <w:szCs w:val="24"/>
              </w:rPr>
            </w:pPr>
            <w:r w:rsidRPr="004B3881">
              <w:rPr>
                <w:rFonts w:ascii="Times New Roman" w:hAnsi="Times New Roman" w:cs="Times New Roman"/>
                <w:i/>
                <w:sz w:val="24"/>
                <w:szCs w:val="24"/>
              </w:rPr>
              <w:t>15%</w:t>
            </w:r>
          </w:p>
        </w:tc>
        <w:tc>
          <w:tcPr>
            <w:tcW w:w="1998" w:type="dxa"/>
            <w:tcBorders>
              <w:top w:val="nil"/>
              <w:left w:val="nil"/>
              <w:bottom w:val="nil"/>
              <w:right w:val="nil"/>
            </w:tcBorders>
            <w:shd w:val="clear" w:color="auto" w:fill="auto"/>
            <w:vAlign w:val="bottom"/>
          </w:tcPr>
          <w:p w:rsidRPr="004B3881" w:rsidR="00D828B9" w:rsidP="00B71F5B" w:rsidRDefault="009C06C3" w14:paraId="5805C948" w14:textId="77777777">
            <w:pPr>
              <w:spacing w:after="0" w:line="360" w:lineRule="auto"/>
              <w:ind w:firstLine="720"/>
              <w:jc w:val="both"/>
              <w:rPr>
                <w:rFonts w:ascii="Times New Roman" w:hAnsi="Times New Roman" w:cs="Times New Roman"/>
                <w:i/>
                <w:sz w:val="24"/>
                <w:szCs w:val="24"/>
              </w:rPr>
            </w:pPr>
            <w:r w:rsidRPr="004B3881">
              <w:rPr>
                <w:rFonts w:ascii="Times New Roman" w:hAnsi="Times New Roman" w:cs="Times New Roman"/>
                <w:i/>
                <w:sz w:val="24"/>
                <w:szCs w:val="24"/>
              </w:rPr>
              <w:t>10%</w:t>
            </w:r>
          </w:p>
        </w:tc>
        <w:tc>
          <w:tcPr>
            <w:tcW w:w="1997" w:type="dxa"/>
            <w:tcBorders>
              <w:top w:val="nil"/>
              <w:left w:val="nil"/>
              <w:bottom w:val="nil"/>
              <w:right w:val="nil"/>
            </w:tcBorders>
            <w:shd w:val="clear" w:color="auto" w:fill="auto"/>
            <w:vAlign w:val="bottom"/>
          </w:tcPr>
          <w:p w:rsidRPr="004B3881" w:rsidR="00D828B9" w:rsidP="00B71F5B" w:rsidRDefault="009C06C3" w14:paraId="7107A120" w14:textId="77777777">
            <w:pPr>
              <w:spacing w:after="0" w:line="360" w:lineRule="auto"/>
              <w:ind w:firstLine="720"/>
              <w:jc w:val="both"/>
              <w:rPr>
                <w:rFonts w:ascii="Times New Roman" w:hAnsi="Times New Roman" w:cs="Times New Roman"/>
                <w:i/>
                <w:sz w:val="24"/>
                <w:szCs w:val="24"/>
              </w:rPr>
            </w:pPr>
            <w:r w:rsidRPr="004B3881">
              <w:rPr>
                <w:rFonts w:ascii="Times New Roman" w:hAnsi="Times New Roman" w:cs="Times New Roman"/>
                <w:i/>
                <w:sz w:val="24"/>
                <w:szCs w:val="24"/>
              </w:rPr>
              <w:t>10%</w:t>
            </w:r>
          </w:p>
        </w:tc>
      </w:tr>
      <w:tr w:rsidRPr="004B3881" w:rsidR="00D828B9" w14:paraId="7A7DA02B"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D828B9" w14:paraId="12FC11A6" w14:textId="77777777">
            <w:pPr>
              <w:spacing w:after="0" w:line="360" w:lineRule="auto"/>
              <w:ind w:firstLine="720"/>
              <w:jc w:val="both"/>
              <w:rPr>
                <w:rFonts w:ascii="Times New Roman" w:hAnsi="Times New Roman" w:cs="Times New Roman"/>
                <w:i/>
                <w:sz w:val="24"/>
                <w:szCs w:val="24"/>
              </w:rPr>
            </w:pPr>
          </w:p>
        </w:tc>
        <w:tc>
          <w:tcPr>
            <w:tcW w:w="1998" w:type="dxa"/>
            <w:tcBorders>
              <w:top w:val="nil"/>
              <w:left w:val="nil"/>
              <w:bottom w:val="nil"/>
              <w:right w:val="nil"/>
            </w:tcBorders>
            <w:shd w:val="clear" w:color="auto" w:fill="auto"/>
            <w:vAlign w:val="bottom"/>
          </w:tcPr>
          <w:p w:rsidRPr="004B3881" w:rsidR="00D828B9" w:rsidP="00B71F5B" w:rsidRDefault="00D828B9" w14:paraId="6B3DBB29" w14:textId="77777777">
            <w:pPr>
              <w:spacing w:after="0" w:line="360" w:lineRule="auto"/>
              <w:ind w:firstLine="720"/>
              <w:jc w:val="both"/>
              <w:rPr>
                <w:rFonts w:ascii="Times New Roman" w:hAnsi="Times New Roman" w:eastAsia="Times New Roman" w:cs="Times New Roman"/>
                <w:i/>
                <w:sz w:val="24"/>
                <w:szCs w:val="24"/>
              </w:rPr>
            </w:pPr>
          </w:p>
        </w:tc>
        <w:tc>
          <w:tcPr>
            <w:tcW w:w="1998" w:type="dxa"/>
            <w:tcBorders>
              <w:top w:val="nil"/>
              <w:left w:val="nil"/>
              <w:bottom w:val="nil"/>
              <w:right w:val="nil"/>
            </w:tcBorders>
            <w:shd w:val="clear" w:color="auto" w:fill="auto"/>
            <w:vAlign w:val="bottom"/>
          </w:tcPr>
          <w:p w:rsidRPr="004B3881" w:rsidR="00D828B9" w:rsidP="00B71F5B" w:rsidRDefault="00D828B9" w14:paraId="3A41F407" w14:textId="77777777">
            <w:pPr>
              <w:spacing w:after="0" w:line="360" w:lineRule="auto"/>
              <w:ind w:firstLine="720"/>
              <w:jc w:val="both"/>
              <w:rPr>
                <w:rFonts w:ascii="Times New Roman" w:hAnsi="Times New Roman" w:eastAsia="Times New Roman" w:cs="Times New Roman"/>
                <w:i/>
                <w:sz w:val="24"/>
                <w:szCs w:val="24"/>
              </w:rPr>
            </w:pPr>
          </w:p>
        </w:tc>
        <w:tc>
          <w:tcPr>
            <w:tcW w:w="1997" w:type="dxa"/>
            <w:tcBorders>
              <w:top w:val="nil"/>
              <w:left w:val="nil"/>
              <w:bottom w:val="nil"/>
              <w:right w:val="nil"/>
            </w:tcBorders>
            <w:shd w:val="clear" w:color="auto" w:fill="auto"/>
            <w:vAlign w:val="bottom"/>
          </w:tcPr>
          <w:p w:rsidRPr="004B3881" w:rsidR="00D828B9" w:rsidP="00B71F5B" w:rsidRDefault="00D828B9" w14:paraId="0F3B8C2F" w14:textId="77777777">
            <w:pPr>
              <w:spacing w:after="0" w:line="360" w:lineRule="auto"/>
              <w:ind w:firstLine="720"/>
              <w:jc w:val="both"/>
              <w:rPr>
                <w:rFonts w:ascii="Times New Roman" w:hAnsi="Times New Roman" w:eastAsia="Times New Roman" w:cs="Times New Roman"/>
                <w:i/>
                <w:sz w:val="24"/>
                <w:szCs w:val="24"/>
              </w:rPr>
            </w:pPr>
          </w:p>
        </w:tc>
      </w:tr>
      <w:tr w:rsidRPr="004B3881" w:rsidR="00D828B9" w14:paraId="133B7FBB"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9C06C3" w14:paraId="40767B32" w14:textId="77777777">
            <w:pPr>
              <w:spacing w:after="0" w:line="360" w:lineRule="auto"/>
              <w:ind w:firstLine="720"/>
              <w:jc w:val="both"/>
              <w:rPr>
                <w:rFonts w:ascii="Times New Roman" w:hAnsi="Times New Roman" w:cs="Times New Roman"/>
                <w:sz w:val="24"/>
                <w:szCs w:val="24"/>
                <w:u w:val="single"/>
              </w:rPr>
            </w:pPr>
            <w:r w:rsidRPr="004B3881">
              <w:rPr>
                <w:rFonts w:ascii="Times New Roman" w:hAnsi="Times New Roman" w:cs="Times New Roman"/>
                <w:sz w:val="24"/>
                <w:szCs w:val="24"/>
                <w:u w:val="single"/>
              </w:rPr>
              <w:t>Derisking Assumptions</w:t>
            </w:r>
          </w:p>
        </w:tc>
        <w:tc>
          <w:tcPr>
            <w:tcW w:w="1998" w:type="dxa"/>
            <w:tcBorders>
              <w:top w:val="nil"/>
              <w:left w:val="nil"/>
              <w:bottom w:val="nil"/>
              <w:right w:val="nil"/>
            </w:tcBorders>
            <w:shd w:val="clear" w:color="auto" w:fill="auto"/>
            <w:vAlign w:val="bottom"/>
          </w:tcPr>
          <w:p w:rsidRPr="004B3881" w:rsidR="00D828B9" w:rsidP="00B71F5B" w:rsidRDefault="00D828B9" w14:paraId="1C610475" w14:textId="77777777">
            <w:pPr>
              <w:spacing w:after="0" w:line="360" w:lineRule="auto"/>
              <w:ind w:firstLine="720"/>
              <w:jc w:val="both"/>
              <w:rPr>
                <w:rFonts w:ascii="Times New Roman" w:hAnsi="Times New Roman" w:cs="Times New Roman"/>
                <w:sz w:val="24"/>
                <w:szCs w:val="24"/>
                <w:u w:val="single"/>
              </w:rPr>
            </w:pPr>
          </w:p>
        </w:tc>
        <w:tc>
          <w:tcPr>
            <w:tcW w:w="1998" w:type="dxa"/>
            <w:tcBorders>
              <w:top w:val="nil"/>
              <w:left w:val="nil"/>
              <w:bottom w:val="nil"/>
              <w:right w:val="nil"/>
            </w:tcBorders>
            <w:shd w:val="clear" w:color="auto" w:fill="auto"/>
            <w:vAlign w:val="bottom"/>
          </w:tcPr>
          <w:p w:rsidRPr="004B3881" w:rsidR="00D828B9" w:rsidP="00B71F5B" w:rsidRDefault="00D828B9" w14:paraId="50F4C76E" w14:textId="77777777">
            <w:pPr>
              <w:spacing w:after="0" w:line="360" w:lineRule="auto"/>
              <w:ind w:firstLine="720"/>
              <w:jc w:val="both"/>
              <w:rPr>
                <w:rFonts w:ascii="Times New Roman" w:hAnsi="Times New Roman" w:eastAsia="Times New Roman" w:cs="Times New Roman"/>
                <w:sz w:val="24"/>
                <w:szCs w:val="24"/>
              </w:rPr>
            </w:pPr>
          </w:p>
        </w:tc>
        <w:tc>
          <w:tcPr>
            <w:tcW w:w="1997" w:type="dxa"/>
            <w:tcBorders>
              <w:top w:val="nil"/>
              <w:left w:val="nil"/>
              <w:bottom w:val="nil"/>
              <w:right w:val="nil"/>
            </w:tcBorders>
            <w:shd w:val="clear" w:color="auto" w:fill="auto"/>
            <w:vAlign w:val="bottom"/>
          </w:tcPr>
          <w:p w:rsidRPr="004B3881" w:rsidR="00D828B9" w:rsidP="00B71F5B" w:rsidRDefault="00D828B9" w14:paraId="5993B960" w14:textId="77777777">
            <w:pPr>
              <w:spacing w:after="0" w:line="360" w:lineRule="auto"/>
              <w:ind w:firstLine="720"/>
              <w:jc w:val="both"/>
              <w:rPr>
                <w:rFonts w:ascii="Times New Roman" w:hAnsi="Times New Roman" w:eastAsia="Times New Roman" w:cs="Times New Roman"/>
                <w:sz w:val="24"/>
                <w:szCs w:val="24"/>
              </w:rPr>
            </w:pPr>
          </w:p>
        </w:tc>
      </w:tr>
      <w:tr w:rsidRPr="004B3881" w:rsidR="00D828B9" w14:paraId="76FB7EED"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9C06C3" w14:paraId="6C9FD2F7"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Private Debt Interest Rate (LMIC)</w:t>
            </w:r>
          </w:p>
        </w:tc>
        <w:tc>
          <w:tcPr>
            <w:tcW w:w="1998" w:type="dxa"/>
            <w:tcBorders>
              <w:top w:val="nil"/>
              <w:left w:val="nil"/>
              <w:bottom w:val="nil"/>
              <w:right w:val="nil"/>
            </w:tcBorders>
            <w:shd w:val="clear" w:color="auto" w:fill="auto"/>
            <w:vAlign w:val="bottom"/>
          </w:tcPr>
          <w:p w:rsidRPr="004B3881" w:rsidR="00D828B9" w:rsidP="00B71F5B" w:rsidRDefault="009C06C3" w14:paraId="4A6D4A1C"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12.5%</w:t>
            </w:r>
          </w:p>
        </w:tc>
        <w:tc>
          <w:tcPr>
            <w:tcW w:w="1998" w:type="dxa"/>
            <w:tcBorders>
              <w:top w:val="nil"/>
              <w:left w:val="nil"/>
              <w:bottom w:val="nil"/>
              <w:right w:val="nil"/>
            </w:tcBorders>
            <w:shd w:val="clear" w:color="auto" w:fill="auto"/>
            <w:vAlign w:val="bottom"/>
          </w:tcPr>
          <w:p w:rsidRPr="004B3881" w:rsidR="00D828B9" w:rsidP="00B71F5B" w:rsidRDefault="009C06C3" w14:paraId="5DC10217"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12.5%</w:t>
            </w:r>
          </w:p>
        </w:tc>
        <w:tc>
          <w:tcPr>
            <w:tcW w:w="1997" w:type="dxa"/>
            <w:tcBorders>
              <w:top w:val="nil"/>
              <w:left w:val="nil"/>
              <w:bottom w:val="nil"/>
              <w:right w:val="nil"/>
            </w:tcBorders>
            <w:shd w:val="clear" w:color="auto" w:fill="auto"/>
            <w:vAlign w:val="bottom"/>
          </w:tcPr>
          <w:p w:rsidRPr="004B3881" w:rsidR="00D828B9" w:rsidP="00B71F5B" w:rsidRDefault="009C06C3" w14:paraId="507A181A"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12.5%</w:t>
            </w:r>
          </w:p>
        </w:tc>
      </w:tr>
      <w:tr w:rsidRPr="004B3881" w:rsidR="00D828B9" w14:paraId="251FA80C"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9C06C3" w14:paraId="29413000"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Reduction due to guarantees of PPA</w:t>
            </w:r>
          </w:p>
        </w:tc>
        <w:tc>
          <w:tcPr>
            <w:tcW w:w="1998" w:type="dxa"/>
            <w:tcBorders>
              <w:top w:val="nil"/>
              <w:left w:val="nil"/>
              <w:bottom w:val="nil"/>
              <w:right w:val="nil"/>
            </w:tcBorders>
            <w:shd w:val="clear" w:color="auto" w:fill="auto"/>
            <w:vAlign w:val="bottom"/>
          </w:tcPr>
          <w:p w:rsidRPr="004B3881" w:rsidR="00D828B9" w:rsidP="00B71F5B" w:rsidRDefault="00D828B9" w14:paraId="44DB4B0A" w14:textId="77777777">
            <w:pPr>
              <w:spacing w:after="0" w:line="360" w:lineRule="auto"/>
              <w:ind w:firstLine="720"/>
              <w:jc w:val="both"/>
              <w:rPr>
                <w:rFonts w:ascii="Times New Roman" w:hAnsi="Times New Roman" w:cs="Times New Roman"/>
                <w:sz w:val="24"/>
                <w:szCs w:val="24"/>
              </w:rPr>
            </w:pPr>
          </w:p>
        </w:tc>
        <w:tc>
          <w:tcPr>
            <w:tcW w:w="1998" w:type="dxa"/>
            <w:tcBorders>
              <w:top w:val="nil"/>
              <w:left w:val="nil"/>
              <w:bottom w:val="nil"/>
              <w:right w:val="nil"/>
            </w:tcBorders>
            <w:shd w:val="clear" w:color="auto" w:fill="auto"/>
            <w:vAlign w:val="bottom"/>
          </w:tcPr>
          <w:p w:rsidRPr="004B3881" w:rsidR="00D828B9" w:rsidP="00B71F5B" w:rsidRDefault="009C06C3" w14:paraId="2BDA8CB6"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-2%</w:t>
            </w:r>
          </w:p>
        </w:tc>
        <w:tc>
          <w:tcPr>
            <w:tcW w:w="1997" w:type="dxa"/>
            <w:tcBorders>
              <w:top w:val="nil"/>
              <w:left w:val="nil"/>
              <w:bottom w:val="nil"/>
              <w:right w:val="nil"/>
            </w:tcBorders>
            <w:shd w:val="clear" w:color="auto" w:fill="auto"/>
            <w:vAlign w:val="bottom"/>
          </w:tcPr>
          <w:p w:rsidRPr="004B3881" w:rsidR="00D828B9" w:rsidP="00B71F5B" w:rsidRDefault="009C06C3" w14:paraId="7A54DFEE"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-2%</w:t>
            </w:r>
          </w:p>
        </w:tc>
      </w:tr>
      <w:tr w:rsidRPr="004B3881" w:rsidR="00D828B9" w14:paraId="7CD1D959" w14:textId="77777777">
        <w:trPr>
          <w:trHeight w:val="765"/>
        </w:trPr>
        <w:tc>
          <w:tcPr>
            <w:tcW w:w="3367" w:type="dxa"/>
            <w:tcBorders>
              <w:top w:val="nil"/>
              <w:left w:val="nil"/>
              <w:bottom w:val="nil"/>
              <w:right w:val="nil"/>
            </w:tcBorders>
            <w:shd w:val="clear" w:color="auto" w:fill="auto"/>
            <w:vAlign w:val="bottom"/>
          </w:tcPr>
          <w:p w:rsidRPr="004B3881" w:rsidR="00D828B9" w:rsidP="00B71F5B" w:rsidRDefault="009C06C3" w14:paraId="4A7E8E21"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Reduction in risk due to securitization of PPA through SPV and creation of the green bond</w:t>
            </w:r>
          </w:p>
        </w:tc>
        <w:tc>
          <w:tcPr>
            <w:tcW w:w="1998" w:type="dxa"/>
            <w:tcBorders>
              <w:top w:val="nil"/>
              <w:left w:val="nil"/>
              <w:bottom w:val="nil"/>
              <w:right w:val="nil"/>
            </w:tcBorders>
            <w:shd w:val="clear" w:color="auto" w:fill="auto"/>
            <w:vAlign w:val="bottom"/>
          </w:tcPr>
          <w:p w:rsidRPr="004B3881" w:rsidR="00D828B9" w:rsidP="00B71F5B" w:rsidRDefault="00D828B9" w14:paraId="741F638C" w14:textId="77777777">
            <w:pPr>
              <w:spacing w:after="0" w:line="360" w:lineRule="auto"/>
              <w:ind w:firstLine="720"/>
              <w:jc w:val="both"/>
              <w:rPr>
                <w:rFonts w:ascii="Times New Roman" w:hAnsi="Times New Roman" w:cs="Times New Roman"/>
                <w:sz w:val="24"/>
                <w:szCs w:val="24"/>
              </w:rPr>
            </w:pPr>
          </w:p>
        </w:tc>
        <w:tc>
          <w:tcPr>
            <w:tcW w:w="1998" w:type="dxa"/>
            <w:tcBorders>
              <w:top w:val="nil"/>
              <w:left w:val="nil"/>
              <w:bottom w:val="nil"/>
              <w:right w:val="nil"/>
            </w:tcBorders>
            <w:shd w:val="clear" w:color="auto" w:fill="auto"/>
            <w:vAlign w:val="bottom"/>
          </w:tcPr>
          <w:p w:rsidRPr="004B3881" w:rsidR="00D828B9" w:rsidP="00B71F5B" w:rsidRDefault="009C06C3" w14:paraId="733AF0B6"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-2%</w:t>
            </w:r>
          </w:p>
        </w:tc>
        <w:tc>
          <w:tcPr>
            <w:tcW w:w="1997" w:type="dxa"/>
            <w:tcBorders>
              <w:top w:val="nil"/>
              <w:left w:val="nil"/>
              <w:bottom w:val="nil"/>
              <w:right w:val="nil"/>
            </w:tcBorders>
            <w:shd w:val="clear" w:color="auto" w:fill="auto"/>
            <w:vAlign w:val="bottom"/>
          </w:tcPr>
          <w:p w:rsidRPr="004B3881" w:rsidR="00D828B9" w:rsidP="00B71F5B" w:rsidRDefault="009C06C3" w14:paraId="373163E3"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-2%</w:t>
            </w:r>
          </w:p>
        </w:tc>
      </w:tr>
      <w:tr w:rsidRPr="004B3881" w:rsidR="00D828B9" w14:paraId="12D9D32B" w14:textId="77777777">
        <w:trPr>
          <w:trHeight w:val="765"/>
        </w:trPr>
        <w:tc>
          <w:tcPr>
            <w:tcW w:w="3367" w:type="dxa"/>
            <w:tcBorders>
              <w:top w:val="nil"/>
              <w:left w:val="nil"/>
              <w:bottom w:val="nil"/>
              <w:right w:val="nil"/>
            </w:tcBorders>
            <w:shd w:val="clear" w:color="auto" w:fill="auto"/>
            <w:vAlign w:val="bottom"/>
          </w:tcPr>
          <w:p w:rsidRPr="004B3881" w:rsidR="00D828B9" w:rsidP="00B71F5B" w:rsidRDefault="009C06C3" w14:paraId="198C1C07"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Reduction in risk due to political risk guarantees</w:t>
            </w:r>
          </w:p>
        </w:tc>
        <w:tc>
          <w:tcPr>
            <w:tcW w:w="1998" w:type="dxa"/>
            <w:tcBorders>
              <w:top w:val="nil"/>
              <w:left w:val="nil"/>
              <w:bottom w:val="nil"/>
              <w:right w:val="nil"/>
            </w:tcBorders>
            <w:shd w:val="clear" w:color="auto" w:fill="auto"/>
            <w:vAlign w:val="bottom"/>
          </w:tcPr>
          <w:p w:rsidRPr="004B3881" w:rsidR="00D828B9" w:rsidP="00B71F5B" w:rsidRDefault="00D828B9" w14:paraId="2F1BF337" w14:textId="77777777">
            <w:pPr>
              <w:spacing w:after="0" w:line="360" w:lineRule="auto"/>
              <w:ind w:firstLine="720"/>
              <w:jc w:val="both"/>
              <w:rPr>
                <w:rFonts w:ascii="Times New Roman" w:hAnsi="Times New Roman" w:cs="Times New Roman"/>
                <w:sz w:val="24"/>
                <w:szCs w:val="24"/>
              </w:rPr>
            </w:pPr>
          </w:p>
        </w:tc>
        <w:tc>
          <w:tcPr>
            <w:tcW w:w="1998" w:type="dxa"/>
            <w:tcBorders>
              <w:top w:val="nil"/>
              <w:left w:val="nil"/>
              <w:bottom w:val="nil"/>
              <w:right w:val="nil"/>
            </w:tcBorders>
            <w:shd w:val="clear" w:color="auto" w:fill="auto"/>
            <w:vAlign w:val="bottom"/>
          </w:tcPr>
          <w:p w:rsidRPr="004B3881" w:rsidR="00D828B9" w:rsidP="00B71F5B" w:rsidRDefault="009C06C3" w14:paraId="5E4E4112"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-1%</w:t>
            </w:r>
          </w:p>
        </w:tc>
        <w:tc>
          <w:tcPr>
            <w:tcW w:w="1997" w:type="dxa"/>
            <w:tcBorders>
              <w:top w:val="nil"/>
              <w:left w:val="nil"/>
              <w:bottom w:val="nil"/>
              <w:right w:val="nil"/>
            </w:tcBorders>
            <w:shd w:val="clear" w:color="auto" w:fill="auto"/>
            <w:vAlign w:val="bottom"/>
          </w:tcPr>
          <w:p w:rsidRPr="004B3881" w:rsidR="00D828B9" w:rsidP="00B71F5B" w:rsidRDefault="009C06C3" w14:paraId="7B23434D"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-1%</w:t>
            </w:r>
          </w:p>
        </w:tc>
      </w:tr>
      <w:tr w:rsidRPr="004B3881" w:rsidR="00D828B9" w14:paraId="69519828" w14:textId="77777777">
        <w:trPr>
          <w:trHeight w:val="255"/>
        </w:trPr>
        <w:tc>
          <w:tcPr>
            <w:tcW w:w="3367" w:type="dxa"/>
            <w:tcBorders>
              <w:top w:val="nil"/>
              <w:left w:val="nil"/>
              <w:bottom w:val="nil"/>
              <w:right w:val="nil"/>
            </w:tcBorders>
            <w:shd w:val="clear" w:color="auto" w:fill="auto"/>
            <w:vAlign w:val="bottom"/>
          </w:tcPr>
          <w:p w:rsidRPr="004B3881" w:rsidR="00D828B9" w:rsidP="00B71F5B" w:rsidRDefault="009C06C3" w14:paraId="4986C534"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Final debt interest rate</w:t>
            </w:r>
          </w:p>
        </w:tc>
        <w:tc>
          <w:tcPr>
            <w:tcW w:w="1998" w:type="dxa"/>
            <w:tcBorders>
              <w:top w:val="nil"/>
              <w:left w:val="nil"/>
              <w:bottom w:val="nil"/>
              <w:right w:val="nil"/>
            </w:tcBorders>
            <w:shd w:val="clear" w:color="auto" w:fill="auto"/>
            <w:vAlign w:val="bottom"/>
          </w:tcPr>
          <w:p w:rsidRPr="004B3881" w:rsidR="00D828B9" w:rsidP="00B71F5B" w:rsidRDefault="009C06C3" w14:paraId="524838A7"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12.5%</w:t>
            </w:r>
          </w:p>
        </w:tc>
        <w:tc>
          <w:tcPr>
            <w:tcW w:w="1998" w:type="dxa"/>
            <w:tcBorders>
              <w:top w:val="nil"/>
              <w:left w:val="nil"/>
              <w:bottom w:val="nil"/>
              <w:right w:val="nil"/>
            </w:tcBorders>
            <w:shd w:val="clear" w:color="auto" w:fill="auto"/>
            <w:vAlign w:val="bottom"/>
          </w:tcPr>
          <w:p w:rsidRPr="004B3881" w:rsidR="00D828B9" w:rsidP="00B71F5B" w:rsidRDefault="009C06C3" w14:paraId="37B23390"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7.5%</w:t>
            </w:r>
          </w:p>
        </w:tc>
        <w:tc>
          <w:tcPr>
            <w:tcW w:w="1997" w:type="dxa"/>
            <w:tcBorders>
              <w:top w:val="nil"/>
              <w:left w:val="nil"/>
              <w:bottom w:val="nil"/>
              <w:right w:val="nil"/>
            </w:tcBorders>
            <w:shd w:val="clear" w:color="auto" w:fill="auto"/>
            <w:vAlign w:val="bottom"/>
          </w:tcPr>
          <w:p w:rsidRPr="004B3881" w:rsidR="00D828B9" w:rsidP="00B71F5B" w:rsidRDefault="009C06C3" w14:paraId="4A70ED6F"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7.5%</w:t>
            </w:r>
          </w:p>
        </w:tc>
      </w:tr>
    </w:tbl>
    <w:p w:rsidRPr="004B3881" w:rsidR="00D828B9" w:rsidP="00B71F5B" w:rsidRDefault="00D828B9" w14:paraId="7A4738C1" w14:textId="77777777">
      <w:pPr>
        <w:spacing w:line="360" w:lineRule="auto"/>
        <w:ind w:firstLine="720"/>
        <w:jc w:val="both"/>
        <w:rPr>
          <w:rFonts w:ascii="Times New Roman" w:hAnsi="Times New Roman" w:cs="Times New Roman"/>
          <w:sz w:val="24"/>
          <w:szCs w:val="24"/>
        </w:rPr>
      </w:pPr>
    </w:p>
    <w:p w:rsidRPr="004B3881" w:rsidR="00D828B9" w:rsidP="00B71F5B" w:rsidRDefault="009C06C3" w14:paraId="1959387B" w14:textId="77777777">
      <w:pPr>
        <w:spacing w:line="360" w:lineRule="auto"/>
        <w:ind w:firstLine="720"/>
        <w:rPr>
          <w:rFonts w:ascii="Times New Roman" w:hAnsi="Times New Roman" w:cs="Times New Roman"/>
          <w:sz w:val="24"/>
          <w:szCs w:val="24"/>
        </w:rPr>
      </w:pPr>
      <w:r w:rsidRPr="004B3881">
        <w:rPr>
          <w:rFonts w:ascii="Times New Roman" w:hAnsi="Times New Roman" w:cs="Times New Roman"/>
          <w:sz w:val="24"/>
          <w:szCs w:val="24"/>
        </w:rPr>
        <w:br w:type="page"/>
      </w:r>
    </w:p>
    <w:p w:rsidRPr="004B3881" w:rsidR="00D828B9" w:rsidP="00B71F5B" w:rsidRDefault="009C06C3" w14:paraId="0ED87D9C" w14:textId="77777777">
      <w:pPr>
        <w:spacing w:line="360" w:lineRule="auto"/>
        <w:ind w:firstLine="720"/>
        <w:rPr>
          <w:rFonts w:ascii="Times New Roman" w:hAnsi="Times New Roman" w:cs="Times New Roman"/>
          <w:sz w:val="24"/>
          <w:szCs w:val="24"/>
        </w:rPr>
      </w:pPr>
      <w:r w:rsidRPr="004B3881">
        <w:rPr>
          <w:rFonts w:ascii="Times New Roman" w:hAnsi="Times New Roman" w:cs="Times New Roman"/>
          <w:sz w:val="24"/>
          <w:szCs w:val="24"/>
        </w:rPr>
        <w:lastRenderedPageBreak/>
        <w:t>Let’s now make some assumptions on the debt interest rate and how derisking could reduce this. The consequences are as follows for the financial characteristics of the project. As we can see, if we assume that the project has the same PPA (a strong assumption for sure), the project with derisking would be much more profitable than before. Rather than pass this on in reduced energy costs, we believe that some of this should help scale up a shared equity fund that is the final loss-absorber for any long-term risks. Once the fund has done its work, the profits would be shared with the people of developing countries through village-level infrastructure provision or per person payments at the end of the fund’s life (20 years in the future).  It’s important to stress that the scheme is likely to produce a mixture of the second and third outcomes: some reduction in the cost of renewables and some increase in profitability.</w:t>
      </w:r>
    </w:p>
    <w:tbl>
      <w:tblPr>
        <w:tblStyle w:val="a0"/>
        <w:tblW w:w="9360" w:type="dxa"/>
        <w:tblLayout w:type="fixed"/>
        <w:tblLook w:val="0400" w:firstRow="0" w:lastRow="0" w:firstColumn="0" w:lastColumn="0" w:noHBand="0" w:noVBand="1"/>
      </w:tblPr>
      <w:tblGrid>
        <w:gridCol w:w="2692"/>
        <w:gridCol w:w="2221"/>
        <w:gridCol w:w="2221"/>
        <w:gridCol w:w="2226"/>
      </w:tblGrid>
      <w:tr w:rsidRPr="004B3881" w:rsidR="00D828B9" w14:paraId="08B92EBD" w14:textId="77777777">
        <w:trPr>
          <w:trHeight w:val="255"/>
        </w:trPr>
        <w:tc>
          <w:tcPr>
            <w:tcW w:w="2692" w:type="dxa"/>
            <w:tcBorders>
              <w:top w:val="nil"/>
              <w:left w:val="nil"/>
              <w:bottom w:val="nil"/>
              <w:right w:val="nil"/>
            </w:tcBorders>
            <w:shd w:val="clear" w:color="auto" w:fill="auto"/>
            <w:vAlign w:val="bottom"/>
          </w:tcPr>
          <w:p w:rsidRPr="004B3881" w:rsidR="00D828B9" w:rsidP="00B71F5B" w:rsidRDefault="009C06C3" w14:paraId="2257829F" w14:textId="77777777">
            <w:pPr>
              <w:spacing w:after="0" w:line="360" w:lineRule="auto"/>
              <w:ind w:firstLine="720"/>
              <w:jc w:val="both"/>
              <w:rPr>
                <w:rFonts w:ascii="Times New Roman" w:hAnsi="Times New Roman" w:cs="Times New Roman"/>
                <w:sz w:val="24"/>
                <w:szCs w:val="24"/>
                <w:u w:val="single"/>
              </w:rPr>
            </w:pPr>
            <w:r w:rsidRPr="004B3881">
              <w:rPr>
                <w:rFonts w:ascii="Times New Roman" w:hAnsi="Times New Roman" w:cs="Times New Roman"/>
                <w:sz w:val="24"/>
                <w:szCs w:val="24"/>
                <w:u w:val="single"/>
              </w:rPr>
              <w:t>Power Pricing Assumption</w:t>
            </w:r>
          </w:p>
        </w:tc>
        <w:tc>
          <w:tcPr>
            <w:tcW w:w="2221" w:type="dxa"/>
            <w:tcBorders>
              <w:top w:val="nil"/>
              <w:left w:val="nil"/>
              <w:bottom w:val="nil"/>
              <w:right w:val="nil"/>
            </w:tcBorders>
            <w:shd w:val="clear" w:color="auto" w:fill="auto"/>
            <w:vAlign w:val="bottom"/>
          </w:tcPr>
          <w:p w:rsidRPr="004B3881" w:rsidR="00D828B9" w:rsidP="00B71F5B" w:rsidRDefault="00D828B9" w14:paraId="123AC30A" w14:textId="77777777">
            <w:pPr>
              <w:spacing w:after="0" w:line="360" w:lineRule="auto"/>
              <w:ind w:firstLine="720"/>
              <w:jc w:val="both"/>
              <w:rPr>
                <w:rFonts w:ascii="Times New Roman" w:hAnsi="Times New Roman" w:cs="Times New Roman"/>
                <w:sz w:val="24"/>
                <w:szCs w:val="24"/>
                <w:u w:val="single"/>
              </w:rPr>
            </w:pPr>
          </w:p>
        </w:tc>
        <w:tc>
          <w:tcPr>
            <w:tcW w:w="2221" w:type="dxa"/>
            <w:tcBorders>
              <w:top w:val="nil"/>
              <w:left w:val="nil"/>
              <w:bottom w:val="nil"/>
              <w:right w:val="nil"/>
            </w:tcBorders>
            <w:shd w:val="clear" w:color="auto" w:fill="auto"/>
            <w:vAlign w:val="bottom"/>
          </w:tcPr>
          <w:p w:rsidRPr="004B3881" w:rsidR="00D828B9" w:rsidP="00B71F5B" w:rsidRDefault="00D828B9" w14:paraId="73590FBA" w14:textId="77777777">
            <w:pPr>
              <w:spacing w:after="0" w:line="360" w:lineRule="auto"/>
              <w:ind w:firstLine="720"/>
              <w:jc w:val="both"/>
              <w:rPr>
                <w:rFonts w:ascii="Times New Roman" w:hAnsi="Times New Roman" w:eastAsia="Times New Roman" w:cs="Times New Roman"/>
                <w:sz w:val="24"/>
                <w:szCs w:val="24"/>
              </w:rPr>
            </w:pPr>
          </w:p>
        </w:tc>
        <w:tc>
          <w:tcPr>
            <w:tcW w:w="2226" w:type="dxa"/>
            <w:tcBorders>
              <w:top w:val="nil"/>
              <w:left w:val="nil"/>
              <w:bottom w:val="nil"/>
              <w:right w:val="nil"/>
            </w:tcBorders>
            <w:shd w:val="clear" w:color="auto" w:fill="auto"/>
            <w:vAlign w:val="bottom"/>
          </w:tcPr>
          <w:p w:rsidRPr="004B3881" w:rsidR="00D828B9" w:rsidP="00B71F5B" w:rsidRDefault="00D828B9" w14:paraId="3ABD3C25" w14:textId="77777777">
            <w:pPr>
              <w:spacing w:after="0" w:line="360" w:lineRule="auto"/>
              <w:ind w:firstLine="720"/>
              <w:jc w:val="both"/>
              <w:rPr>
                <w:rFonts w:ascii="Times New Roman" w:hAnsi="Times New Roman" w:eastAsia="Times New Roman" w:cs="Times New Roman"/>
                <w:sz w:val="24"/>
                <w:szCs w:val="24"/>
              </w:rPr>
            </w:pPr>
          </w:p>
        </w:tc>
      </w:tr>
      <w:tr w:rsidRPr="004B3881" w:rsidR="00D828B9" w14:paraId="1A605196" w14:textId="77777777">
        <w:trPr>
          <w:trHeight w:val="255"/>
        </w:trPr>
        <w:tc>
          <w:tcPr>
            <w:tcW w:w="2692" w:type="dxa"/>
            <w:tcBorders>
              <w:top w:val="nil"/>
              <w:left w:val="nil"/>
              <w:bottom w:val="nil"/>
              <w:right w:val="nil"/>
            </w:tcBorders>
            <w:shd w:val="clear" w:color="auto" w:fill="auto"/>
            <w:vAlign w:val="bottom"/>
          </w:tcPr>
          <w:p w:rsidRPr="004B3881" w:rsidR="00D828B9" w:rsidP="00B71F5B" w:rsidRDefault="009C06C3" w14:paraId="4342AD3A"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Power Price USD/MWh</w:t>
            </w:r>
          </w:p>
        </w:tc>
        <w:tc>
          <w:tcPr>
            <w:tcW w:w="2221" w:type="dxa"/>
            <w:tcBorders>
              <w:top w:val="nil"/>
              <w:left w:val="nil"/>
              <w:bottom w:val="nil"/>
              <w:right w:val="nil"/>
            </w:tcBorders>
            <w:shd w:val="clear" w:color="auto" w:fill="auto"/>
            <w:vAlign w:val="bottom"/>
          </w:tcPr>
          <w:p w:rsidRPr="004B3881" w:rsidR="00D828B9" w:rsidP="00B71F5B" w:rsidRDefault="009C06C3" w14:paraId="6FFC561F"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74 </w:t>
            </w:r>
          </w:p>
        </w:tc>
        <w:tc>
          <w:tcPr>
            <w:tcW w:w="2221" w:type="dxa"/>
            <w:tcBorders>
              <w:top w:val="nil"/>
              <w:left w:val="nil"/>
              <w:bottom w:val="nil"/>
              <w:right w:val="nil"/>
            </w:tcBorders>
            <w:shd w:val="clear" w:color="auto" w:fill="auto"/>
            <w:vAlign w:val="bottom"/>
          </w:tcPr>
          <w:p w:rsidRPr="004B3881" w:rsidR="00D828B9" w:rsidP="00B71F5B" w:rsidRDefault="009C06C3" w14:paraId="3E80CB1D"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74 </w:t>
            </w:r>
          </w:p>
        </w:tc>
        <w:tc>
          <w:tcPr>
            <w:tcW w:w="2226" w:type="dxa"/>
            <w:tcBorders>
              <w:top w:val="nil"/>
              <w:left w:val="nil"/>
              <w:bottom w:val="nil"/>
              <w:right w:val="nil"/>
            </w:tcBorders>
            <w:shd w:val="clear" w:color="auto" w:fill="auto"/>
            <w:vAlign w:val="bottom"/>
          </w:tcPr>
          <w:p w:rsidRPr="004B3881" w:rsidR="00D828B9" w:rsidP="00B71F5B" w:rsidRDefault="009C06C3" w14:paraId="6DFCE815"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51 </w:t>
            </w:r>
          </w:p>
        </w:tc>
      </w:tr>
      <w:tr w:rsidRPr="004B3881" w:rsidR="00D828B9" w14:paraId="2048E9DC" w14:textId="77777777">
        <w:trPr>
          <w:trHeight w:val="255"/>
        </w:trPr>
        <w:tc>
          <w:tcPr>
            <w:tcW w:w="2692" w:type="dxa"/>
            <w:tcBorders>
              <w:top w:val="nil"/>
              <w:left w:val="nil"/>
              <w:bottom w:val="nil"/>
              <w:right w:val="nil"/>
            </w:tcBorders>
            <w:shd w:val="clear" w:color="auto" w:fill="auto"/>
            <w:vAlign w:val="bottom"/>
          </w:tcPr>
          <w:p w:rsidRPr="004B3881" w:rsidR="00D828B9" w:rsidP="00B71F5B" w:rsidRDefault="009C06C3" w14:paraId="7C26A6F4"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Power Price USD/kWh</w:t>
            </w:r>
          </w:p>
        </w:tc>
        <w:tc>
          <w:tcPr>
            <w:tcW w:w="2221" w:type="dxa"/>
            <w:tcBorders>
              <w:top w:val="nil"/>
              <w:left w:val="nil"/>
              <w:bottom w:val="nil"/>
              <w:right w:val="nil"/>
            </w:tcBorders>
            <w:shd w:val="clear" w:color="auto" w:fill="auto"/>
            <w:vAlign w:val="bottom"/>
          </w:tcPr>
          <w:p w:rsidRPr="004B3881" w:rsidR="00D828B9" w:rsidP="00B71F5B" w:rsidRDefault="009C06C3" w14:paraId="71DFD912"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0.07 </w:t>
            </w:r>
          </w:p>
        </w:tc>
        <w:tc>
          <w:tcPr>
            <w:tcW w:w="2221" w:type="dxa"/>
            <w:tcBorders>
              <w:top w:val="nil"/>
              <w:left w:val="nil"/>
              <w:bottom w:val="nil"/>
              <w:right w:val="nil"/>
            </w:tcBorders>
            <w:shd w:val="clear" w:color="auto" w:fill="auto"/>
            <w:vAlign w:val="bottom"/>
          </w:tcPr>
          <w:p w:rsidRPr="004B3881" w:rsidR="00D828B9" w:rsidP="00B71F5B" w:rsidRDefault="009C06C3" w14:paraId="33978040"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0.07 </w:t>
            </w:r>
          </w:p>
        </w:tc>
        <w:tc>
          <w:tcPr>
            <w:tcW w:w="2226" w:type="dxa"/>
            <w:tcBorders>
              <w:top w:val="nil"/>
              <w:left w:val="nil"/>
              <w:bottom w:val="nil"/>
              <w:right w:val="nil"/>
            </w:tcBorders>
            <w:shd w:val="clear" w:color="auto" w:fill="auto"/>
            <w:vAlign w:val="bottom"/>
          </w:tcPr>
          <w:p w:rsidRPr="004B3881" w:rsidR="00D828B9" w:rsidP="00B71F5B" w:rsidRDefault="009C06C3" w14:paraId="561FE2B4"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0.05 </w:t>
            </w:r>
          </w:p>
        </w:tc>
      </w:tr>
      <w:tr w:rsidRPr="004B3881" w:rsidR="00D828B9" w14:paraId="4E3725D6" w14:textId="77777777">
        <w:trPr>
          <w:trHeight w:val="255"/>
        </w:trPr>
        <w:tc>
          <w:tcPr>
            <w:tcW w:w="2692" w:type="dxa"/>
            <w:tcBorders>
              <w:top w:val="nil"/>
              <w:left w:val="nil"/>
              <w:bottom w:val="nil"/>
              <w:right w:val="nil"/>
            </w:tcBorders>
            <w:shd w:val="clear" w:color="auto" w:fill="auto"/>
            <w:vAlign w:val="bottom"/>
          </w:tcPr>
          <w:p w:rsidRPr="004B3881" w:rsidR="00D828B9" w:rsidP="00B71F5B" w:rsidRDefault="009C06C3" w14:paraId="284067ED"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Revenues</w:t>
            </w:r>
          </w:p>
        </w:tc>
        <w:tc>
          <w:tcPr>
            <w:tcW w:w="2221" w:type="dxa"/>
            <w:tcBorders>
              <w:top w:val="nil"/>
              <w:left w:val="nil"/>
              <w:bottom w:val="nil"/>
              <w:right w:val="nil"/>
            </w:tcBorders>
            <w:shd w:val="clear" w:color="auto" w:fill="auto"/>
            <w:vAlign w:val="bottom"/>
          </w:tcPr>
          <w:p w:rsidRPr="004B3881" w:rsidR="00D828B9" w:rsidP="00B71F5B" w:rsidRDefault="009C06C3" w14:paraId="49DFC21E"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 xml:space="preserve"> $                             130,000 </w:t>
            </w:r>
          </w:p>
        </w:tc>
        <w:tc>
          <w:tcPr>
            <w:tcW w:w="2221" w:type="dxa"/>
            <w:tcBorders>
              <w:top w:val="nil"/>
              <w:left w:val="nil"/>
              <w:bottom w:val="nil"/>
              <w:right w:val="nil"/>
            </w:tcBorders>
            <w:shd w:val="clear" w:color="auto" w:fill="auto"/>
            <w:vAlign w:val="bottom"/>
          </w:tcPr>
          <w:p w:rsidRPr="004B3881" w:rsidR="00D828B9" w:rsidP="00B71F5B" w:rsidRDefault="009C06C3" w14:paraId="2826DCA1"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 xml:space="preserve"> $                             130,000 </w:t>
            </w:r>
          </w:p>
        </w:tc>
        <w:tc>
          <w:tcPr>
            <w:tcW w:w="2226" w:type="dxa"/>
            <w:tcBorders>
              <w:top w:val="nil"/>
              <w:left w:val="nil"/>
              <w:bottom w:val="nil"/>
              <w:right w:val="nil"/>
            </w:tcBorders>
            <w:shd w:val="clear" w:color="auto" w:fill="auto"/>
            <w:vAlign w:val="bottom"/>
          </w:tcPr>
          <w:p w:rsidRPr="004B3881" w:rsidR="00D828B9" w:rsidP="00B71F5B" w:rsidRDefault="009C06C3" w14:paraId="75EADD42"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 xml:space="preserve"> $                               90,000 </w:t>
            </w:r>
          </w:p>
        </w:tc>
      </w:tr>
      <w:tr w:rsidRPr="004B3881" w:rsidR="00D828B9" w14:paraId="7E5DCB20" w14:textId="77777777">
        <w:trPr>
          <w:trHeight w:val="375"/>
        </w:trPr>
        <w:tc>
          <w:tcPr>
            <w:tcW w:w="2692" w:type="dxa"/>
            <w:tcBorders>
              <w:top w:val="nil"/>
              <w:left w:val="nil"/>
              <w:bottom w:val="nil"/>
              <w:right w:val="nil"/>
            </w:tcBorders>
            <w:shd w:val="clear" w:color="auto" w:fill="auto"/>
            <w:vAlign w:val="bottom"/>
          </w:tcPr>
          <w:p w:rsidRPr="004B3881" w:rsidR="00D828B9" w:rsidP="00B71F5B" w:rsidRDefault="009C06C3" w14:paraId="34B35C22"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Proportion of Debt</w:t>
            </w:r>
          </w:p>
        </w:tc>
        <w:tc>
          <w:tcPr>
            <w:tcW w:w="2221" w:type="dxa"/>
            <w:tcBorders>
              <w:top w:val="nil"/>
              <w:left w:val="nil"/>
              <w:bottom w:val="nil"/>
              <w:right w:val="nil"/>
            </w:tcBorders>
            <w:shd w:val="clear" w:color="auto" w:fill="auto"/>
            <w:vAlign w:val="bottom"/>
          </w:tcPr>
          <w:p w:rsidRPr="004B3881" w:rsidR="00D828B9" w:rsidP="00B71F5B" w:rsidRDefault="009C06C3" w14:paraId="5FE25293"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80%</w:t>
            </w:r>
          </w:p>
        </w:tc>
        <w:tc>
          <w:tcPr>
            <w:tcW w:w="2221" w:type="dxa"/>
            <w:tcBorders>
              <w:top w:val="nil"/>
              <w:left w:val="nil"/>
              <w:bottom w:val="nil"/>
              <w:right w:val="nil"/>
            </w:tcBorders>
            <w:shd w:val="clear" w:color="auto" w:fill="auto"/>
            <w:vAlign w:val="bottom"/>
          </w:tcPr>
          <w:p w:rsidRPr="004B3881" w:rsidR="00D828B9" w:rsidP="00B71F5B" w:rsidRDefault="009C06C3" w14:paraId="0886C386"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80%</w:t>
            </w:r>
          </w:p>
        </w:tc>
        <w:tc>
          <w:tcPr>
            <w:tcW w:w="2226" w:type="dxa"/>
            <w:tcBorders>
              <w:top w:val="nil"/>
              <w:left w:val="nil"/>
              <w:bottom w:val="nil"/>
              <w:right w:val="nil"/>
            </w:tcBorders>
            <w:shd w:val="clear" w:color="auto" w:fill="auto"/>
            <w:vAlign w:val="bottom"/>
          </w:tcPr>
          <w:p w:rsidRPr="004B3881" w:rsidR="00D828B9" w:rsidP="00B71F5B" w:rsidRDefault="009C06C3" w14:paraId="3507914B"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80%</w:t>
            </w:r>
          </w:p>
        </w:tc>
      </w:tr>
      <w:tr w:rsidRPr="004B3881" w:rsidR="00D828B9" w14:paraId="16F4806B" w14:textId="77777777">
        <w:trPr>
          <w:trHeight w:val="255"/>
        </w:trPr>
        <w:tc>
          <w:tcPr>
            <w:tcW w:w="2692" w:type="dxa"/>
            <w:tcBorders>
              <w:top w:val="nil"/>
              <w:left w:val="nil"/>
              <w:bottom w:val="nil"/>
              <w:right w:val="nil"/>
            </w:tcBorders>
            <w:shd w:val="clear" w:color="auto" w:fill="auto"/>
            <w:vAlign w:val="bottom"/>
          </w:tcPr>
          <w:p w:rsidRPr="004B3881" w:rsidR="00D828B9" w:rsidP="00B71F5B" w:rsidRDefault="009C06C3" w14:paraId="6F468581"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Proportion of Equity</w:t>
            </w:r>
          </w:p>
        </w:tc>
        <w:tc>
          <w:tcPr>
            <w:tcW w:w="2221" w:type="dxa"/>
            <w:tcBorders>
              <w:top w:val="nil"/>
              <w:left w:val="nil"/>
              <w:bottom w:val="nil"/>
              <w:right w:val="nil"/>
            </w:tcBorders>
            <w:shd w:val="clear" w:color="auto" w:fill="auto"/>
            <w:vAlign w:val="bottom"/>
          </w:tcPr>
          <w:p w:rsidRPr="004B3881" w:rsidR="00D828B9" w:rsidP="00B71F5B" w:rsidRDefault="009C06C3" w14:paraId="7F7CA1DE"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20%</w:t>
            </w:r>
          </w:p>
        </w:tc>
        <w:tc>
          <w:tcPr>
            <w:tcW w:w="2221" w:type="dxa"/>
            <w:tcBorders>
              <w:top w:val="nil"/>
              <w:left w:val="nil"/>
              <w:bottom w:val="nil"/>
              <w:right w:val="nil"/>
            </w:tcBorders>
            <w:shd w:val="clear" w:color="auto" w:fill="auto"/>
            <w:vAlign w:val="bottom"/>
          </w:tcPr>
          <w:p w:rsidRPr="004B3881" w:rsidR="00D828B9" w:rsidP="00B71F5B" w:rsidRDefault="009C06C3" w14:paraId="6B5AB32A"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20%</w:t>
            </w:r>
          </w:p>
        </w:tc>
        <w:tc>
          <w:tcPr>
            <w:tcW w:w="2226" w:type="dxa"/>
            <w:tcBorders>
              <w:top w:val="nil"/>
              <w:left w:val="nil"/>
              <w:bottom w:val="nil"/>
              <w:right w:val="nil"/>
            </w:tcBorders>
            <w:shd w:val="clear" w:color="auto" w:fill="auto"/>
            <w:vAlign w:val="bottom"/>
          </w:tcPr>
          <w:p w:rsidRPr="004B3881" w:rsidR="00D828B9" w:rsidP="00B71F5B" w:rsidRDefault="009C06C3" w14:paraId="1198334B"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20%</w:t>
            </w:r>
          </w:p>
        </w:tc>
      </w:tr>
      <w:tr w:rsidRPr="004B3881" w:rsidR="00D828B9" w14:paraId="33374852" w14:textId="77777777">
        <w:trPr>
          <w:trHeight w:val="630"/>
        </w:trPr>
        <w:tc>
          <w:tcPr>
            <w:tcW w:w="2692" w:type="dxa"/>
            <w:tcBorders>
              <w:top w:val="nil"/>
              <w:left w:val="nil"/>
              <w:bottom w:val="nil"/>
              <w:right w:val="nil"/>
            </w:tcBorders>
            <w:shd w:val="clear" w:color="auto" w:fill="auto"/>
            <w:vAlign w:val="bottom"/>
          </w:tcPr>
          <w:p w:rsidRPr="004B3881" w:rsidR="00D828B9" w:rsidP="00B71F5B" w:rsidRDefault="009C06C3" w14:paraId="3CEF36E1" w14:textId="77777777">
            <w:pPr>
              <w:spacing w:after="0" w:line="360" w:lineRule="auto"/>
              <w:ind w:firstLine="720"/>
              <w:jc w:val="both"/>
              <w:rPr>
                <w:rFonts w:ascii="Times New Roman" w:hAnsi="Times New Roman" w:cs="Times New Roman"/>
                <w:sz w:val="24"/>
                <w:szCs w:val="24"/>
                <w:u w:val="single"/>
              </w:rPr>
            </w:pPr>
            <w:r w:rsidRPr="004B3881">
              <w:rPr>
                <w:rFonts w:ascii="Times New Roman" w:hAnsi="Times New Roman" w:cs="Times New Roman"/>
                <w:sz w:val="24"/>
                <w:szCs w:val="24"/>
                <w:u w:val="single"/>
              </w:rPr>
              <w:t xml:space="preserve">Intervention </w:t>
            </w:r>
            <w:proofErr w:type="spellStart"/>
            <w:r w:rsidRPr="004B3881">
              <w:rPr>
                <w:rFonts w:ascii="Times New Roman" w:hAnsi="Times New Roman" w:cs="Times New Roman"/>
                <w:sz w:val="24"/>
                <w:szCs w:val="24"/>
                <w:u w:val="single"/>
              </w:rPr>
              <w:t>approcach</w:t>
            </w:r>
            <w:proofErr w:type="spellEnd"/>
          </w:p>
        </w:tc>
        <w:tc>
          <w:tcPr>
            <w:tcW w:w="2221" w:type="dxa"/>
            <w:tcBorders>
              <w:top w:val="nil"/>
              <w:left w:val="nil"/>
              <w:bottom w:val="nil"/>
              <w:right w:val="nil"/>
            </w:tcBorders>
            <w:shd w:val="clear" w:color="auto" w:fill="auto"/>
            <w:vAlign w:val="bottom"/>
          </w:tcPr>
          <w:p w:rsidRPr="004B3881" w:rsidR="00D828B9" w:rsidP="00B71F5B" w:rsidRDefault="009C06C3" w14:paraId="40191D72"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PV without Derisking</w:t>
            </w:r>
          </w:p>
        </w:tc>
        <w:tc>
          <w:tcPr>
            <w:tcW w:w="2221" w:type="dxa"/>
            <w:tcBorders>
              <w:top w:val="nil"/>
              <w:left w:val="nil"/>
              <w:bottom w:val="nil"/>
              <w:right w:val="nil"/>
            </w:tcBorders>
            <w:shd w:val="clear" w:color="auto" w:fill="auto"/>
            <w:vAlign w:val="bottom"/>
          </w:tcPr>
          <w:p w:rsidRPr="004B3881" w:rsidR="00D828B9" w:rsidP="00B71F5B" w:rsidRDefault="009C06C3" w14:paraId="1E8B71BD"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 xml:space="preserve">PV </w:t>
            </w:r>
          </w:p>
          <w:p w:rsidRPr="004B3881" w:rsidR="00D828B9" w:rsidP="00B71F5B" w:rsidRDefault="009C06C3" w14:paraId="66971289"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 xml:space="preserve">with Derisking: </w:t>
            </w:r>
          </w:p>
          <w:p w:rsidRPr="004B3881" w:rsidR="00D828B9" w:rsidP="00B71F5B" w:rsidRDefault="009C06C3" w14:paraId="4CAEF86C"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 xml:space="preserve">for Increased Profitability </w:t>
            </w:r>
          </w:p>
        </w:tc>
        <w:tc>
          <w:tcPr>
            <w:tcW w:w="2226" w:type="dxa"/>
            <w:tcBorders>
              <w:top w:val="nil"/>
              <w:left w:val="nil"/>
              <w:bottom w:val="nil"/>
              <w:right w:val="nil"/>
            </w:tcBorders>
            <w:shd w:val="clear" w:color="auto" w:fill="auto"/>
            <w:vAlign w:val="bottom"/>
          </w:tcPr>
          <w:p w:rsidRPr="004B3881" w:rsidR="00D828B9" w:rsidP="00B71F5B" w:rsidRDefault="009C06C3" w14:paraId="6F7D1B3A"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 xml:space="preserve">PV </w:t>
            </w:r>
          </w:p>
          <w:p w:rsidRPr="004B3881" w:rsidR="00D828B9" w:rsidP="00B71F5B" w:rsidRDefault="009C06C3" w14:paraId="2D8A71AA"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 xml:space="preserve">with Derisking: for Reduced Solar Tariff </w:t>
            </w:r>
          </w:p>
        </w:tc>
      </w:tr>
      <w:tr w:rsidRPr="004B3881" w:rsidR="00D828B9" w14:paraId="406B5AB9" w14:textId="77777777">
        <w:trPr>
          <w:trHeight w:val="300"/>
        </w:trPr>
        <w:tc>
          <w:tcPr>
            <w:tcW w:w="2692" w:type="dxa"/>
            <w:tcBorders>
              <w:top w:val="nil"/>
              <w:left w:val="nil"/>
              <w:bottom w:val="nil"/>
              <w:right w:val="nil"/>
            </w:tcBorders>
            <w:shd w:val="clear" w:color="auto" w:fill="auto"/>
            <w:vAlign w:val="bottom"/>
          </w:tcPr>
          <w:p w:rsidRPr="004B3881" w:rsidR="00D828B9" w:rsidP="00B71F5B" w:rsidRDefault="009C06C3" w14:paraId="6ADE4927"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Debt Interest Rate</w:t>
            </w:r>
          </w:p>
        </w:tc>
        <w:tc>
          <w:tcPr>
            <w:tcW w:w="2221" w:type="dxa"/>
            <w:tcBorders>
              <w:top w:val="nil"/>
              <w:left w:val="nil"/>
              <w:bottom w:val="nil"/>
              <w:right w:val="nil"/>
            </w:tcBorders>
            <w:shd w:val="clear" w:color="auto" w:fill="auto"/>
            <w:vAlign w:val="bottom"/>
          </w:tcPr>
          <w:p w:rsidRPr="004B3881" w:rsidR="00D828B9" w:rsidP="00B71F5B" w:rsidRDefault="009C06C3" w14:paraId="6CA9556D"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12.5%</w:t>
            </w:r>
          </w:p>
        </w:tc>
        <w:tc>
          <w:tcPr>
            <w:tcW w:w="2221" w:type="dxa"/>
            <w:tcBorders>
              <w:top w:val="nil"/>
              <w:left w:val="nil"/>
              <w:bottom w:val="nil"/>
              <w:right w:val="nil"/>
            </w:tcBorders>
            <w:shd w:val="clear" w:color="auto" w:fill="auto"/>
            <w:vAlign w:val="bottom"/>
          </w:tcPr>
          <w:p w:rsidRPr="004B3881" w:rsidR="00D828B9" w:rsidP="00B71F5B" w:rsidRDefault="009C06C3" w14:paraId="373F24F8"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7.5%</w:t>
            </w:r>
          </w:p>
        </w:tc>
        <w:tc>
          <w:tcPr>
            <w:tcW w:w="2226" w:type="dxa"/>
            <w:tcBorders>
              <w:top w:val="nil"/>
              <w:left w:val="nil"/>
              <w:bottom w:val="nil"/>
              <w:right w:val="nil"/>
            </w:tcBorders>
            <w:shd w:val="clear" w:color="auto" w:fill="auto"/>
            <w:vAlign w:val="bottom"/>
          </w:tcPr>
          <w:p w:rsidRPr="004B3881" w:rsidR="00D828B9" w:rsidP="00B71F5B" w:rsidRDefault="009C06C3" w14:paraId="0C7A0701"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7.5%</w:t>
            </w:r>
          </w:p>
        </w:tc>
      </w:tr>
      <w:tr w:rsidRPr="004B3881" w:rsidR="00D828B9" w14:paraId="2E9A9F68" w14:textId="77777777">
        <w:trPr>
          <w:trHeight w:val="255"/>
        </w:trPr>
        <w:tc>
          <w:tcPr>
            <w:tcW w:w="2692" w:type="dxa"/>
            <w:tcBorders>
              <w:top w:val="nil"/>
              <w:left w:val="nil"/>
              <w:bottom w:val="nil"/>
              <w:right w:val="nil"/>
            </w:tcBorders>
            <w:shd w:val="clear" w:color="auto" w:fill="auto"/>
            <w:vAlign w:val="bottom"/>
          </w:tcPr>
          <w:p w:rsidRPr="004B3881" w:rsidR="00D828B9" w:rsidP="00B71F5B" w:rsidRDefault="009C06C3" w14:paraId="71844F3C"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lastRenderedPageBreak/>
              <w:t>Equity Required Return</w:t>
            </w:r>
          </w:p>
        </w:tc>
        <w:tc>
          <w:tcPr>
            <w:tcW w:w="2221" w:type="dxa"/>
            <w:tcBorders>
              <w:top w:val="nil"/>
              <w:left w:val="nil"/>
              <w:bottom w:val="nil"/>
              <w:right w:val="nil"/>
            </w:tcBorders>
            <w:shd w:val="clear" w:color="auto" w:fill="auto"/>
            <w:vAlign w:val="bottom"/>
          </w:tcPr>
          <w:p w:rsidRPr="004B3881" w:rsidR="00D828B9" w:rsidP="00B71F5B" w:rsidRDefault="009C06C3" w14:paraId="7BE09D71"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15%</w:t>
            </w:r>
          </w:p>
        </w:tc>
        <w:tc>
          <w:tcPr>
            <w:tcW w:w="2221" w:type="dxa"/>
            <w:tcBorders>
              <w:top w:val="nil"/>
              <w:left w:val="nil"/>
              <w:bottom w:val="nil"/>
              <w:right w:val="nil"/>
            </w:tcBorders>
            <w:shd w:val="clear" w:color="auto" w:fill="auto"/>
            <w:vAlign w:val="bottom"/>
          </w:tcPr>
          <w:p w:rsidRPr="004B3881" w:rsidR="00D828B9" w:rsidP="00B71F5B" w:rsidRDefault="009C06C3" w14:paraId="7304E093"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15%</w:t>
            </w:r>
          </w:p>
        </w:tc>
        <w:tc>
          <w:tcPr>
            <w:tcW w:w="2226" w:type="dxa"/>
            <w:tcBorders>
              <w:top w:val="nil"/>
              <w:left w:val="nil"/>
              <w:bottom w:val="nil"/>
              <w:right w:val="nil"/>
            </w:tcBorders>
            <w:shd w:val="clear" w:color="auto" w:fill="auto"/>
            <w:vAlign w:val="bottom"/>
          </w:tcPr>
          <w:p w:rsidRPr="004B3881" w:rsidR="00D828B9" w:rsidP="00B71F5B" w:rsidRDefault="009C06C3" w14:paraId="1D28503B"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15%</w:t>
            </w:r>
          </w:p>
        </w:tc>
      </w:tr>
      <w:tr w:rsidRPr="004B3881" w:rsidR="00D828B9" w14:paraId="65DC92FD" w14:textId="77777777">
        <w:trPr>
          <w:trHeight w:val="255"/>
        </w:trPr>
        <w:tc>
          <w:tcPr>
            <w:tcW w:w="2692" w:type="dxa"/>
            <w:tcBorders>
              <w:top w:val="nil"/>
              <w:left w:val="nil"/>
              <w:bottom w:val="nil"/>
              <w:right w:val="nil"/>
            </w:tcBorders>
            <w:shd w:val="clear" w:color="auto" w:fill="auto"/>
            <w:vAlign w:val="bottom"/>
          </w:tcPr>
          <w:p w:rsidRPr="004B3881" w:rsidR="00D828B9" w:rsidP="00B71F5B" w:rsidRDefault="009C06C3" w14:paraId="7CE2268E"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Cost of Capital</w:t>
            </w:r>
          </w:p>
        </w:tc>
        <w:tc>
          <w:tcPr>
            <w:tcW w:w="2221" w:type="dxa"/>
            <w:tcBorders>
              <w:top w:val="nil"/>
              <w:left w:val="nil"/>
              <w:bottom w:val="nil"/>
              <w:right w:val="nil"/>
            </w:tcBorders>
            <w:shd w:val="clear" w:color="auto" w:fill="auto"/>
            <w:vAlign w:val="bottom"/>
          </w:tcPr>
          <w:p w:rsidRPr="004B3881" w:rsidR="00D828B9" w:rsidP="00B71F5B" w:rsidRDefault="009C06C3" w14:paraId="0AEE0442"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13%</w:t>
            </w:r>
          </w:p>
        </w:tc>
        <w:tc>
          <w:tcPr>
            <w:tcW w:w="2221" w:type="dxa"/>
            <w:tcBorders>
              <w:top w:val="nil"/>
              <w:left w:val="nil"/>
              <w:bottom w:val="nil"/>
              <w:right w:val="nil"/>
            </w:tcBorders>
            <w:shd w:val="clear" w:color="auto" w:fill="auto"/>
            <w:vAlign w:val="bottom"/>
          </w:tcPr>
          <w:p w:rsidRPr="004B3881" w:rsidR="00D828B9" w:rsidP="00B71F5B" w:rsidRDefault="009C06C3" w14:paraId="68261664"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9%</w:t>
            </w:r>
          </w:p>
        </w:tc>
        <w:tc>
          <w:tcPr>
            <w:tcW w:w="2226" w:type="dxa"/>
            <w:tcBorders>
              <w:top w:val="nil"/>
              <w:left w:val="nil"/>
              <w:bottom w:val="nil"/>
              <w:right w:val="nil"/>
            </w:tcBorders>
            <w:shd w:val="clear" w:color="auto" w:fill="auto"/>
            <w:vAlign w:val="bottom"/>
          </w:tcPr>
          <w:p w:rsidRPr="004B3881" w:rsidR="00D828B9" w:rsidP="00B71F5B" w:rsidRDefault="009C06C3" w14:paraId="1835DFEF"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9%</w:t>
            </w:r>
          </w:p>
        </w:tc>
      </w:tr>
      <w:tr w:rsidRPr="004B3881" w:rsidR="00D828B9" w14:paraId="3F8888B2" w14:textId="77777777">
        <w:trPr>
          <w:trHeight w:val="255"/>
        </w:trPr>
        <w:tc>
          <w:tcPr>
            <w:tcW w:w="2692" w:type="dxa"/>
            <w:tcBorders>
              <w:top w:val="nil"/>
              <w:left w:val="nil"/>
              <w:bottom w:val="nil"/>
              <w:right w:val="nil"/>
            </w:tcBorders>
            <w:shd w:val="clear" w:color="auto" w:fill="auto"/>
            <w:vAlign w:val="bottom"/>
          </w:tcPr>
          <w:p w:rsidRPr="004B3881" w:rsidR="00D828B9" w:rsidP="00B71F5B" w:rsidRDefault="009C06C3" w14:paraId="59FFD278"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Required Revenues</w:t>
            </w:r>
          </w:p>
        </w:tc>
        <w:tc>
          <w:tcPr>
            <w:tcW w:w="2221" w:type="dxa"/>
            <w:tcBorders>
              <w:top w:val="nil"/>
              <w:left w:val="nil"/>
              <w:bottom w:val="nil"/>
              <w:right w:val="nil"/>
            </w:tcBorders>
            <w:shd w:val="clear" w:color="auto" w:fill="auto"/>
            <w:vAlign w:val="bottom"/>
          </w:tcPr>
          <w:p w:rsidRPr="004B3881" w:rsidR="00D828B9" w:rsidP="00B71F5B" w:rsidRDefault="009C06C3" w14:paraId="463A2846"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130,000 </w:t>
            </w:r>
          </w:p>
        </w:tc>
        <w:tc>
          <w:tcPr>
            <w:tcW w:w="2221" w:type="dxa"/>
            <w:tcBorders>
              <w:top w:val="nil"/>
              <w:left w:val="nil"/>
              <w:bottom w:val="nil"/>
              <w:right w:val="nil"/>
            </w:tcBorders>
            <w:shd w:val="clear" w:color="auto" w:fill="auto"/>
            <w:vAlign w:val="bottom"/>
          </w:tcPr>
          <w:p w:rsidRPr="004B3881" w:rsidR="00D828B9" w:rsidP="00B71F5B" w:rsidRDefault="009C06C3" w14:paraId="4027E7BC"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90,000 </w:t>
            </w:r>
          </w:p>
        </w:tc>
        <w:tc>
          <w:tcPr>
            <w:tcW w:w="2226" w:type="dxa"/>
            <w:tcBorders>
              <w:top w:val="nil"/>
              <w:left w:val="nil"/>
              <w:bottom w:val="nil"/>
              <w:right w:val="nil"/>
            </w:tcBorders>
            <w:shd w:val="clear" w:color="auto" w:fill="auto"/>
            <w:vAlign w:val="bottom"/>
          </w:tcPr>
          <w:p w:rsidRPr="004B3881" w:rsidR="00D828B9" w:rsidP="00B71F5B" w:rsidRDefault="009C06C3" w14:paraId="55F1FD20"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90,000 </w:t>
            </w:r>
          </w:p>
        </w:tc>
      </w:tr>
      <w:tr w:rsidRPr="004B3881" w:rsidR="00D828B9" w14:paraId="3C89FD3F" w14:textId="77777777">
        <w:trPr>
          <w:trHeight w:val="255"/>
        </w:trPr>
        <w:tc>
          <w:tcPr>
            <w:tcW w:w="2692" w:type="dxa"/>
            <w:tcBorders>
              <w:top w:val="nil"/>
              <w:left w:val="nil"/>
              <w:bottom w:val="nil"/>
              <w:right w:val="nil"/>
            </w:tcBorders>
            <w:shd w:val="clear" w:color="auto" w:fill="auto"/>
            <w:vAlign w:val="bottom"/>
          </w:tcPr>
          <w:p w:rsidRPr="004B3881" w:rsidR="00D828B9" w:rsidP="00B71F5B" w:rsidRDefault="009C06C3" w14:paraId="73F0E6DC"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Price-Earnings ratio</w:t>
            </w:r>
          </w:p>
        </w:tc>
        <w:tc>
          <w:tcPr>
            <w:tcW w:w="2221" w:type="dxa"/>
            <w:tcBorders>
              <w:top w:val="nil"/>
              <w:left w:val="nil"/>
              <w:bottom w:val="nil"/>
              <w:right w:val="nil"/>
            </w:tcBorders>
            <w:shd w:val="clear" w:color="auto" w:fill="auto"/>
            <w:vAlign w:val="bottom"/>
          </w:tcPr>
          <w:p w:rsidRPr="004B3881" w:rsidR="00D828B9" w:rsidP="00B71F5B" w:rsidRDefault="009C06C3" w14:paraId="7BD569B9"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6.7</w:t>
            </w:r>
          </w:p>
        </w:tc>
        <w:tc>
          <w:tcPr>
            <w:tcW w:w="2221" w:type="dxa"/>
            <w:tcBorders>
              <w:top w:val="nil"/>
              <w:left w:val="nil"/>
              <w:bottom w:val="nil"/>
              <w:right w:val="nil"/>
            </w:tcBorders>
            <w:shd w:val="clear" w:color="auto" w:fill="auto"/>
            <w:vAlign w:val="bottom"/>
          </w:tcPr>
          <w:p w:rsidRPr="004B3881" w:rsidR="00D828B9" w:rsidP="00B71F5B" w:rsidRDefault="009C06C3" w14:paraId="4545DC50"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6.7</w:t>
            </w:r>
          </w:p>
        </w:tc>
        <w:tc>
          <w:tcPr>
            <w:tcW w:w="2226" w:type="dxa"/>
            <w:tcBorders>
              <w:top w:val="nil"/>
              <w:left w:val="nil"/>
              <w:bottom w:val="nil"/>
              <w:right w:val="nil"/>
            </w:tcBorders>
            <w:shd w:val="clear" w:color="auto" w:fill="auto"/>
            <w:vAlign w:val="bottom"/>
          </w:tcPr>
          <w:p w:rsidRPr="004B3881" w:rsidR="00D828B9" w:rsidP="00B71F5B" w:rsidRDefault="009C06C3" w14:paraId="2421B784"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6.7</w:t>
            </w:r>
          </w:p>
        </w:tc>
      </w:tr>
      <w:tr w:rsidRPr="004B3881" w:rsidR="00D828B9" w14:paraId="632E8932" w14:textId="77777777">
        <w:trPr>
          <w:trHeight w:val="255"/>
        </w:trPr>
        <w:tc>
          <w:tcPr>
            <w:tcW w:w="2692" w:type="dxa"/>
            <w:tcBorders>
              <w:top w:val="nil"/>
              <w:left w:val="nil"/>
              <w:bottom w:val="nil"/>
              <w:right w:val="nil"/>
            </w:tcBorders>
            <w:shd w:val="clear" w:color="auto" w:fill="auto"/>
            <w:vAlign w:val="bottom"/>
          </w:tcPr>
          <w:p w:rsidRPr="004B3881" w:rsidR="00D828B9" w:rsidP="00B71F5B" w:rsidRDefault="009C06C3" w14:paraId="14C53FDE"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Revenues </w:t>
            </w:r>
          </w:p>
        </w:tc>
        <w:tc>
          <w:tcPr>
            <w:tcW w:w="2221" w:type="dxa"/>
            <w:tcBorders>
              <w:top w:val="nil"/>
              <w:left w:val="nil"/>
              <w:bottom w:val="nil"/>
              <w:right w:val="nil"/>
            </w:tcBorders>
            <w:shd w:val="clear" w:color="auto" w:fill="auto"/>
            <w:vAlign w:val="bottom"/>
          </w:tcPr>
          <w:p w:rsidRPr="004B3881" w:rsidR="00D828B9" w:rsidP="00B71F5B" w:rsidRDefault="009C06C3" w14:paraId="6E2FE34A"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130,000 </w:t>
            </w:r>
          </w:p>
        </w:tc>
        <w:tc>
          <w:tcPr>
            <w:tcW w:w="2221" w:type="dxa"/>
            <w:tcBorders>
              <w:top w:val="nil"/>
              <w:left w:val="nil"/>
              <w:bottom w:val="nil"/>
              <w:right w:val="nil"/>
            </w:tcBorders>
            <w:shd w:val="clear" w:color="auto" w:fill="auto"/>
            <w:vAlign w:val="bottom"/>
          </w:tcPr>
          <w:p w:rsidRPr="004B3881" w:rsidR="00D828B9" w:rsidP="00B71F5B" w:rsidRDefault="009C06C3" w14:paraId="3E2F7E33"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130,000 </w:t>
            </w:r>
          </w:p>
        </w:tc>
        <w:tc>
          <w:tcPr>
            <w:tcW w:w="2226" w:type="dxa"/>
            <w:tcBorders>
              <w:top w:val="nil"/>
              <w:left w:val="nil"/>
              <w:bottom w:val="nil"/>
              <w:right w:val="nil"/>
            </w:tcBorders>
            <w:shd w:val="clear" w:color="auto" w:fill="auto"/>
            <w:vAlign w:val="bottom"/>
          </w:tcPr>
          <w:p w:rsidRPr="004B3881" w:rsidR="00D828B9" w:rsidP="00B71F5B" w:rsidRDefault="009C06C3" w14:paraId="3F094F28"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90,000 </w:t>
            </w:r>
          </w:p>
        </w:tc>
      </w:tr>
      <w:tr w:rsidRPr="004B3881" w:rsidR="00D828B9" w14:paraId="03CC0B8B" w14:textId="77777777">
        <w:trPr>
          <w:trHeight w:val="255"/>
        </w:trPr>
        <w:tc>
          <w:tcPr>
            <w:tcW w:w="2692" w:type="dxa"/>
            <w:tcBorders>
              <w:top w:val="nil"/>
              <w:left w:val="nil"/>
              <w:bottom w:val="nil"/>
              <w:right w:val="nil"/>
            </w:tcBorders>
            <w:shd w:val="clear" w:color="auto" w:fill="auto"/>
            <w:vAlign w:val="bottom"/>
          </w:tcPr>
          <w:p w:rsidRPr="004B3881" w:rsidR="00D828B9" w:rsidP="00B71F5B" w:rsidRDefault="009C06C3" w14:paraId="0B5230F0"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Interest Costs per Year</w:t>
            </w:r>
          </w:p>
        </w:tc>
        <w:tc>
          <w:tcPr>
            <w:tcW w:w="2221" w:type="dxa"/>
            <w:tcBorders>
              <w:top w:val="nil"/>
              <w:left w:val="nil"/>
              <w:bottom w:val="nil"/>
              <w:right w:val="nil"/>
            </w:tcBorders>
            <w:shd w:val="clear" w:color="auto" w:fill="auto"/>
            <w:vAlign w:val="bottom"/>
          </w:tcPr>
          <w:p w:rsidRPr="004B3881" w:rsidR="00D828B9" w:rsidP="00B71F5B" w:rsidRDefault="009C06C3" w14:paraId="6B2C1EA2"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100,000 </w:t>
            </w:r>
          </w:p>
        </w:tc>
        <w:tc>
          <w:tcPr>
            <w:tcW w:w="2221" w:type="dxa"/>
            <w:tcBorders>
              <w:top w:val="nil"/>
              <w:left w:val="nil"/>
              <w:bottom w:val="nil"/>
              <w:right w:val="nil"/>
            </w:tcBorders>
            <w:shd w:val="clear" w:color="auto" w:fill="auto"/>
            <w:vAlign w:val="bottom"/>
          </w:tcPr>
          <w:p w:rsidRPr="004B3881" w:rsidR="00D828B9" w:rsidP="00B71F5B" w:rsidRDefault="009C06C3" w14:paraId="16A01694"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60,000 </w:t>
            </w:r>
          </w:p>
        </w:tc>
        <w:tc>
          <w:tcPr>
            <w:tcW w:w="2226" w:type="dxa"/>
            <w:tcBorders>
              <w:top w:val="nil"/>
              <w:left w:val="nil"/>
              <w:bottom w:val="nil"/>
              <w:right w:val="nil"/>
            </w:tcBorders>
            <w:shd w:val="clear" w:color="auto" w:fill="auto"/>
            <w:vAlign w:val="bottom"/>
          </w:tcPr>
          <w:p w:rsidRPr="004B3881" w:rsidR="00D828B9" w:rsidP="00B71F5B" w:rsidRDefault="009C06C3" w14:paraId="168EEAA2"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60,000 </w:t>
            </w:r>
          </w:p>
        </w:tc>
      </w:tr>
      <w:tr w:rsidRPr="004B3881" w:rsidR="00D828B9" w14:paraId="6CB14CC6" w14:textId="77777777">
        <w:trPr>
          <w:trHeight w:val="255"/>
        </w:trPr>
        <w:tc>
          <w:tcPr>
            <w:tcW w:w="2692" w:type="dxa"/>
            <w:tcBorders>
              <w:top w:val="nil"/>
              <w:left w:val="nil"/>
              <w:bottom w:val="nil"/>
              <w:right w:val="nil"/>
            </w:tcBorders>
            <w:shd w:val="clear" w:color="auto" w:fill="auto"/>
            <w:vAlign w:val="bottom"/>
          </w:tcPr>
          <w:p w:rsidRPr="004B3881" w:rsidR="00D828B9" w:rsidP="00B71F5B" w:rsidRDefault="009C06C3" w14:paraId="45E379EF"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Profit per year</w:t>
            </w:r>
          </w:p>
        </w:tc>
        <w:tc>
          <w:tcPr>
            <w:tcW w:w="2221" w:type="dxa"/>
            <w:tcBorders>
              <w:top w:val="nil"/>
              <w:left w:val="nil"/>
              <w:bottom w:val="nil"/>
              <w:right w:val="nil"/>
            </w:tcBorders>
            <w:shd w:val="clear" w:color="auto" w:fill="auto"/>
            <w:vAlign w:val="bottom"/>
          </w:tcPr>
          <w:p w:rsidRPr="004B3881" w:rsidR="00D828B9" w:rsidP="00B71F5B" w:rsidRDefault="009C06C3" w14:paraId="42C9A6A2"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30,000 </w:t>
            </w:r>
          </w:p>
        </w:tc>
        <w:tc>
          <w:tcPr>
            <w:tcW w:w="2221" w:type="dxa"/>
            <w:tcBorders>
              <w:top w:val="nil"/>
              <w:left w:val="nil"/>
              <w:bottom w:val="nil"/>
              <w:right w:val="nil"/>
            </w:tcBorders>
            <w:shd w:val="clear" w:color="auto" w:fill="auto"/>
            <w:vAlign w:val="bottom"/>
          </w:tcPr>
          <w:p w:rsidRPr="004B3881" w:rsidR="00D828B9" w:rsidP="00B71F5B" w:rsidRDefault="009C06C3" w14:paraId="4D0A6267"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70,000 </w:t>
            </w:r>
          </w:p>
        </w:tc>
        <w:tc>
          <w:tcPr>
            <w:tcW w:w="2226" w:type="dxa"/>
            <w:tcBorders>
              <w:top w:val="nil"/>
              <w:left w:val="nil"/>
              <w:bottom w:val="nil"/>
              <w:right w:val="nil"/>
            </w:tcBorders>
            <w:shd w:val="clear" w:color="auto" w:fill="auto"/>
            <w:vAlign w:val="bottom"/>
          </w:tcPr>
          <w:p w:rsidRPr="004B3881" w:rsidR="00D828B9" w:rsidP="00B71F5B" w:rsidRDefault="009C06C3" w14:paraId="226DE32F"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30,000 </w:t>
            </w:r>
          </w:p>
        </w:tc>
      </w:tr>
      <w:tr w:rsidRPr="004B3881" w:rsidR="00D828B9" w14:paraId="7F691988" w14:textId="77777777">
        <w:trPr>
          <w:trHeight w:val="255"/>
        </w:trPr>
        <w:tc>
          <w:tcPr>
            <w:tcW w:w="2692" w:type="dxa"/>
            <w:tcBorders>
              <w:top w:val="nil"/>
              <w:left w:val="nil"/>
              <w:bottom w:val="nil"/>
              <w:right w:val="nil"/>
            </w:tcBorders>
            <w:shd w:val="clear" w:color="auto" w:fill="auto"/>
            <w:vAlign w:val="bottom"/>
          </w:tcPr>
          <w:p w:rsidRPr="004B3881" w:rsidR="00D828B9" w:rsidP="00B71F5B" w:rsidRDefault="009C06C3" w14:paraId="68DB4BCD"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RRR</w:t>
            </w:r>
          </w:p>
        </w:tc>
        <w:tc>
          <w:tcPr>
            <w:tcW w:w="2221" w:type="dxa"/>
            <w:tcBorders>
              <w:top w:val="nil"/>
              <w:left w:val="nil"/>
              <w:bottom w:val="nil"/>
              <w:right w:val="nil"/>
            </w:tcBorders>
            <w:shd w:val="clear" w:color="auto" w:fill="auto"/>
            <w:vAlign w:val="bottom"/>
          </w:tcPr>
          <w:p w:rsidRPr="004B3881" w:rsidR="00D828B9" w:rsidP="00B71F5B" w:rsidRDefault="009C06C3" w14:paraId="3FF7EBB0"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30,000 </w:t>
            </w:r>
          </w:p>
        </w:tc>
        <w:tc>
          <w:tcPr>
            <w:tcW w:w="2221" w:type="dxa"/>
            <w:tcBorders>
              <w:top w:val="nil"/>
              <w:left w:val="nil"/>
              <w:bottom w:val="nil"/>
              <w:right w:val="nil"/>
            </w:tcBorders>
            <w:shd w:val="clear" w:color="auto" w:fill="auto"/>
            <w:vAlign w:val="bottom"/>
          </w:tcPr>
          <w:p w:rsidRPr="004B3881" w:rsidR="00D828B9" w:rsidP="00B71F5B" w:rsidRDefault="009C06C3" w14:paraId="25198E37"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30,000 </w:t>
            </w:r>
          </w:p>
        </w:tc>
        <w:tc>
          <w:tcPr>
            <w:tcW w:w="2226" w:type="dxa"/>
            <w:tcBorders>
              <w:top w:val="nil"/>
              <w:left w:val="nil"/>
              <w:bottom w:val="nil"/>
              <w:right w:val="nil"/>
            </w:tcBorders>
            <w:shd w:val="clear" w:color="auto" w:fill="auto"/>
            <w:vAlign w:val="bottom"/>
          </w:tcPr>
          <w:p w:rsidRPr="004B3881" w:rsidR="00D828B9" w:rsidP="00B71F5B" w:rsidRDefault="009C06C3" w14:paraId="60718E33"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30,000 </w:t>
            </w:r>
          </w:p>
        </w:tc>
      </w:tr>
      <w:tr w:rsidRPr="004B3881" w:rsidR="00D828B9" w14:paraId="279F9AAB" w14:textId="77777777">
        <w:trPr>
          <w:trHeight w:val="255"/>
        </w:trPr>
        <w:tc>
          <w:tcPr>
            <w:tcW w:w="2692" w:type="dxa"/>
            <w:tcBorders>
              <w:top w:val="nil"/>
              <w:left w:val="nil"/>
              <w:bottom w:val="nil"/>
              <w:right w:val="nil"/>
            </w:tcBorders>
            <w:shd w:val="clear" w:color="auto" w:fill="auto"/>
            <w:vAlign w:val="bottom"/>
          </w:tcPr>
          <w:p w:rsidRPr="004B3881" w:rsidR="00D828B9" w:rsidP="00B71F5B" w:rsidRDefault="009C06C3" w14:paraId="7E0582E5"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Supernormal return</w:t>
            </w:r>
          </w:p>
        </w:tc>
        <w:tc>
          <w:tcPr>
            <w:tcW w:w="2221" w:type="dxa"/>
            <w:tcBorders>
              <w:top w:val="nil"/>
              <w:left w:val="nil"/>
              <w:bottom w:val="nil"/>
              <w:right w:val="nil"/>
            </w:tcBorders>
            <w:shd w:val="clear" w:color="auto" w:fill="auto"/>
            <w:vAlign w:val="bottom"/>
          </w:tcPr>
          <w:p w:rsidRPr="004B3881" w:rsidR="00D828B9" w:rsidP="00B71F5B" w:rsidRDefault="009C06C3" w14:paraId="347B7B36"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   </w:t>
            </w:r>
          </w:p>
        </w:tc>
        <w:tc>
          <w:tcPr>
            <w:tcW w:w="2221" w:type="dxa"/>
            <w:tcBorders>
              <w:top w:val="nil"/>
              <w:left w:val="nil"/>
              <w:bottom w:val="nil"/>
              <w:right w:val="nil"/>
            </w:tcBorders>
            <w:shd w:val="clear" w:color="auto" w:fill="auto"/>
            <w:vAlign w:val="bottom"/>
          </w:tcPr>
          <w:p w:rsidRPr="004B3881" w:rsidR="00D828B9" w:rsidP="00B71F5B" w:rsidRDefault="009C06C3" w14:paraId="00328F60"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40,000 </w:t>
            </w:r>
          </w:p>
        </w:tc>
        <w:tc>
          <w:tcPr>
            <w:tcW w:w="2226" w:type="dxa"/>
            <w:tcBorders>
              <w:top w:val="nil"/>
              <w:left w:val="nil"/>
              <w:bottom w:val="nil"/>
              <w:right w:val="nil"/>
            </w:tcBorders>
            <w:shd w:val="clear" w:color="auto" w:fill="auto"/>
            <w:vAlign w:val="bottom"/>
          </w:tcPr>
          <w:p w:rsidRPr="004B3881" w:rsidR="00D828B9" w:rsidP="00B71F5B" w:rsidRDefault="009C06C3" w14:paraId="2EB317AA"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0 </w:t>
            </w:r>
          </w:p>
        </w:tc>
      </w:tr>
      <w:tr w:rsidRPr="004B3881" w:rsidR="00D828B9" w14:paraId="13C6F663" w14:textId="77777777">
        <w:trPr>
          <w:trHeight w:val="255"/>
        </w:trPr>
        <w:tc>
          <w:tcPr>
            <w:tcW w:w="2692" w:type="dxa"/>
            <w:tcBorders>
              <w:top w:val="nil"/>
              <w:left w:val="nil"/>
              <w:bottom w:val="nil"/>
              <w:right w:val="nil"/>
            </w:tcBorders>
            <w:shd w:val="clear" w:color="auto" w:fill="auto"/>
            <w:vAlign w:val="bottom"/>
          </w:tcPr>
          <w:p w:rsidRPr="004B3881" w:rsidR="00D828B9" w:rsidP="00B71F5B" w:rsidRDefault="009C06C3" w14:paraId="30FD660B"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Initial Equity Investment</w:t>
            </w:r>
          </w:p>
        </w:tc>
        <w:tc>
          <w:tcPr>
            <w:tcW w:w="2221" w:type="dxa"/>
            <w:tcBorders>
              <w:top w:val="nil"/>
              <w:left w:val="nil"/>
              <w:bottom w:val="nil"/>
              <w:right w:val="nil"/>
            </w:tcBorders>
            <w:shd w:val="clear" w:color="auto" w:fill="auto"/>
            <w:vAlign w:val="bottom"/>
          </w:tcPr>
          <w:p w:rsidRPr="004B3881" w:rsidR="00D828B9" w:rsidP="00B71F5B" w:rsidRDefault="009C06C3" w14:paraId="04407842"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200,000 </w:t>
            </w:r>
          </w:p>
        </w:tc>
        <w:tc>
          <w:tcPr>
            <w:tcW w:w="2221" w:type="dxa"/>
            <w:tcBorders>
              <w:top w:val="nil"/>
              <w:left w:val="nil"/>
              <w:bottom w:val="nil"/>
              <w:right w:val="nil"/>
            </w:tcBorders>
            <w:shd w:val="clear" w:color="auto" w:fill="auto"/>
            <w:vAlign w:val="bottom"/>
          </w:tcPr>
          <w:p w:rsidRPr="004B3881" w:rsidR="00D828B9" w:rsidP="00B71F5B" w:rsidRDefault="009C06C3" w14:paraId="385241A9"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200,000 </w:t>
            </w:r>
          </w:p>
        </w:tc>
        <w:tc>
          <w:tcPr>
            <w:tcW w:w="2226" w:type="dxa"/>
            <w:tcBorders>
              <w:top w:val="nil"/>
              <w:left w:val="nil"/>
              <w:bottom w:val="nil"/>
              <w:right w:val="nil"/>
            </w:tcBorders>
            <w:shd w:val="clear" w:color="auto" w:fill="auto"/>
            <w:vAlign w:val="bottom"/>
          </w:tcPr>
          <w:p w:rsidRPr="004B3881" w:rsidR="00D828B9" w:rsidP="00B71F5B" w:rsidRDefault="009C06C3" w14:paraId="46ADC763"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200,000 </w:t>
            </w:r>
          </w:p>
        </w:tc>
      </w:tr>
      <w:tr w:rsidRPr="004B3881" w:rsidR="00D828B9" w14:paraId="6336E21B" w14:textId="77777777">
        <w:trPr>
          <w:trHeight w:val="255"/>
        </w:trPr>
        <w:tc>
          <w:tcPr>
            <w:tcW w:w="2692" w:type="dxa"/>
            <w:tcBorders>
              <w:top w:val="nil"/>
              <w:left w:val="nil"/>
              <w:bottom w:val="nil"/>
              <w:right w:val="nil"/>
            </w:tcBorders>
            <w:shd w:val="clear" w:color="auto" w:fill="auto"/>
            <w:vAlign w:val="bottom"/>
          </w:tcPr>
          <w:p w:rsidRPr="004B3881" w:rsidR="00D828B9" w:rsidP="00B71F5B" w:rsidRDefault="009C06C3" w14:paraId="52E6EA23"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Equity Stake after appreciation</w:t>
            </w:r>
          </w:p>
        </w:tc>
        <w:tc>
          <w:tcPr>
            <w:tcW w:w="2221" w:type="dxa"/>
            <w:tcBorders>
              <w:top w:val="nil"/>
              <w:left w:val="nil"/>
              <w:bottom w:val="nil"/>
              <w:right w:val="nil"/>
            </w:tcBorders>
            <w:shd w:val="clear" w:color="auto" w:fill="auto"/>
            <w:vAlign w:val="bottom"/>
          </w:tcPr>
          <w:p w:rsidRPr="004B3881" w:rsidR="00D828B9" w:rsidP="00B71F5B" w:rsidRDefault="009C06C3" w14:paraId="7FB12710"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200,000 </w:t>
            </w:r>
          </w:p>
        </w:tc>
        <w:tc>
          <w:tcPr>
            <w:tcW w:w="2221" w:type="dxa"/>
            <w:tcBorders>
              <w:top w:val="nil"/>
              <w:left w:val="nil"/>
              <w:bottom w:val="nil"/>
              <w:right w:val="nil"/>
            </w:tcBorders>
            <w:shd w:val="clear" w:color="auto" w:fill="auto"/>
            <w:vAlign w:val="bottom"/>
          </w:tcPr>
          <w:p w:rsidRPr="004B3881" w:rsidR="00D828B9" w:rsidP="00B71F5B" w:rsidRDefault="009C06C3" w14:paraId="4A3495A9"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466,667 </w:t>
            </w:r>
          </w:p>
        </w:tc>
        <w:tc>
          <w:tcPr>
            <w:tcW w:w="2226" w:type="dxa"/>
            <w:tcBorders>
              <w:top w:val="nil"/>
              <w:left w:val="nil"/>
              <w:bottom w:val="nil"/>
              <w:right w:val="nil"/>
            </w:tcBorders>
            <w:shd w:val="clear" w:color="auto" w:fill="auto"/>
            <w:vAlign w:val="bottom"/>
          </w:tcPr>
          <w:p w:rsidRPr="004B3881" w:rsidR="00D828B9" w:rsidP="00B71F5B" w:rsidRDefault="009C06C3" w14:paraId="5E5E502E" w14:textId="77777777">
            <w:pPr>
              <w:spacing w:after="0" w:line="360" w:lineRule="auto"/>
              <w:ind w:firstLine="720"/>
              <w:jc w:val="both"/>
              <w:rPr>
                <w:rFonts w:ascii="Times New Roman" w:hAnsi="Times New Roman" w:cs="Times New Roman"/>
                <w:sz w:val="24"/>
                <w:szCs w:val="24"/>
              </w:rPr>
            </w:pPr>
            <w:r w:rsidRPr="004B3881">
              <w:rPr>
                <w:rFonts w:ascii="Times New Roman" w:hAnsi="Times New Roman" w:cs="Times New Roman"/>
                <w:sz w:val="24"/>
                <w:szCs w:val="24"/>
              </w:rPr>
              <w:t xml:space="preserve"> $                             200,002 </w:t>
            </w:r>
          </w:p>
        </w:tc>
      </w:tr>
      <w:tr w:rsidRPr="004B3881" w:rsidR="00D828B9" w14:paraId="77E3CFFD" w14:textId="77777777">
        <w:trPr>
          <w:trHeight w:val="255"/>
        </w:trPr>
        <w:tc>
          <w:tcPr>
            <w:tcW w:w="2692" w:type="dxa"/>
            <w:tcBorders>
              <w:top w:val="nil"/>
              <w:left w:val="nil"/>
              <w:bottom w:val="nil"/>
              <w:right w:val="nil"/>
            </w:tcBorders>
            <w:shd w:val="clear" w:color="auto" w:fill="auto"/>
            <w:vAlign w:val="bottom"/>
          </w:tcPr>
          <w:p w:rsidRPr="004B3881" w:rsidR="00D828B9" w:rsidP="00B71F5B" w:rsidRDefault="009C06C3" w14:paraId="4B8D0724"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Equity Appreciation</w:t>
            </w:r>
          </w:p>
        </w:tc>
        <w:tc>
          <w:tcPr>
            <w:tcW w:w="2221" w:type="dxa"/>
            <w:tcBorders>
              <w:top w:val="nil"/>
              <w:left w:val="nil"/>
              <w:bottom w:val="nil"/>
              <w:right w:val="nil"/>
            </w:tcBorders>
            <w:shd w:val="clear" w:color="auto" w:fill="auto"/>
            <w:vAlign w:val="bottom"/>
          </w:tcPr>
          <w:p w:rsidRPr="004B3881" w:rsidR="00D828B9" w:rsidP="00B71F5B" w:rsidRDefault="009C06C3" w14:paraId="7C57C80A"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0%</w:t>
            </w:r>
          </w:p>
        </w:tc>
        <w:tc>
          <w:tcPr>
            <w:tcW w:w="2221" w:type="dxa"/>
            <w:tcBorders>
              <w:top w:val="nil"/>
              <w:left w:val="nil"/>
              <w:bottom w:val="nil"/>
              <w:right w:val="nil"/>
            </w:tcBorders>
            <w:shd w:val="clear" w:color="auto" w:fill="auto"/>
            <w:vAlign w:val="bottom"/>
          </w:tcPr>
          <w:p w:rsidRPr="004B3881" w:rsidR="00D828B9" w:rsidP="00B71F5B" w:rsidRDefault="009C06C3" w14:paraId="4EA23147"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133%</w:t>
            </w:r>
          </w:p>
        </w:tc>
        <w:tc>
          <w:tcPr>
            <w:tcW w:w="2226" w:type="dxa"/>
            <w:tcBorders>
              <w:top w:val="nil"/>
              <w:left w:val="nil"/>
              <w:bottom w:val="nil"/>
              <w:right w:val="nil"/>
            </w:tcBorders>
            <w:shd w:val="clear" w:color="auto" w:fill="auto"/>
            <w:vAlign w:val="bottom"/>
          </w:tcPr>
          <w:p w:rsidRPr="004B3881" w:rsidR="00D828B9" w:rsidP="00B71F5B" w:rsidRDefault="009C06C3" w14:paraId="3F493E32"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0%</w:t>
            </w:r>
          </w:p>
        </w:tc>
      </w:tr>
      <w:tr w:rsidRPr="004B3881" w:rsidR="00D828B9" w14:paraId="66E71284" w14:textId="77777777">
        <w:trPr>
          <w:trHeight w:val="255"/>
        </w:trPr>
        <w:tc>
          <w:tcPr>
            <w:tcW w:w="2692" w:type="dxa"/>
            <w:tcBorders>
              <w:top w:val="nil"/>
              <w:left w:val="nil"/>
              <w:bottom w:val="nil"/>
              <w:right w:val="nil"/>
            </w:tcBorders>
            <w:shd w:val="clear" w:color="auto" w:fill="auto"/>
            <w:vAlign w:val="bottom"/>
          </w:tcPr>
          <w:p w:rsidRPr="004B3881" w:rsidR="00D828B9" w:rsidP="00B71F5B" w:rsidRDefault="009C06C3" w14:paraId="79AF1637"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Reduction in Power Tariff</w:t>
            </w:r>
          </w:p>
        </w:tc>
        <w:tc>
          <w:tcPr>
            <w:tcW w:w="2221" w:type="dxa"/>
            <w:tcBorders>
              <w:top w:val="nil"/>
              <w:left w:val="nil"/>
              <w:bottom w:val="nil"/>
              <w:right w:val="nil"/>
            </w:tcBorders>
            <w:shd w:val="clear" w:color="auto" w:fill="auto"/>
            <w:vAlign w:val="bottom"/>
          </w:tcPr>
          <w:p w:rsidRPr="004B3881" w:rsidR="00D828B9" w:rsidP="00B71F5B" w:rsidRDefault="009C06C3" w14:paraId="4CF43F2E"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0%</w:t>
            </w:r>
          </w:p>
        </w:tc>
        <w:tc>
          <w:tcPr>
            <w:tcW w:w="2221" w:type="dxa"/>
            <w:tcBorders>
              <w:top w:val="nil"/>
              <w:left w:val="nil"/>
              <w:bottom w:val="nil"/>
              <w:right w:val="nil"/>
            </w:tcBorders>
            <w:shd w:val="clear" w:color="auto" w:fill="auto"/>
            <w:vAlign w:val="bottom"/>
          </w:tcPr>
          <w:p w:rsidRPr="004B3881" w:rsidR="00D828B9" w:rsidP="00B71F5B" w:rsidRDefault="009C06C3" w14:paraId="5128A3A6"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0%</w:t>
            </w:r>
          </w:p>
        </w:tc>
        <w:tc>
          <w:tcPr>
            <w:tcW w:w="2226" w:type="dxa"/>
            <w:tcBorders>
              <w:top w:val="nil"/>
              <w:left w:val="nil"/>
              <w:bottom w:val="nil"/>
              <w:right w:val="nil"/>
            </w:tcBorders>
            <w:shd w:val="clear" w:color="auto" w:fill="auto"/>
            <w:vAlign w:val="bottom"/>
          </w:tcPr>
          <w:p w:rsidRPr="004B3881" w:rsidR="00D828B9" w:rsidP="00B71F5B" w:rsidRDefault="009C06C3" w14:paraId="1F1AEC47" w14:textId="77777777">
            <w:pPr>
              <w:spacing w:after="0" w:line="360" w:lineRule="auto"/>
              <w:ind w:firstLine="720"/>
              <w:jc w:val="both"/>
              <w:rPr>
                <w:rFonts w:ascii="Times New Roman" w:hAnsi="Times New Roman" w:cs="Times New Roman"/>
                <w:b/>
                <w:sz w:val="24"/>
                <w:szCs w:val="24"/>
              </w:rPr>
            </w:pPr>
            <w:r w:rsidRPr="004B3881">
              <w:rPr>
                <w:rFonts w:ascii="Times New Roman" w:hAnsi="Times New Roman" w:cs="Times New Roman"/>
                <w:b/>
                <w:sz w:val="24"/>
                <w:szCs w:val="24"/>
              </w:rPr>
              <w:t>-31%</w:t>
            </w:r>
          </w:p>
        </w:tc>
      </w:tr>
    </w:tbl>
    <w:p w:rsidRPr="004B3881" w:rsidR="00D828B9" w:rsidP="00B71F5B" w:rsidRDefault="00D828B9" w14:paraId="49BE5108" w14:textId="77777777">
      <w:pPr>
        <w:spacing w:line="360" w:lineRule="auto"/>
        <w:ind w:firstLine="720"/>
        <w:jc w:val="center"/>
        <w:rPr>
          <w:rFonts w:ascii="Times New Roman" w:hAnsi="Times New Roman" w:cs="Times New Roman"/>
          <w:b/>
          <w:sz w:val="24"/>
          <w:szCs w:val="24"/>
          <w:u w:val="single"/>
        </w:rPr>
      </w:pPr>
    </w:p>
    <w:p w:rsidRPr="006A2BF4" w:rsidR="00D828B9" w:rsidP="006A2BF4" w:rsidRDefault="009C06C3" w14:paraId="25377C25" w14:textId="77777777">
      <w:pPr>
        <w:pStyle w:val="Heading2"/>
        <w:spacing w:line="360" w:lineRule="auto"/>
        <w:jc w:val="center"/>
        <w:rPr>
          <w:rFonts w:ascii="Times New Roman" w:hAnsi="Times New Roman" w:cs="Times New Roman"/>
          <w:b/>
          <w:bCs/>
          <w:sz w:val="24"/>
          <w:szCs w:val="24"/>
        </w:rPr>
      </w:pPr>
      <w:bookmarkStart w:name="_9nmiy02s4yyv" w:colFirst="0" w:colLast="0" w:id="22"/>
      <w:bookmarkEnd w:id="22"/>
      <w:r w:rsidRPr="006A2BF4">
        <w:rPr>
          <w:rFonts w:ascii="Times New Roman" w:hAnsi="Times New Roman" w:cs="Times New Roman"/>
          <w:b/>
          <w:bCs/>
          <w:sz w:val="24"/>
          <w:szCs w:val="24"/>
        </w:rPr>
        <w:t>References</w:t>
      </w:r>
    </w:p>
    <w:p w:rsidRPr="004B3881" w:rsidR="00D828B9" w:rsidP="00B71F5B" w:rsidRDefault="00000000" w14:paraId="5CA261EB" w14:textId="77777777">
      <w:pPr>
        <w:widowControl w:val="0"/>
        <w:pBdr>
          <w:top w:val="nil"/>
          <w:left w:val="nil"/>
          <w:bottom w:val="nil"/>
          <w:right w:val="nil"/>
          <w:between w:val="nil"/>
        </w:pBdr>
        <w:spacing w:before="220" w:after="0" w:line="360" w:lineRule="auto"/>
        <w:ind w:left="440" w:firstLine="720"/>
        <w:rPr>
          <w:rFonts w:ascii="Times New Roman" w:hAnsi="Times New Roman" w:cs="Times New Roman"/>
          <w:color w:val="000000"/>
          <w:sz w:val="24"/>
          <w:szCs w:val="24"/>
        </w:rPr>
      </w:pPr>
      <w:hyperlink r:id="rId27">
        <w:r w:rsidRPr="004B3881" w:rsidR="00D828B9">
          <w:rPr>
            <w:rFonts w:ascii="Times New Roman" w:hAnsi="Times New Roman" w:cs="Times New Roman"/>
            <w:color w:val="000000"/>
            <w:sz w:val="24"/>
            <w:szCs w:val="24"/>
          </w:rPr>
          <w:t xml:space="preserve">IEA. 2021a. “Financing Clean Energy Transitions in Emerging and Developing Economies.” IEA. </w:t>
        </w:r>
      </w:hyperlink>
      <w:hyperlink r:id="rId28">
        <w:r w:rsidRPr="004B3881" w:rsidR="00D828B9">
          <w:rPr>
            <w:rFonts w:ascii="Times New Roman" w:hAnsi="Times New Roman" w:cs="Times New Roman"/>
            <w:color w:val="000000"/>
            <w:sz w:val="24"/>
            <w:szCs w:val="24"/>
          </w:rPr>
          <w:t>https://iea.blob.core.windows.net/assets/6756ccd2-0772-4ffd-85e4-b73428ff9c72/FinancingCleanEnergyTransitionsinEMDEs_WorldEnergyInvestment2021Sp</w:t>
        </w:r>
        <w:r w:rsidRPr="004B3881" w:rsidR="00D828B9">
          <w:rPr>
            <w:rFonts w:ascii="Times New Roman" w:hAnsi="Times New Roman" w:cs="Times New Roman"/>
            <w:color w:val="000000"/>
            <w:sz w:val="24"/>
            <w:szCs w:val="24"/>
          </w:rPr>
          <w:lastRenderedPageBreak/>
          <w:t>ecialReport.pdf</w:t>
        </w:r>
      </w:hyperlink>
      <w:hyperlink r:id="rId29">
        <w:r w:rsidRPr="004B3881" w:rsidR="00D828B9">
          <w:rPr>
            <w:rFonts w:ascii="Times New Roman" w:hAnsi="Times New Roman" w:cs="Times New Roman"/>
            <w:color w:val="000000"/>
            <w:sz w:val="24"/>
            <w:szCs w:val="24"/>
          </w:rPr>
          <w:t>.</w:t>
        </w:r>
      </w:hyperlink>
    </w:p>
    <w:p w:rsidRPr="004B3881" w:rsidR="00D828B9" w:rsidP="00B71F5B" w:rsidRDefault="00000000" w14:paraId="5C936357" w14:textId="77777777">
      <w:pPr>
        <w:widowControl w:val="0"/>
        <w:pBdr>
          <w:top w:val="nil"/>
          <w:left w:val="nil"/>
          <w:bottom w:val="nil"/>
          <w:right w:val="nil"/>
          <w:between w:val="nil"/>
        </w:pBdr>
        <w:spacing w:after="0" w:line="360" w:lineRule="auto"/>
        <w:ind w:left="440" w:firstLine="720"/>
        <w:rPr>
          <w:rFonts w:ascii="Times New Roman" w:hAnsi="Times New Roman" w:cs="Times New Roman"/>
          <w:color w:val="000000"/>
          <w:sz w:val="24"/>
          <w:szCs w:val="24"/>
        </w:rPr>
      </w:pPr>
      <w:hyperlink r:id="rId30">
        <w:r w:rsidRPr="004B3881" w:rsidR="00D828B9">
          <w:rPr>
            <w:rFonts w:ascii="Times New Roman" w:hAnsi="Times New Roman" w:cs="Times New Roman"/>
            <w:color w:val="000000"/>
            <w:sz w:val="24"/>
            <w:szCs w:val="24"/>
          </w:rPr>
          <w:t xml:space="preserve">———. 2021b. “Net Zero by 2050 A Roadmap for the Global Energy Sector.” International Energy Agency. </w:t>
        </w:r>
      </w:hyperlink>
      <w:hyperlink r:id="rId31">
        <w:r w:rsidRPr="004B3881" w:rsidR="00D828B9">
          <w:rPr>
            <w:rFonts w:ascii="Times New Roman" w:hAnsi="Times New Roman" w:cs="Times New Roman"/>
            <w:color w:val="000000"/>
            <w:sz w:val="24"/>
            <w:szCs w:val="24"/>
          </w:rPr>
          <w:t>https://www.iea.org/reports/net-zero-by-2050</w:t>
        </w:r>
      </w:hyperlink>
      <w:hyperlink r:id="rId32">
        <w:r w:rsidRPr="004B3881" w:rsidR="00D828B9">
          <w:rPr>
            <w:rFonts w:ascii="Times New Roman" w:hAnsi="Times New Roman" w:cs="Times New Roman"/>
            <w:color w:val="000000"/>
            <w:sz w:val="24"/>
            <w:szCs w:val="24"/>
          </w:rPr>
          <w:t>.</w:t>
        </w:r>
      </w:hyperlink>
    </w:p>
    <w:p w:rsidRPr="004B3881" w:rsidR="00D828B9" w:rsidP="00B71F5B" w:rsidRDefault="00000000" w14:paraId="1D56DAD2" w14:textId="77777777">
      <w:pPr>
        <w:widowControl w:val="0"/>
        <w:pBdr>
          <w:top w:val="nil"/>
          <w:left w:val="nil"/>
          <w:bottom w:val="nil"/>
          <w:right w:val="nil"/>
          <w:between w:val="nil"/>
        </w:pBdr>
        <w:spacing w:after="220" w:line="360" w:lineRule="auto"/>
        <w:ind w:left="440" w:firstLine="720"/>
        <w:rPr>
          <w:rFonts w:ascii="Times New Roman" w:hAnsi="Times New Roman" w:cs="Times New Roman"/>
          <w:color w:val="000000"/>
          <w:sz w:val="24"/>
          <w:szCs w:val="24"/>
        </w:rPr>
      </w:pPr>
      <w:hyperlink r:id="rId33">
        <w:r w:rsidRPr="004B3881" w:rsidR="00D828B9">
          <w:rPr>
            <w:rFonts w:ascii="Times New Roman" w:hAnsi="Times New Roman" w:cs="Times New Roman"/>
            <w:color w:val="000000"/>
            <w:sz w:val="24"/>
            <w:szCs w:val="24"/>
          </w:rPr>
          <w:t xml:space="preserve">“The Cost of Financing for Renewable Power.” 2023. IRENA. </w:t>
        </w:r>
      </w:hyperlink>
      <w:hyperlink r:id="rId34">
        <w:r w:rsidRPr="004B3881" w:rsidR="00D828B9">
          <w:rPr>
            <w:rFonts w:ascii="Times New Roman" w:hAnsi="Times New Roman" w:cs="Times New Roman"/>
            <w:color w:val="000000"/>
            <w:sz w:val="24"/>
            <w:szCs w:val="24"/>
          </w:rPr>
          <w:t>https://www.irena.org/Publications/2023/May/The-cost-of-financing-for-renewable-power</w:t>
        </w:r>
      </w:hyperlink>
    </w:p>
    <w:sectPr w:rsidRPr="004B3881" w:rsidR="00D828B9" w:rsidSect="00B71F5B">
      <w:headerReference w:type="even" r:id="rId35"/>
      <w:footerReference w:type="even" r:id="rId36"/>
      <w:footerReference w:type="default" r:id="rId37"/>
      <w:headerReference w:type="first" r:id="rId38"/>
      <w:footerReference w:type="first" r:id="rId39"/>
      <w:pgSz w:w="12240" w:h="15840" w:orient="portrait"/>
      <w:pgMar w:top="1440" w:right="1440" w:bottom="1440" w:left="1440" w:header="720" w:footer="720" w:gutter="0"/>
      <w:pgNumType w:start="1"/>
      <w:cols w:space="720"/>
      <w:titlePg/>
      <w:docGrid w:linePitch="299"/>
      <w:headerReference w:type="default" r:id="Rad9cc9b1f321429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C04F4" w:rsidRDefault="009C04F4" w14:paraId="4A287DE1" w14:textId="77777777">
      <w:pPr>
        <w:spacing w:after="0" w:line="240" w:lineRule="auto"/>
      </w:pPr>
      <w:r>
        <w:separator/>
      </w:r>
    </w:p>
  </w:endnote>
  <w:endnote w:type="continuationSeparator" w:id="0">
    <w:p w:rsidR="009C04F4" w:rsidRDefault="009C04F4" w14:paraId="4608988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w:fontKey="{9F2A035F-EEEC-4B43-999F-977DBB49C035}" r:id="rId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w:fontKey="{585BAA14-C84A-4FC7-988C-0E54960DF700}" r:id="rId2"/>
    <w:embedBold w:fontKey="{6182C184-1F6A-4953-AAAA-24BAA2AFC683}" r:id="rId3"/>
    <w:embedItalic w:fontKey="{014E449A-1FBC-4E8F-9615-BD2CDF2B3FB6}" r:id="rId4"/>
    <w:embedBoldItalic w:fontKey="{6D71880B-391D-4640-AB38-9C4E9EA8EDB6}" r:id="rId5"/>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19E3D6E7-6C76-4675-820E-EBC04B46A7C5}" r:id="rId6"/>
    <w:embedBold w:fontKey="{C7271BEB-7796-4010-A0A6-F7AA25D80901}" r:id="rId7"/>
  </w:font>
  <w:font w:name="Roboto">
    <w:panose1 w:val="02000000000000000000"/>
    <w:charset w:val="00"/>
    <w:family w:val="auto"/>
    <w:pitch w:val="variable"/>
    <w:sig w:usb0="E0000AFF" w:usb1="5000217F" w:usb2="00000021" w:usb3="00000000" w:csb0="0000019F" w:csb1="00000000"/>
    <w:embedRegular w:fontKey="{202FA289-9728-4AFF-9B6D-0AF57B4709A1}" r:id="rId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0A6630AD-1D54-4508-8BDD-17DE6A9A41E0}" r:id="rI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828B9" w:rsidRDefault="00D828B9" w14:paraId="71086D47" w14:textId="7777777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828B9" w:rsidRDefault="009C06C3" w14:paraId="3F87DA97" w14:textId="77777777">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D0E09">
      <w:rPr>
        <w:noProof/>
        <w:color w:val="000000"/>
      </w:rPr>
      <w:t>1</w:t>
    </w:r>
    <w:r>
      <w:rPr>
        <w:color w:val="000000"/>
      </w:rPr>
      <w:fldChar w:fldCharType="end"/>
    </w:r>
  </w:p>
  <w:p w:rsidR="00D828B9" w:rsidRDefault="00D828B9" w14:paraId="59D9B948" w14:textId="77777777">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828B9" w:rsidRDefault="00D828B9" w14:paraId="08534003" w14:textId="7777777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C04F4" w:rsidRDefault="009C04F4" w14:paraId="32038109" w14:textId="77777777">
      <w:pPr>
        <w:spacing w:after="0" w:line="240" w:lineRule="auto"/>
      </w:pPr>
      <w:r>
        <w:separator/>
      </w:r>
    </w:p>
  </w:footnote>
  <w:footnote w:type="continuationSeparator" w:id="0">
    <w:p w:rsidR="009C04F4" w:rsidRDefault="009C04F4" w14:paraId="207345C4" w14:textId="77777777">
      <w:pPr>
        <w:spacing w:after="0" w:line="240" w:lineRule="auto"/>
      </w:pPr>
      <w:r>
        <w:continuationSeparator/>
      </w:r>
    </w:p>
  </w:footnote>
  <w:footnote w:id="1">
    <w:p w:rsidR="00D828B9" w:rsidRDefault="009C06C3" w14:paraId="31D16E5A" w14:textId="77777777">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World Economic Forum (2020), </w:t>
      </w:r>
      <w:hyperlink r:id="rId1">
        <w:r w:rsidR="00D828B9">
          <w:rPr>
            <w:color w:val="0563C1"/>
            <w:sz w:val="20"/>
            <w:szCs w:val="20"/>
            <w:u w:val="single"/>
          </w:rPr>
          <w:t>Race to zero: this graphics shows the rapidly falling cost of renewables</w:t>
        </w:r>
      </w:hyperlink>
    </w:p>
  </w:footnote>
  <w:footnote w:id="2">
    <w:p w:rsidR="00D828B9" w:rsidRDefault="009C06C3" w14:paraId="4A8332C2" w14:textId="77777777">
      <w:pPr>
        <w:spacing w:after="0" w:line="240" w:lineRule="auto"/>
        <w:rPr>
          <w:sz w:val="20"/>
          <w:szCs w:val="20"/>
        </w:rPr>
      </w:pPr>
      <w:r>
        <w:rPr>
          <w:vertAlign w:val="superscript"/>
        </w:rPr>
        <w:footnoteRef/>
      </w:r>
      <w:r>
        <w:rPr>
          <w:sz w:val="20"/>
          <w:szCs w:val="20"/>
        </w:rPr>
        <w:t xml:space="preserve"> 2020 </w:t>
      </w:r>
      <w:hyperlink r:id="rId2">
        <w:r w:rsidR="00D828B9">
          <w:rPr>
            <w:color w:val="1155CC"/>
            <w:sz w:val="20"/>
            <w:szCs w:val="20"/>
            <w:u w:val="single"/>
          </w:rPr>
          <w:t>Joint Report</w:t>
        </w:r>
      </w:hyperlink>
      <w:r>
        <w:rPr>
          <w:sz w:val="20"/>
          <w:szCs w:val="20"/>
        </w:rPr>
        <w:t xml:space="preserve"> on MDBs’ Climate Finance  </w:t>
      </w:r>
    </w:p>
  </w:footnote>
  <w:footnote w:id="3">
    <w:p w:rsidR="00D828B9" w:rsidRDefault="009C06C3" w14:paraId="263F21EE" w14:textId="77777777">
      <w:pPr>
        <w:spacing w:after="0" w:line="240" w:lineRule="auto"/>
        <w:rPr>
          <w:sz w:val="20"/>
          <w:szCs w:val="20"/>
        </w:rPr>
      </w:pPr>
      <w:r>
        <w:rPr>
          <w:vertAlign w:val="superscript"/>
        </w:rPr>
        <w:footnoteRef/>
      </w:r>
      <w:r>
        <w:rPr>
          <w:sz w:val="20"/>
          <w:szCs w:val="20"/>
        </w:rPr>
        <w:t xml:space="preserve"> Note: This name and acronym are merely placeholders, internal to this document. </w:t>
      </w:r>
    </w:p>
  </w:footnote>
  <w:footnote w:id="4">
    <w:p w:rsidR="00D828B9" w:rsidRDefault="009C06C3" w14:paraId="5F057F0D" w14:textId="77777777">
      <w:pPr>
        <w:spacing w:after="0" w:line="240" w:lineRule="auto"/>
        <w:rPr>
          <w:sz w:val="20"/>
          <w:szCs w:val="20"/>
        </w:rPr>
      </w:pPr>
      <w:r>
        <w:rPr>
          <w:vertAlign w:val="superscript"/>
        </w:rPr>
        <w:footnoteRef/>
      </w:r>
      <w:r>
        <w:rPr>
          <w:sz w:val="20"/>
          <w:szCs w:val="20"/>
        </w:rPr>
        <w:t xml:space="preserve"> Jindal and Shrimali (2022). </w:t>
      </w:r>
      <w:hyperlink r:id="rId3">
        <w:r w:rsidR="00D828B9">
          <w:rPr>
            <w:color w:val="1155CC"/>
            <w:sz w:val="20"/>
            <w:szCs w:val="20"/>
            <w:u w:val="single"/>
          </w:rPr>
          <w:t>Cost–benefit analysis of coal plant repurposing in developing countries: A case study of India</w:t>
        </w:r>
      </w:hyperlink>
      <w:r>
        <w:rPr>
          <w:sz w:val="20"/>
          <w:szCs w:val="20"/>
        </w:rPr>
        <w:t xml:space="preserve">. </w:t>
      </w:r>
      <w:r>
        <w:rPr>
          <w:i/>
          <w:sz w:val="20"/>
          <w:szCs w:val="20"/>
        </w:rPr>
        <w:t>Energy Policy,</w:t>
      </w:r>
      <w:r>
        <w:rPr>
          <w:sz w:val="20"/>
          <w:szCs w:val="20"/>
        </w:rPr>
        <w:t xml:space="preserve"> May 2022.</w:t>
      </w:r>
    </w:p>
  </w:footnote>
  <w:footnote w:id="5">
    <w:p w:rsidR="00D828B9" w:rsidRDefault="009C06C3" w14:paraId="70E7FC86" w14:textId="77777777">
      <w:pPr>
        <w:spacing w:after="0" w:line="240" w:lineRule="auto"/>
        <w:rPr>
          <w:sz w:val="20"/>
          <w:szCs w:val="20"/>
        </w:rPr>
      </w:pPr>
      <w:r>
        <w:rPr>
          <w:vertAlign w:val="superscript"/>
        </w:rPr>
        <w:footnoteRef/>
      </w:r>
      <w:r>
        <w:rPr>
          <w:sz w:val="20"/>
          <w:szCs w:val="20"/>
        </w:rPr>
        <w:t xml:space="preserve"> Gireesh Shrimali (2022). Financial Benefits of Repurposing Tamil Nadu’s Old Coal Plants. </w:t>
      </w:r>
      <w:r>
        <w:rPr>
          <w:i/>
          <w:sz w:val="20"/>
          <w:szCs w:val="20"/>
        </w:rPr>
        <w:t>Climate Risk Horizons,</w:t>
      </w:r>
      <w:r>
        <w:rPr>
          <w:sz w:val="20"/>
          <w:szCs w:val="20"/>
        </w:rPr>
        <w:t xml:space="preserve"> May 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828B9" w:rsidRDefault="00D828B9" w14:paraId="6A2D841C" w14:textId="7777777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828B9" w:rsidP="3D21F7DA" w:rsidRDefault="00B71F5B" w14:paraId="47400C43" w14:textId="3F6F4AB5" w14:noSpellErr="1">
    <w:pPr>
      <w:pBdr>
        <w:top w:val="nil" w:color="000000" w:sz="0" w:space="0"/>
        <w:left w:val="nil" w:color="000000" w:sz="0" w:space="0"/>
        <w:bottom w:val="nil" w:color="000000" w:sz="0" w:space="0"/>
        <w:right w:val="nil" w:color="000000" w:sz="0" w:space="0"/>
        <w:between w:val="nil" w:color="000000" w:sz="0" w:space="0"/>
      </w:pBdr>
      <w:tabs>
        <w:tab w:val="center" w:pos="4680"/>
        <w:tab w:val="right" w:pos="9360"/>
      </w:tabs>
      <w:spacing w:after="0" w:line="240" w:lineRule="auto"/>
      <w:rPr>
        <w:color w:val="000000"/>
      </w:rPr>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D21F7DA" w:rsidTr="3D21F7DA" w14:paraId="03990DDA">
      <w:trPr>
        <w:trHeight w:val="300"/>
      </w:trPr>
      <w:tc>
        <w:tcPr>
          <w:tcW w:w="3120" w:type="dxa"/>
          <w:tcMar/>
        </w:tcPr>
        <w:p w:rsidR="3D21F7DA" w:rsidP="3D21F7DA" w:rsidRDefault="3D21F7DA" w14:paraId="2FD625E1" w14:textId="421129DD">
          <w:pPr>
            <w:pStyle w:val="Header"/>
            <w:bidi w:val="0"/>
            <w:ind w:left="-115"/>
            <w:jc w:val="left"/>
          </w:pPr>
        </w:p>
      </w:tc>
      <w:tc>
        <w:tcPr>
          <w:tcW w:w="3120" w:type="dxa"/>
          <w:tcMar/>
        </w:tcPr>
        <w:p w:rsidR="3D21F7DA" w:rsidP="3D21F7DA" w:rsidRDefault="3D21F7DA" w14:paraId="5EAA0821" w14:textId="6581A06E">
          <w:pPr>
            <w:pStyle w:val="Header"/>
            <w:bidi w:val="0"/>
            <w:jc w:val="center"/>
          </w:pPr>
        </w:p>
      </w:tc>
      <w:tc>
        <w:tcPr>
          <w:tcW w:w="3120" w:type="dxa"/>
          <w:tcMar/>
        </w:tcPr>
        <w:p w:rsidR="3D21F7DA" w:rsidP="3D21F7DA" w:rsidRDefault="3D21F7DA" w14:paraId="72F28C8B" w14:textId="583928F0">
          <w:pPr>
            <w:pStyle w:val="Header"/>
            <w:bidi w:val="0"/>
            <w:ind w:right="-115"/>
            <w:jc w:val="right"/>
          </w:pPr>
        </w:p>
      </w:tc>
    </w:tr>
  </w:tbl>
  <w:p w:rsidR="3D21F7DA" w:rsidP="3D21F7DA" w:rsidRDefault="3D21F7DA" w14:paraId="4BB36F63" w14:textId="4B875C46">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9137CB"/>
    <w:multiLevelType w:val="multilevel"/>
    <w:tmpl w:val="5EC641D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3B451763"/>
    <w:multiLevelType w:val="multilevel"/>
    <w:tmpl w:val="07244FB0"/>
    <w:lvl w:ilvl="0">
      <w:start w:val="1"/>
      <w:numFmt w:val="decimal"/>
      <w:lvlText w:val="%1."/>
      <w:lvlJc w:val="left"/>
      <w:pPr>
        <w:ind w:left="0" w:hanging="360"/>
      </w:pPr>
      <w:rPr>
        <w:rFonts w:ascii="Times New Roman" w:hAnsi="Times New Roman" w:eastAsia="Garamond" w:cs="Times New Roman"/>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2" w15:restartNumberingAfterBreak="0">
    <w:nsid w:val="3FB373CD"/>
    <w:multiLevelType w:val="multilevel"/>
    <w:tmpl w:val="B81466F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49C95BE3"/>
    <w:multiLevelType w:val="hybridMultilevel"/>
    <w:tmpl w:val="C4187FA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4D6F7363"/>
    <w:multiLevelType w:val="hybridMultilevel"/>
    <w:tmpl w:val="C6CAE37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68BA0514"/>
    <w:multiLevelType w:val="hybridMultilevel"/>
    <w:tmpl w:val="E52699A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6F241643"/>
    <w:multiLevelType w:val="multilevel"/>
    <w:tmpl w:val="578E4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9078439">
    <w:abstractNumId w:val="2"/>
  </w:num>
  <w:num w:numId="2" w16cid:durableId="207377883">
    <w:abstractNumId w:val="0"/>
  </w:num>
  <w:num w:numId="3" w16cid:durableId="365104977">
    <w:abstractNumId w:val="1"/>
  </w:num>
  <w:num w:numId="4" w16cid:durableId="1273630305">
    <w:abstractNumId w:val="6"/>
  </w:num>
  <w:num w:numId="5" w16cid:durableId="380788160">
    <w:abstractNumId w:val="5"/>
  </w:num>
  <w:num w:numId="6" w16cid:durableId="1370908667">
    <w:abstractNumId w:val="3"/>
  </w:num>
  <w:num w:numId="7" w16cid:durableId="897015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8B9"/>
    <w:rsid w:val="00102A69"/>
    <w:rsid w:val="001D5098"/>
    <w:rsid w:val="00306F6F"/>
    <w:rsid w:val="004B3881"/>
    <w:rsid w:val="00591AAE"/>
    <w:rsid w:val="005C7AA9"/>
    <w:rsid w:val="006A2BF4"/>
    <w:rsid w:val="00794AF7"/>
    <w:rsid w:val="008409E6"/>
    <w:rsid w:val="009C04F4"/>
    <w:rsid w:val="009C06C3"/>
    <w:rsid w:val="00A00813"/>
    <w:rsid w:val="00AC46E8"/>
    <w:rsid w:val="00AF368E"/>
    <w:rsid w:val="00B71F5B"/>
    <w:rsid w:val="00BB3277"/>
    <w:rsid w:val="00D828B9"/>
    <w:rsid w:val="00FD0E09"/>
    <w:rsid w:val="00FE6884"/>
    <w:rsid w:val="3D21F7DA"/>
    <w:rsid w:val="63CB86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5B53"/>
  <w15:docId w15:val="{01E21469-5585-D448-85B4-AA5330080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hAnsi="Garamond" w:eastAsia="Garamond" w:cs="Garamond"/>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0"/>
      <w:outlineLvl w:val="0"/>
    </w:pPr>
    <w:rPr>
      <w:rFonts w:ascii="Calibri" w:hAnsi="Calibri" w:eastAsia="Calibri" w:cs="Calibri"/>
      <w:color w:val="2F5496"/>
      <w:sz w:val="32"/>
      <w:szCs w:val="32"/>
    </w:rPr>
  </w:style>
  <w:style w:type="paragraph" w:styleId="Heading2">
    <w:name w:val="heading 2"/>
    <w:basedOn w:val="Normal"/>
    <w:next w:val="Normal"/>
    <w:uiPriority w:val="9"/>
    <w:unhideWhenUsed/>
    <w:qFormat/>
    <w:pPr>
      <w:keepNext/>
      <w:keepLines/>
      <w:spacing w:before="40" w:after="120"/>
      <w:outlineLvl w:val="1"/>
    </w:pPr>
    <w:rPr>
      <w:rFonts w:ascii="Calibri" w:hAnsi="Calibri" w:eastAsia="Calibri" w:cs="Calibri"/>
      <w:color w:val="2F5496"/>
      <w:sz w:val="26"/>
      <w:szCs w:val="26"/>
    </w:rPr>
  </w:style>
  <w:style w:type="paragraph" w:styleId="Heading3">
    <w:name w:val="heading 3"/>
    <w:basedOn w:val="Normal"/>
    <w:next w:val="Normal"/>
    <w:uiPriority w:val="9"/>
    <w:unhideWhenUsed/>
    <w:qFormat/>
    <w:pPr>
      <w:keepNext/>
      <w:keepLines/>
      <w:spacing w:before="40" w:after="0"/>
      <w:outlineLvl w:val="2"/>
    </w:pPr>
    <w:rPr>
      <w:rFonts w:ascii="Calibri" w:hAnsi="Calibri" w:eastAsia="Calibri" w:cs="Calibri"/>
      <w:color w:val="1F3863"/>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0" w:line="240" w:lineRule="auto"/>
    </w:pPr>
    <w:rPr>
      <w:rFonts w:ascii="Calibri" w:hAnsi="Calibri" w:eastAsia="Calibri" w:cs="Calibri"/>
      <w:sz w:val="56"/>
      <w:szCs w:val="56"/>
    </w:rPr>
  </w:style>
  <w:style w:type="paragraph" w:styleId="Subtitle">
    <w:name w:val="Subtitle"/>
    <w:basedOn w:val="Normal"/>
    <w:next w:val="Normal"/>
    <w:uiPriority w:val="11"/>
    <w:qFormat/>
    <w:rPr>
      <w:rFonts w:ascii="Calibri" w:hAnsi="Calibri" w:eastAsia="Calibri" w:cs="Calibri"/>
      <w:color w:val="5A5A5A"/>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71F5B"/>
    <w:pPr>
      <w:tabs>
        <w:tab w:val="center" w:pos="4513"/>
        <w:tab w:val="right" w:pos="9026"/>
      </w:tabs>
      <w:spacing w:after="0" w:line="240" w:lineRule="auto"/>
    </w:pPr>
  </w:style>
  <w:style w:type="character" w:styleId="HeaderChar" w:customStyle="1">
    <w:name w:val="Header Char"/>
    <w:basedOn w:val="DefaultParagraphFont"/>
    <w:link w:val="Header"/>
    <w:uiPriority w:val="99"/>
    <w:rsid w:val="00B71F5B"/>
  </w:style>
  <w:style w:type="paragraph" w:styleId="ListParagraph">
    <w:name w:val="List Paragraph"/>
    <w:basedOn w:val="Normal"/>
    <w:uiPriority w:val="34"/>
    <w:qFormat/>
    <w:rsid w:val="004B3881"/>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8160976">
      <w:bodyDiv w:val="1"/>
      <w:marLeft w:val="0"/>
      <w:marRight w:val="0"/>
      <w:marTop w:val="0"/>
      <w:marBottom w:val="0"/>
      <w:divBdr>
        <w:top w:val="none" w:sz="0" w:space="0" w:color="auto"/>
        <w:left w:val="none" w:sz="0" w:space="0" w:color="auto"/>
        <w:bottom w:val="none" w:sz="0" w:space="0" w:color="auto"/>
        <w:right w:val="none" w:sz="0" w:space="0" w:color="auto"/>
      </w:divBdr>
    </w:div>
    <w:div w:id="18855549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yperlink" Target="https://www.mdpi.com/2071-1050/9/5/783" TargetMode="External" Id="rId13" /><Relationship Type="http://schemas.openxmlformats.org/officeDocument/2006/relationships/hyperlink" Target="https://ppp.worldbank.org/public-private-partnership/sector/energy/energy-power-agreements/power-purchase-agreements" TargetMode="External" Id="rId18" /><Relationship Type="http://schemas.openxmlformats.org/officeDocument/2006/relationships/hyperlink" Target="https://climateriskhorizons.com/research/TN_Repurposing.pdf" TargetMode="External" Id="rId26" /><Relationship Type="http://schemas.openxmlformats.org/officeDocument/2006/relationships/footer" Target="footer3.xml" Id="rId39" /><Relationship Type="http://schemas.openxmlformats.org/officeDocument/2006/relationships/hyperlink" Target="https://gjia.georgetown.edu/2020/02/24/part-i-how-auctions-helped-solar/" TargetMode="External" Id="rId21" /><Relationship Type="http://schemas.openxmlformats.org/officeDocument/2006/relationships/hyperlink" Target="https://www.irena.org/Publications/2023/May/The-cost-of-financing-for-renewable-power" TargetMode="External" Id="rId34" /><Relationship Type="http://schemas.openxmlformats.org/officeDocument/2006/relationships/hyperlink" Target="https://paperpile.com/c/f4vGg4/10Hhk" TargetMode="External" Id="rId7" /><Relationship Type="http://schemas.openxmlformats.org/officeDocument/2006/relationships/styles" Target="styles.xml" Id="rId2" /><Relationship Type="http://schemas.openxmlformats.org/officeDocument/2006/relationships/hyperlink" Target="https://thedocs.worldbank.org/en/doc/9234bfc633439d0172f6a6eb8df1b881-0020012021/original/2020-Joint-MDB-report-on-climate-finance-Report-final-web.pdf" TargetMode="External" Id="rId16" /><Relationship Type="http://schemas.openxmlformats.org/officeDocument/2006/relationships/hyperlink" Target="https://www.usaid.gov/sites/default/files/2022-05/USAID_SURE_Designing-Renewable-Energy-Auctions-Policymakers-Guide.pdf" TargetMode="External" Id="rId20" /><Relationship Type="http://schemas.openxmlformats.org/officeDocument/2006/relationships/hyperlink" Target="http://paperpile.com/b/f4vGg4/Yl3U" TargetMode="External" Id="rId29" /><Relationship Type="http://schemas.openxmlformats.org/officeDocument/2006/relationships/theme" Target="theme/theme1.xml" Id="rId41"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paperpile.com/c/f4vGg4/Yl3U" TargetMode="External" Id="rId11" /><Relationship Type="http://schemas.openxmlformats.org/officeDocument/2006/relationships/image" Target="media/image3.png" Id="rId24" /><Relationship Type="http://schemas.openxmlformats.org/officeDocument/2006/relationships/hyperlink" Target="http://paperpile.com/b/f4vGg4/nRES" TargetMode="External" Id="rId32" /><Relationship Type="http://schemas.openxmlformats.org/officeDocument/2006/relationships/footer" Target="footer2.xml" Id="rId37" /><Relationship Type="http://schemas.openxmlformats.org/officeDocument/2006/relationships/fontTable" Target="fontTable.xml" Id="rId40" /><Relationship Type="http://schemas.openxmlformats.org/officeDocument/2006/relationships/footnotes" Target="footnotes.xml" Id="rId5" /><Relationship Type="http://schemas.openxmlformats.org/officeDocument/2006/relationships/image" Target="media/image2.png" Id="rId15" /><Relationship Type="http://schemas.openxmlformats.org/officeDocument/2006/relationships/hyperlink" Target="https://www.ceew.in/cef/masterclass/explains/how-payment-security-mechanism-works" TargetMode="External" Id="rId23" /><Relationship Type="http://schemas.openxmlformats.org/officeDocument/2006/relationships/hyperlink" Target="https://iea.blob.core.windows.net/assets/6756ccd2-0772-4ffd-85e4-b73428ff9c72/FinancingCleanEnergyTransitionsinEMDEs_WorldEnergyInvestment2021SpecialReport.pdf" TargetMode="External" Id="rId28" /><Relationship Type="http://schemas.openxmlformats.org/officeDocument/2006/relationships/footer" Target="footer1.xml" Id="rId36" /><Relationship Type="http://schemas.openxmlformats.org/officeDocument/2006/relationships/hyperlink" Target="https://www.iea.org/news/iea-ifc-joint-report-calls-for-ramping-up-clean-energy-investments-in-emerging-and-developing-economies" TargetMode="External" Id="rId10" /><Relationship Type="http://schemas.openxmlformats.org/officeDocument/2006/relationships/hyperlink" Target="https://www.sciencedirect.com/science/article/pii/S0973082621000272" TargetMode="External" Id="rId19" /><Relationship Type="http://schemas.openxmlformats.org/officeDocument/2006/relationships/hyperlink" Target="https://www.iea.org/reports/net-zero-by-2050" TargetMode="External" Id="rId31" /><Relationship Type="http://schemas.openxmlformats.org/officeDocument/2006/relationships/webSettings" Target="webSettings.xml" Id="rId4" /><Relationship Type="http://schemas.openxmlformats.org/officeDocument/2006/relationships/hyperlink" Target="https://paperpile.com/c/f4vGg4/nRES" TargetMode="External" Id="rId9" /><Relationship Type="http://schemas.openxmlformats.org/officeDocument/2006/relationships/image" Target="media/image1.png" Id="rId14" /><Relationship Type="http://schemas.openxmlformats.org/officeDocument/2006/relationships/hyperlink" Target="https://cea.nic.in/wp-content/uploads/f___ca/2020/10/D_754_1603265813247.pdf" TargetMode="External" Id="rId22" /><Relationship Type="http://schemas.openxmlformats.org/officeDocument/2006/relationships/hyperlink" Target="http://paperpile.com/b/f4vGg4/Yl3U" TargetMode="External" Id="rId27" /><Relationship Type="http://schemas.openxmlformats.org/officeDocument/2006/relationships/hyperlink" Target="http://paperpile.com/b/f4vGg4/nRES" TargetMode="External" Id="rId30" /><Relationship Type="http://schemas.openxmlformats.org/officeDocument/2006/relationships/header" Target="header1.xml" Id="rId35" /><Relationship Type="http://schemas.openxmlformats.org/officeDocument/2006/relationships/hyperlink" Target="https://iea.blob.core.windows.net/assets/deebef5d-0c34-4539-9d0c-10b13d840027/NetZeroby2050-ARoadmapfortheGlobalEnergySector_CORR.pdf" TargetMode="External" Id="rId8" /><Relationship Type="http://schemas.openxmlformats.org/officeDocument/2006/relationships/settings" Target="settings.xml" Id="rId3" /><Relationship Type="http://schemas.openxmlformats.org/officeDocument/2006/relationships/hyperlink" Target="https://paperpile.com/c/f4vGg4/Zg8Y" TargetMode="External" Id="rId12" /><Relationship Type="http://schemas.openxmlformats.org/officeDocument/2006/relationships/hyperlink" Target="https://thedocs.worldbank.org/en/doc/9234bfc633439d0172f6a6eb8df1b881-0020012021/original/2020-Joint-MDB-report-on-climate-finance-Report-final-web.pdf" TargetMode="External" Id="rId17" /><Relationship Type="http://schemas.openxmlformats.org/officeDocument/2006/relationships/hyperlink" Target="https://www.smithschool.ox.ac.uk/person/dr-gireesh-shrimali" TargetMode="External" Id="rId25" /><Relationship Type="http://schemas.openxmlformats.org/officeDocument/2006/relationships/hyperlink" Target="http://paperpile.com/b/f4vGg4/10Hhk" TargetMode="External" Id="rId33" /><Relationship Type="http://schemas.openxmlformats.org/officeDocument/2006/relationships/header" Target="header2.xml" Id="rId38" /><Relationship Type="http://schemas.openxmlformats.org/officeDocument/2006/relationships/header" Target="header3.xml" Id="Rad9cc9b1f321429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3" Type="http://schemas.openxmlformats.org/officeDocument/2006/relationships/hyperlink" Target="https://www.sciencedirect.com/science/article/abs/pii/S0301421522001367" TargetMode="External"/><Relationship Id="rId2" Type="http://schemas.openxmlformats.org/officeDocument/2006/relationships/hyperlink" Target="https://reliefweb.int/report/world/2020-joint-report-multilateral-development-banks-climate-finance" TargetMode="External"/><Relationship Id="rId1" Type="http://schemas.openxmlformats.org/officeDocument/2006/relationships/hyperlink" Target="https://www.weforum.org/agenda/2020/11/cost-renewable-energy-falling-race-to-zero-emi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Eve Lauren Davey</lastModifiedBy>
  <revision>9</revision>
  <dcterms:created xsi:type="dcterms:W3CDTF">2024-10-10T05:32:00.0000000Z</dcterms:created>
  <dcterms:modified xsi:type="dcterms:W3CDTF">2024-11-15T02:33:52.2263251Z</dcterms:modified>
</coreProperties>
</file>