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Time_and_Chance_TOC</w:t>
      </w:r>
    </w:p>
    <w:bookmarkStart w:id="9" w:name="time-and-chance"/>
    <w:p>
      <w:pPr>
        <w:pStyle w:val="Heading1"/>
      </w:pPr>
      <w:r>
        <w:t xml:space="preserve">Time and Chance</w:t>
      </w:r>
    </w:p>
    <w:p>
      <w:pPr>
        <w:pStyle w:val="FirstParagraph"/>
      </w:pPr>
      <w:r>
        <w:rPr>
          <w:i/>
          <w:iCs/>
        </w:rPr>
        <w:t xml:space="preserve">Table of contents â€” final</w:t>
      </w:r>
    </w:p>
    <w:p>
      <w:pPr>
        <w:pStyle w:val="BodyText"/>
      </w:pPr>
      <w:r>
        <w:rPr>
          <w:b/>
          <w:bCs/>
        </w:rPr>
        <w:t xml:space="preserve">Preface</w:t>
      </w:r>
    </w:p>
    <w:p>
      <w:pPr>
        <w:pStyle w:val="BodyText"/>
      </w:pPr>
      <w:r>
        <w:rPr>
          <w:b/>
          <w:bCs/>
        </w:rPr>
        <w:t xml:space="preserve">A Note on Terms</w:t>
      </w:r>
    </w:p>
    <w:p>
      <w:pPr>
        <w:pStyle w:val="BodyText"/>
      </w:pPr>
      <w:r>
        <w:rPr>
          <w:b/>
          <w:bCs/>
        </w:rPr>
        <w:t xml:space="preserve">Part I â€” The Price of Money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Why Capital Costs Too Much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Financial Constraints as a Barrier to Renewable Uptake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Why Risk Matters: A Primer</w:t>
      </w:r>
    </w:p>
    <w:p>
      <w:pPr>
        <w:pStyle w:val="FirstParagraph"/>
      </w:pPr>
      <w:r>
        <w:rPr>
          <w:b/>
          <w:bCs/>
        </w:rPr>
        <w:t xml:space="preserve">Part II â€” Contracts: Making Revenue Bankable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Why Contracts Beat Prices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7"/>
        </w:numPr>
      </w:pPr>
      <w:r>
        <w:t xml:space="preserve">Commitment Devices: Contracts for Difference and Price Floors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8"/>
        </w:numPr>
      </w:pPr>
      <w:r>
        <w:t xml:space="preserve">The Power Sector and Carbon Pricing</w:t>
      </w:r>
    </w:p>
    <w:p>
      <w:pPr>
        <w:pStyle w:val="FirstParagraph"/>
      </w:pPr>
      <w:r>
        <w:rPr>
          <w:b/>
          <w:bCs/>
        </w:rPr>
        <w:t xml:space="preserve">Part III â€” The Instruments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0"/>
        </w:numPr>
      </w:pPr>
      <w:r>
        <w:t xml:space="preserve">Forms of Guarantees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1"/>
        </w:numPr>
      </w:pPr>
      <w:r>
        <w:t xml:space="preserve">Synthetic Sovereign Bonds for Green Energy Investment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2"/>
        </w:numPr>
      </w:pPr>
      <w:r>
        <w:t xml:space="preserve">What the Record Shows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3"/>
        </w:numPr>
      </w:pPr>
      <w:r>
        <w:t xml:space="preserve">Goals, Criteria, and a Worked Derisking Scheme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4"/>
        </w:numPr>
      </w:pPr>
      <w:r>
        <w:t xml:space="preserve">Procurement Auctions and a Clean Energy Equity Fund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5"/>
        </w:numPr>
      </w:pPr>
      <w:r>
        <w:t xml:space="preserve">Green Policy as Growth Policy</w:t>
      </w:r>
    </w:p>
    <w:p>
      <w:pPr>
        <w:pStyle w:val="Compact"/>
        <w:numPr>
          <w:ilvl w:val="0"/>
          <w:numId w:val="1009"/>
        </w:numPr>
      </w:pPr>
    </w:p>
    <w:p>
      <w:pPr>
        <w:pStyle w:val="Compact"/>
        <w:numPr>
          <w:ilvl w:val="1"/>
          <w:numId w:val="1016"/>
        </w:numPr>
      </w:pPr>
      <w:r>
        <w:t xml:space="preserve">The Sollar: A Solar-Panel-Backed Currency</w:t>
      </w:r>
    </w:p>
    <w:p>
      <w:pPr>
        <w:pStyle w:val="FirstParagraph"/>
      </w:pPr>
      <w:r>
        <w:rPr>
          <w:b/>
          <w:bCs/>
        </w:rPr>
        <w:t xml:space="preserve">Part IV â€” Institutions and the Architecture of Concessionality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t xml:space="preserve">Where the Risk Goes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9"/>
        </w:numPr>
      </w:pPr>
      <w:r>
        <w:t xml:space="preserve">Overcoming the Balance Sheet Limit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0"/>
        </w:numPr>
      </w:pPr>
      <w:r>
        <w:t xml:space="preserve">The Safe Intermediary Strategy: Toward a Theory of Concessionality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1"/>
        </w:numPr>
      </w:pPr>
      <w:r>
        <w:t xml:space="preserve">Why the World Bank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2"/>
        </w:numPr>
      </w:pPr>
      <w:r>
        <w:t xml:space="preserve">Scaling Up Policy Lending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3"/>
        </w:numPr>
      </w:pPr>
      <w:r>
        <w:t xml:space="preserve">The Climate Investment and Insurance Fund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4"/>
        </w:numPr>
      </w:pPr>
      <w:r>
        <w:t xml:space="preserve">The Climate Incentives Trust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25"/>
        </w:numPr>
      </w:pPr>
      <w:r>
        <w:t xml:space="preserve">Rewarding National Carbon Stocks: The Notional Capitalized Carbon Value</w:t>
      </w:r>
    </w:p>
    <w:p>
      <w:pPr>
        <w:pStyle w:val="FirstParagraph"/>
      </w:pPr>
      <w:r>
        <w:rPr>
          <w:b/>
          <w:bCs/>
        </w:rPr>
        <w:t xml:space="preserve">Part V â€” The Hard Cases: Utilities, Grids, Debt, and Coal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7"/>
        </w:numPr>
      </w:pPr>
      <w:r>
        <w:t xml:space="preserve">The Offtakerâ€™s Own Economics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8"/>
        </w:numPr>
      </w:pPr>
      <w:r>
        <w:t xml:space="preserve">The Other Half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29"/>
        </w:numPr>
      </w:pPr>
      <w:r>
        <w:t xml:space="preserve">Avoiding the Non-Renewable Energy Debt Trap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0"/>
        </w:numPr>
      </w:pPr>
      <w:r>
        <w:t xml:space="preserve">Debt Sustainability and Green Investment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1"/>
        </w:numPr>
      </w:pPr>
      <w:r>
        <w:t xml:space="preserve">Phasing Out Coal: New Investment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2"/>
        </w:numPr>
      </w:pPr>
      <w:r>
        <w:t xml:space="preserve">Retiring Existing Coal Assets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3"/>
        </w:numPr>
      </w:pPr>
      <w:r>
        <w:t xml:space="preserve">Vietnam: The Whole Argument in One Country</w:t>
      </w:r>
    </w:p>
    <w:p>
      <w:pPr>
        <w:pStyle w:val="Compact"/>
        <w:numPr>
          <w:ilvl w:val="0"/>
          <w:numId w:val="1026"/>
        </w:numPr>
      </w:pPr>
    </w:p>
    <w:p>
      <w:pPr>
        <w:pStyle w:val="Compact"/>
        <w:numPr>
          <w:ilvl w:val="1"/>
          <w:numId w:val="1034"/>
        </w:numPr>
      </w:pPr>
      <w:r>
        <w:t xml:space="preserve">Two Worlds</w:t>
      </w:r>
    </w:p>
    <w:p>
      <w:pPr>
        <w:pStyle w:val="FirstParagraph"/>
      </w:pPr>
      <w:r>
        <w:rPr>
          <w:b/>
          <w:bCs/>
        </w:rPr>
        <w:t xml:space="preserve">References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3">
    <w:nsid w:val="0A994123"/>
    <w:multiLevelType w:val="multilevel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7">
    <w:nsid w:val="0A994127"/>
    <w:multiLevelType w:val="multilevel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7">
    <w:abstractNumId w:val="991"/>
  </w:num>
  <w:num w:numId="101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1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22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6">
    <w:abstractNumId w:val="991"/>
  </w:num>
  <w:num w:numId="102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8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9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3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31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2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3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34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Time_and_Chance_TOC</dc:title>
  <dc:creator/>
  <cp:keywords/>
  <dcterms:created xsi:type="dcterms:W3CDTF">2026-09-17T18:00:51Z</dcterms:created>
  <dcterms:modified xsi:type="dcterms:W3CDTF">2026-09-17T18:00:51Z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