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Additional</w:t>
      </w:r>
      <w:r>
        <w:t xml:space="preserve"> </w:t>
      </w:r>
      <w:r>
        <w:t xml:space="preserve">Work</w:t>
      </w:r>
    </w:p>
    <w:p>
      <w:pPr>
        <w:pStyle w:val="Subtitle"/>
      </w:pPr>
      <w:r>
        <w:t xml:space="preserve">Index</w:t>
      </w:r>
      <w:r>
        <w:t xml:space="preserve"> </w:t>
      </w:r>
      <w:r>
        <w:t xml:space="preserve">of</w:t>
      </w:r>
      <w:r>
        <w:t xml:space="preserve"> </w:t>
      </w:r>
      <w:r>
        <w:t xml:space="preserve">6.OverviewAndAdditional</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Everything</w:t>
      </w:r>
      <w:r>
        <w:t xml:space="preserve"> </w:t>
      </w:r>
      <w:r>
        <w:t xml:space="preserve">held</w:t>
      </w:r>
      <w:r>
        <w:t xml:space="preserve"> </w:t>
      </w:r>
      <w:r>
        <w:t xml:space="preserve">outside</w:t>
      </w:r>
      <w:r>
        <w:t xml:space="preserve"> </w:t>
      </w:r>
      <w:r>
        <w:t xml:space="preserve">the</w:t>
      </w:r>
      <w:r>
        <w:t xml:space="preserve"> </w:t>
      </w:r>
      <w:r>
        <w:t xml:space="preserve">five</w:t>
      </w:r>
      <w:r>
        <w:t xml:space="preserve"> </w:t>
      </w:r>
      <w:r>
        <w:t xml:space="preserve">research</w:t>
      </w:r>
      <w:r>
        <w:t xml:space="preserve"> </w:t>
      </w:r>
      <w:r>
        <w:t xml:space="preserve">sections:</w:t>
      </w:r>
      <w:r>
        <w:t xml:space="preserve"> </w:t>
      </w:r>
      <w:r>
        <w:t xml:space="preserve">papers</w:t>
      </w:r>
      <w:r>
        <w:t xml:space="preserve"> </w:t>
      </w:r>
      <w:r>
        <w:t xml:space="preserve">retained</w:t>
      </w:r>
      <w:r>
        <w:t xml:space="preserve"> </w:t>
      </w:r>
      <w:r>
        <w:t xml:space="preserve">but</w:t>
      </w:r>
      <w:r>
        <w:t xml:space="preserve"> </w:t>
      </w:r>
      <w:r>
        <w:t xml:space="preserve">not</w:t>
      </w:r>
      <w:r>
        <w:t xml:space="preserve"> </w:t>
      </w:r>
      <w:r>
        <w:t xml:space="preserve">actively</w:t>
      </w:r>
      <w:r>
        <w:t xml:space="preserve"> </w:t>
      </w:r>
      <w:r>
        <w:t xml:space="preserve">developed,</w:t>
      </w:r>
      <w:r>
        <w:t xml:space="preserve"> </w:t>
      </w:r>
      <w:r>
        <w:t xml:space="preserve">the</w:t>
      </w:r>
      <w:r>
        <w:t xml:space="preserve"> </w:t>
      </w:r>
      <w:r>
        <w:t xml:space="preserve">two</w:t>
      </w:r>
      <w:r>
        <w:t xml:space="preserve"> </w:t>
      </w:r>
      <w:r>
        <w:t xml:space="preserve">books,</w:t>
      </w:r>
      <w:r>
        <w:t xml:space="preserve"> </w:t>
      </w:r>
      <w:r>
        <w:t xml:space="preserve">the</w:t>
      </w:r>
      <w:r>
        <w:t xml:space="preserve"> </w:t>
      </w:r>
      <w:r>
        <w:t xml:space="preserve">philosophy</w:t>
      </w:r>
      <w:r>
        <w:t xml:space="preserve"> </w:t>
      </w:r>
      <w:r>
        <w:t xml:space="preserve">essays</w:t>
      </w:r>
      <w:r>
        <w:t xml:space="preserve"> </w:t>
      </w:r>
      <w:r>
        <w:t xml:space="preserve">and</w:t>
      </w:r>
      <w:r>
        <w:t xml:space="preserve"> </w:t>
      </w:r>
      <w:r>
        <w:t xml:space="preserve">the</w:t>
      </w:r>
      <w:r>
        <w:t xml:space="preserve"> </w:t>
      </w:r>
      <w:r>
        <w:t xml:space="preserve">political</w:t>
      </w:r>
      <w:r>
        <w:t xml:space="preserve"> </w:t>
      </w:r>
      <w:r>
        <w:t xml:space="preserve">writing.</w:t>
      </w:r>
      <w:r>
        <w:t xml:space="preserve"> </w:t>
      </w:r>
      <w:r>
        <w:t xml:space="preserve">Nothing</w:t>
      </w:r>
      <w:r>
        <w:t xml:space="preserve"> </w:t>
      </w:r>
      <w:r>
        <w:t xml:space="preserve">here</w:t>
      </w:r>
      <w:r>
        <w:t xml:space="preserve"> </w:t>
      </w:r>
      <w:r>
        <w:t xml:space="preserve">has</w:t>
      </w:r>
      <w:r>
        <w:t xml:space="preserve"> </w:t>
      </w:r>
      <w:r>
        <w:t xml:space="preserve">been</w:t>
      </w:r>
      <w:r>
        <w:t xml:space="preserve"> </w:t>
      </w:r>
      <w:r>
        <w:t xml:space="preserve">abandoned.</w:t>
      </w:r>
      <w:r>
        <w:t xml:space="preserve"> </w:t>
      </w:r>
      <w:r>
        <w:t xml:space="preserve">A</w:t>
      </w:r>
      <w:r>
        <w:t xml:space="preserve"> </w:t>
      </w:r>
      <w:r>
        <w:t xml:space="preserve">retained</w:t>
      </w:r>
      <w:r>
        <w:t xml:space="preserve"> </w:t>
      </w:r>
      <w:r>
        <w:t xml:space="preserve">paper</w:t>
      </w:r>
      <w:r>
        <w:t xml:space="preserve"> </w:t>
      </w:r>
      <w:r>
        <w:t xml:space="preserve">is</w:t>
      </w:r>
      <w:r>
        <w:t xml:space="preserve"> </w:t>
      </w:r>
      <w:r>
        <w:t xml:space="preserve">a</w:t>
      </w:r>
      <w:r>
        <w:t xml:space="preserve"> </w:t>
      </w:r>
      <w:r>
        <w:t xml:space="preserve">complete</w:t>
      </w:r>
      <w:r>
        <w:t xml:space="preserve"> </w:t>
      </w:r>
      <w:r>
        <w:t xml:space="preserve">draft</w:t>
      </w:r>
      <w:r>
        <w:t xml:space="preserve"> </w:t>
      </w:r>
      <w:r>
        <w:t xml:space="preserve">that</w:t>
      </w:r>
      <w:r>
        <w:t xml:space="preserve"> </w:t>
      </w:r>
      <w:r>
        <w:t xml:space="preserve">has</w:t>
      </w:r>
      <w:r>
        <w:t xml:space="preserve"> </w:t>
      </w:r>
      <w:r>
        <w:t xml:space="preserve">been</w:t>
      </w:r>
      <w:r>
        <w:t xml:space="preserve"> </w:t>
      </w:r>
      <w:r>
        <w:t xml:space="preserve">superseded,</w:t>
      </w:r>
      <w:r>
        <w:t xml:space="preserve"> </w:t>
      </w:r>
      <w:r>
        <w:t xml:space="preserve">a</w:t>
      </w:r>
      <w:r>
        <w:t xml:space="preserve"> </w:t>
      </w:r>
      <w:r>
        <w:t xml:space="preserve">product</w:t>
      </w:r>
      <w:r>
        <w:t xml:space="preserve"> </w:t>
      </w:r>
      <w:r>
        <w:t xml:space="preserve">delivered</w:t>
      </w:r>
      <w:r>
        <w:t xml:space="preserve"> </w:t>
      </w:r>
      <w:r>
        <w:t xml:space="preserve">in</w:t>
      </w:r>
      <w:r>
        <w:t xml:space="preserve"> </w:t>
      </w:r>
      <w:r>
        <w:t xml:space="preserve">another</w:t>
      </w:r>
      <w:r>
        <w:t xml:space="preserve"> </w:t>
      </w:r>
      <w:r>
        <w:t xml:space="preserve">form,</w:t>
      </w:r>
      <w:r>
        <w:t xml:space="preserve"> </w:t>
      </w:r>
      <w:r>
        <w:t xml:space="preserve">or</w:t>
      </w:r>
      <w:r>
        <w:t xml:space="preserve"> </w:t>
      </w:r>
      <w:r>
        <w:t xml:space="preserve">an</w:t>
      </w:r>
      <w:r>
        <w:t xml:space="preserve"> </w:t>
      </w:r>
      <w:r>
        <w:t xml:space="preserve">argument</w:t>
      </w:r>
      <w:r>
        <w:t xml:space="preserve"> </w:t>
      </w:r>
      <w:r>
        <w:t xml:space="preserve">that</w:t>
      </w:r>
      <w:r>
        <w:t xml:space="preserve"> </w:t>
      </w:r>
      <w:r>
        <w:t xml:space="preserve">has</w:t>
      </w:r>
      <w:r>
        <w:t xml:space="preserve"> </w:t>
      </w:r>
      <w:r>
        <w:t xml:space="preserve">not</w:t>
      </w:r>
      <w:r>
        <w:t xml:space="preserve"> </w:t>
      </w:r>
      <w:r>
        <w:t xml:space="preserve">yet</w:t>
      </w:r>
      <w:r>
        <w:t xml:space="preserve"> </w:t>
      </w:r>
      <w:r>
        <w:t xml:space="preserve">found</w:t>
      </w:r>
      <w:r>
        <w:t xml:space="preserve"> </w:t>
      </w:r>
      <w:r>
        <w:t xml:space="preserve">its</w:t>
      </w:r>
      <w:r>
        <w:t xml:space="preserve"> </w:t>
      </w:r>
      <w:r>
        <w:t xml:space="preserve">paper;</w:t>
      </w:r>
      <w:r>
        <w:t xml:space="preserve"> </w:t>
      </w:r>
      <w:r>
        <w:t xml:space="preserve">the</w:t>
      </w:r>
      <w:r>
        <w:t xml:space="preserve"> </w:t>
      </w:r>
      <w:r>
        <w:t xml:space="preserve">books</w:t>
      </w:r>
      <w:r>
        <w:t xml:space="preserve"> </w:t>
      </w:r>
      <w:r>
        <w:t xml:space="preserve">are</w:t>
      </w:r>
      <w:r>
        <w:t xml:space="preserve"> </w:t>
      </w:r>
      <w:r>
        <w:t xml:space="preserve">the</w:t>
      </w:r>
      <w:r>
        <w:t xml:space="preserve"> </w:t>
      </w:r>
      <w:r>
        <w:t xml:space="preserve">long</w:t>
      </w:r>
      <w:r>
        <w:t xml:space="preserve"> </w:t>
      </w:r>
      <w:r>
        <w:t xml:space="preserve">form</w:t>
      </w:r>
      <w:r>
        <w:t xml:space="preserve"> </w:t>
      </w:r>
      <w:r>
        <w:t xml:space="preserve">of</w:t>
      </w:r>
      <w:r>
        <w:t xml:space="preserve"> </w:t>
      </w:r>
      <w:r>
        <w:t xml:space="preserve">arguments</w:t>
      </w:r>
      <w:r>
        <w:t xml:space="preserve"> </w:t>
      </w:r>
      <w:r>
        <w:t xml:space="preserve">that</w:t>
      </w:r>
      <w:r>
        <w:t xml:space="preserve"> </w:t>
      </w:r>
      <w:r>
        <w:t xml:space="preserve">appear</w:t>
      </w:r>
      <w:r>
        <w:t xml:space="preserve"> </w:t>
      </w:r>
      <w:r>
        <w:t xml:space="preserve">in</w:t>
      </w:r>
      <w:r>
        <w:t xml:space="preserve"> </w:t>
      </w:r>
      <w:r>
        <w:t xml:space="preserve">the</w:t>
      </w:r>
      <w:r>
        <w:t xml:space="preserve"> </w:t>
      </w:r>
      <w:r>
        <w:t xml:space="preserve">sections</w:t>
      </w:r>
      <w:r>
        <w:t xml:space="preserve"> </w:t>
      </w:r>
      <w:r>
        <w:t xml:space="preserve">as</w:t>
      </w:r>
      <w:r>
        <w:t xml:space="preserve"> </w:t>
      </w:r>
      <w:r>
        <w:t xml:space="preserve">papers;</w:t>
      </w:r>
      <w:r>
        <w:t xml:space="preserve"> </w:t>
      </w:r>
      <w:r>
        <w:t xml:space="preserve">the</w:t>
      </w:r>
      <w:r>
        <w:t xml:space="preserve"> </w:t>
      </w:r>
      <w:r>
        <w:t xml:space="preserve">philosophy</w:t>
      </w:r>
      <w:r>
        <w:t xml:space="preserve"> </w:t>
      </w:r>
      <w:r>
        <w:t xml:space="preserve">and</w:t>
      </w:r>
      <w:r>
        <w:t xml:space="preserve"> </w:t>
      </w:r>
      <w:r>
        <w:t xml:space="preserve">politics</w:t>
      </w:r>
      <w:r>
        <w:t xml:space="preserve"> </w:t>
      </w:r>
      <w:r>
        <w:t xml:space="preserve">pieces</w:t>
      </w:r>
      <w:r>
        <w:t xml:space="preserve"> </w:t>
      </w:r>
      <w:r>
        <w:t xml:space="preserve">were</w:t>
      </w:r>
      <w:r>
        <w:t xml:space="preserve"> </w:t>
      </w:r>
      <w:r>
        <w:t xml:space="preserve">written</w:t>
      </w:r>
      <w:r>
        <w:t xml:space="preserve"> </w:t>
      </w:r>
      <w:r>
        <w:t xml:space="preserve">outside</w:t>
      </w:r>
      <w:r>
        <w:t xml:space="preserve"> </w:t>
      </w:r>
      <w:r>
        <w:t xml:space="preserve">the</w:t>
      </w:r>
      <w:r>
        <w:t xml:space="preserve"> </w:t>
      </w:r>
      <w:r>
        <w:t xml:space="preserve">professional</w:t>
      </w:r>
      <w:r>
        <w:t xml:space="preserve"> </w:t>
      </w:r>
      <w:r>
        <w:t xml:space="preserve">portfolio</w:t>
      </w:r>
      <w:r>
        <w:t xml:space="preserve"> </w:t>
      </w:r>
      <w:r>
        <w:t xml:space="preserve">and</w:t>
      </w:r>
      <w:r>
        <w:t xml:space="preserve"> </w:t>
      </w:r>
      <w:r>
        <w:t xml:space="preserve">are</w:t>
      </w:r>
      <w:r>
        <w:t xml:space="preserve"> </w:t>
      </w:r>
      <w:r>
        <w:t xml:space="preserve">kept</w:t>
      </w:r>
      <w:r>
        <w:t xml:space="preserve"> </w:t>
      </w:r>
      <w:r>
        <w:t xml:space="preserve">with</w:t>
      </w:r>
      <w:r>
        <w:t xml:space="preserve"> </w:t>
      </w:r>
      <w:r>
        <w:t xml:space="preserve">it</w:t>
      </w:r>
      <w:r>
        <w:t xml:space="preserve"> </w:t>
      </w:r>
      <w:r>
        <w:t xml:space="preserve">rather</w:t>
      </w:r>
      <w:r>
        <w:t xml:space="preserve"> </w:t>
      </w:r>
      <w:r>
        <w:t xml:space="preserve">than</w:t>
      </w:r>
      <w:r>
        <w:t xml:space="preserve"> </w:t>
      </w:r>
      <w:r>
        <w:t xml:space="preserve">in</w:t>
      </w:r>
      <w:r>
        <w:t xml:space="preserve"> </w:t>
      </w:r>
      <w:r>
        <w:t xml:space="preserve">it.</w:t>
      </w:r>
      <w:r>
        <w:t xml:space="preserve"> </w:t>
      </w:r>
      <w:r>
        <w:t xml:space="preserve">Every</w:t>
      </w:r>
      <w:r>
        <w:t xml:space="preserve"> </w:t>
      </w:r>
      <w:r>
        <w:t xml:space="preserve">document</w:t>
      </w:r>
      <w:r>
        <w:t xml:space="preserve"> </w:t>
      </w:r>
      <w:r>
        <w:t xml:space="preserve">has</w:t>
      </w:r>
      <w:r>
        <w:t xml:space="preserve"> </w:t>
      </w:r>
      <w:r>
        <w:t xml:space="preserve">a</w:t>
      </w:r>
      <w:r>
        <w:t xml:space="preserve"> </w:t>
      </w:r>
      <w:r>
        <w:t xml:space="preserve">published</w:t>
      </w:r>
      <w:r>
        <w:t xml:space="preserve"> </w:t>
      </w:r>
      <w:r>
        <w:t xml:space="preserve">address</w:t>
      </w:r>
      <w:r>
        <w:t xml:space="preserve"> </w:t>
      </w:r>
      <w:r>
        <w:t xml:space="preserve">whether</w:t>
      </w:r>
      <w:r>
        <w:t xml:space="preserve"> </w:t>
      </w:r>
      <w:r>
        <w:t xml:space="preserve">or</w:t>
      </w:r>
      <w:r>
        <w:t xml:space="preserve"> </w:t>
      </w:r>
      <w:r>
        <w:t xml:space="preserve">not</w:t>
      </w:r>
      <w:r>
        <w:t xml:space="preserve"> </w:t>
      </w:r>
      <w:r>
        <w:t xml:space="preserve">the</w:t>
      </w:r>
      <w:r>
        <w:t xml:space="preserve"> </w:t>
      </w:r>
      <w:r>
        <w:t xml:space="preserve">research</w:t>
      </w:r>
      <w:r>
        <w:t xml:space="preserve"> </w:t>
      </w:r>
      <w:r>
        <w:t xml:space="preserve">page</w:t>
      </w:r>
      <w:r>
        <w:t xml:space="preserve"> </w:t>
      </w:r>
      <w:r>
        <w:t xml:space="preserve">links</w:t>
      </w:r>
      <w:r>
        <w:t xml:space="preserve"> </w:t>
      </w:r>
      <w:r>
        <w:t xml:space="preserve">to</w:t>
      </w:r>
      <w:r>
        <w:t xml:space="preserve"> </w:t>
      </w:r>
      <w:r>
        <w:t xml:space="preserve">it,</w:t>
      </w:r>
      <w:r>
        <w:t xml:space="preserve"> </w:t>
      </w:r>
      <w:r>
        <w:t xml:space="preserve">so</w:t>
      </w:r>
      <w:r>
        <w:t xml:space="preserve"> </w:t>
      </w:r>
      <w:r>
        <w:t xml:space="preserve">this</w:t>
      </w:r>
      <w:r>
        <w:t xml:space="preserve"> </w:t>
      </w:r>
      <w:r>
        <w:t xml:space="preserve">index</w:t>
      </w:r>
      <w:r>
        <w:t xml:space="preserve"> </w:t>
      </w:r>
      <w:r>
        <w:t xml:space="preserve">is</w:t>
      </w:r>
      <w:r>
        <w:t xml:space="preserve"> </w:t>
      </w:r>
      <w:r>
        <w:t xml:space="preserve">the</w:t>
      </w:r>
      <w:r>
        <w:t xml:space="preserve"> </w:t>
      </w:r>
      <w:r>
        <w:t xml:space="preserve">route</w:t>
      </w:r>
      <w:r>
        <w:t xml:space="preserve"> </w:t>
      </w:r>
      <w:r>
        <w:t xml:space="preserve">to</w:t>
      </w:r>
      <w:r>
        <w:t xml:space="preserve"> </w:t>
      </w:r>
      <w:r>
        <w:t xml:space="preserve">all</w:t>
      </w:r>
      <w:r>
        <w:t xml:space="preserve"> </w:t>
      </w:r>
      <w:r>
        <w:t xml:space="preserve">of</w:t>
      </w:r>
      <w:r>
        <w:t xml:space="preserve"> </w:t>
      </w:r>
      <w:r>
        <w:t xml:space="preserve">them.</w:t>
      </w:r>
      <w:r>
        <w:t xml:space="preserve"> </w:t>
      </w:r>
      <w:r>
        <w:t xml:space="preserve">Retained</w:t>
      </w:r>
      <w:r>
        <w:t xml:space="preserve"> </w:t>
      </w:r>
      <w:r>
        <w:t xml:space="preserve">papers</w:t>
      </w:r>
      <w:r>
        <w:t xml:space="preserve"> </w:t>
      </w:r>
      <w:r>
        <w:t xml:space="preserve">keep</w:t>
      </w:r>
      <w:r>
        <w:t xml:space="preserve"> </w:t>
      </w:r>
      <w:r>
        <w:t xml:space="preserve">the</w:t>
      </w:r>
      <w:r>
        <w:t xml:space="preserve"> </w:t>
      </w:r>
      <w:r>
        <w:t xml:space="preserve">number</w:t>
      </w:r>
      <w:r>
        <w:t xml:space="preserve"> </w:t>
      </w:r>
      <w:r>
        <w:t xml:space="preserve">they</w:t>
      </w:r>
      <w:r>
        <w:t xml:space="preserve"> </w:t>
      </w:r>
      <w:r>
        <w:t xml:space="preserve">had</w:t>
      </w:r>
      <w:r>
        <w:t xml:space="preserve"> </w:t>
      </w:r>
      <w:r>
        <w:t xml:space="preserve">in</w:t>
      </w:r>
      <w:r>
        <w:t xml:space="preserve"> </w:t>
      </w:r>
      <w:r>
        <w:t xml:space="preserve">the</w:t>
      </w:r>
      <w:r>
        <w:t xml:space="preserve"> </w:t>
      </w:r>
      <w:r>
        <w:t xml:space="preserve">section</w:t>
      </w:r>
      <w:r>
        <w:t xml:space="preserve"> </w:t>
      </w:r>
      <w:r>
        <w:t xml:space="preserve">they</w:t>
      </w:r>
      <w:r>
        <w:t xml:space="preserve"> </w:t>
      </w:r>
      <w:r>
        <w:t xml:space="preserve">left,</w:t>
      </w:r>
      <w:r>
        <w:t xml:space="preserve"> </w:t>
      </w:r>
      <w:r>
        <w:t xml:space="preserve">so</w:t>
      </w:r>
      <w:r>
        <w:t xml:space="preserve"> </w:t>
      </w:r>
      <w:r>
        <w:t xml:space="preserve">a</w:t>
      </w:r>
      <w:r>
        <w:t xml:space="preserve"> </w:t>
      </w:r>
      <w:r>
        <w:t xml:space="preserve">paper</w:t>
      </w:r>
      <w:r>
        <w:t xml:space="preserve"> </w:t>
      </w:r>
      <w:r>
        <w:t xml:space="preserve">that</w:t>
      </w:r>
      <w:r>
        <w:t xml:space="preserve"> </w:t>
      </w:r>
      <w:r>
        <w:t xml:space="preserve">was</w:t>
      </w:r>
      <w:r>
        <w:t xml:space="preserve"> </w:t>
      </w:r>
      <w:r>
        <w:t xml:space="preserve">1.4</w:t>
      </w:r>
      <w:r>
        <w:t xml:space="preserve"> </w:t>
      </w:r>
      <w:r>
        <w:t xml:space="preserve">is</w:t>
      </w:r>
      <w:r>
        <w:t xml:space="preserve"> </w:t>
      </w:r>
      <w:r>
        <w:t xml:space="preserve">1.4</w:t>
      </w:r>
      <w:r>
        <w:t xml:space="preserve"> </w:t>
      </w:r>
      <w:r>
        <w:t xml:space="preserve">here.</w:t>
      </w:r>
    </w:p>
    <w:p>
      <w:pPr>
        <w:pStyle w:val="FirstParagraph"/>
      </w:pPr>
      <w:r>
        <w:rPr>
          <w:iCs/>
          <w:i/>
        </w:rPr>
        <w:t xml:space="preserve">The index for</w:t>
      </w:r>
      <w:r>
        <w:rPr>
          <w:iCs/>
          <w:i/>
        </w:rPr>
        <w:t xml:space="preserve"> </w:t>
      </w:r>
      <w:r>
        <w:rPr>
          <w:rStyle w:val="VerbatimChar"/>
          <w:iCs/>
          <w:i/>
        </w:rPr>
        <w:t xml:space="preserve">6.OverviewAndAdditional</w:t>
      </w:r>
      <w:r>
        <w:rPr>
          <w:iCs/>
          <w:i/>
        </w:rPr>
        <w:t xml:space="preserve">. The research page carries only the five active sections; this carries everything else.</w:t>
      </w:r>
    </w:p>
    <w:p>
      <w:pPr>
        <w:pStyle w:val="BodyText"/>
      </w:pPr>
      <w:r>
        <w:t xml:space="preserve">This overview online:</w:t>
      </w:r>
      <w:r>
        <w:t xml:space="preserve"> </w:t>
      </w:r>
      <w:hyperlink r:id="rId20">
        <w:r>
          <w:rPr>
            <w:rStyle w:val="Hyperlink"/>
          </w:rPr>
          <w:t xml:space="preserve">https://climatefiscalfinance.org/papers/OverviewAdditional.docx</w:t>
        </w:r>
      </w:hyperlink>
    </w:p>
    <w:bookmarkStart w:id="21" w:name="why-these-are-here"/>
    <w:p>
      <w:pPr>
        <w:pStyle w:val="Heading1"/>
      </w:pPr>
      <w:r>
        <w:t xml:space="preserve">Why these are here</w:t>
      </w:r>
    </w:p>
    <w:p>
      <w:pPr>
        <w:pStyle w:val="FirstParagraph"/>
      </w:pPr>
      <w:r>
        <w:rPr>
          <w:bCs/>
          <w:b/>
        </w:rPr>
        <w:t xml:space="preserve">Three different reasons, and they call for different decisions.</w:t>
      </w:r>
      <w:r>
        <w:t xml:space="preserve"> </w:t>
      </w:r>
      <w:r>
        <w:t xml:space="preserve">Some of the retained work is complete and has been superseded: SLIDIs by the codified treatment in 3.2 and the collateral structure in 2.2, the MDB reform synthesis by the narrower envelope argument in 3.4. Some was delivered as a tool rather than a paper and needs a decision about whether a paper is wanted at all — the CBAM dashboard is the clear case. And some is an argument with no draft behind it yet: the legacy coal PPA work, the green growth diagnostic, the climate-fiscal-financial dashboard.</w:t>
      </w:r>
    </w:p>
    <w:p>
      <w:pPr>
        <w:pStyle w:val="BodyText"/>
      </w:pPr>
      <w:r>
        <w:rPr>
          <w:bCs/>
          <w:b/>
        </w:rPr>
        <w:t xml:space="preserve">Moving a paper here is a statement about attention, not about quality.</w:t>
      </w:r>
      <w:r>
        <w:t xml:space="preserve"> </w:t>
      </w:r>
      <w:r>
        <w:t xml:space="preserve">Two of the strongest drafts in the portfolio are among the retained papers. What they are not is under active development, and a research page that does not distinguish the two misleads the reader about where the work is going.</w:t>
      </w:r>
    </w:p>
    <w:p>
      <w:pPr>
        <w:pStyle w:val="BodyText"/>
      </w:pPr>
      <w:r>
        <w:rPr>
          <w:bCs/>
          <w:b/>
        </w:rPr>
        <w:t xml:space="preserve">The numbering records where each paper came from.</w:t>
      </w:r>
      <w:r>
        <w:t xml:space="preserve"> </w:t>
      </w:r>
      <w:r>
        <w:t xml:space="preserve">There is no 9.1, and gaps mean nothing. A paper brought back out returns to the slot it left.</w:t>
      </w:r>
    </w:p>
    <w:p>
      <w:pPr>
        <w:pStyle w:val="BodyText"/>
      </w:pPr>
      <w:r>
        <w:rPr>
          <w:bCs/>
          <w:b/>
        </w:rPr>
        <w:t xml:space="preserve">Every document here is published.</w:t>
      </w:r>
      <w:r>
        <w:t xml:space="preserve"> </w:t>
      </w:r>
      <w:r>
        <w:t xml:space="preserve">The convention is that the site holds a copy of every paper in the tree, linked from the research page or not, so each entry below carries the address at which it can be read.</w:t>
      </w:r>
    </w:p>
    <w:bookmarkEnd w:id="21"/>
    <w:bookmarkStart w:id="37" w:name="retained-papers"/>
    <w:p>
      <w:pPr>
        <w:pStyle w:val="Heading1"/>
      </w:pPr>
      <w:r>
        <w:t xml:space="preserve">Retained papers</w:t>
      </w:r>
    </w:p>
    <w:p>
      <w:pPr>
        <w:pStyle w:val="FirstParagraph"/>
      </w:pPr>
      <w:r>
        <w:t xml:space="preserve">Work kept but not actively developed, each keeping the number of the section it left.</w:t>
      </w:r>
    </w:p>
    <w:bookmarkStart w:id="23" w:name="rent-tax"/>
    <w:p>
      <w:pPr>
        <w:pStyle w:val="Heading2"/>
      </w:pPr>
      <w:r>
        <w:t xml:space="preserve">1.4 Rent Tax</w:t>
      </w:r>
    </w:p>
    <w:p>
      <w:pPr>
        <w:pStyle w:val="FirstParagraph"/>
      </w:pPr>
      <w:r>
        <w:t xml:space="preserve">Economic rent is the classic base for a tax that does not distort behaviour, and the revenue gap left by a politically limited carbon price has to be filled from somewhere. This paper treats the taxation of resource, land and locational rent as a fiscal instrument sitting alongside carbon pricing rather than competing with it: it sets out where rents are large enough to matter to a finance ministry’s numbers, how they can be identified and measured in practice, and why taxing them is the least damaging way to raise the revenue that a partial carbon price leaves unraised. A full LaTeX draft and compiled PDF exist.</w:t>
      </w:r>
    </w:p>
    <w:p>
      <w:pPr>
        <w:pStyle w:val="BodyText"/>
      </w:pPr>
      <w:hyperlink r:id="rId22">
        <w:r>
          <w:rPr>
            <w:rStyle w:val="Hyperlink"/>
          </w:rPr>
          <w:t xml:space="preserve">https://climatefiscalfinance.org/papers/RentTax.docx</w:t>
        </w:r>
      </w:hyperlink>
    </w:p>
    <w:bookmarkEnd w:id="23"/>
    <w:bookmarkStart w:id="24" w:name="Xc7d6088991751e6c99ec21ac262fbd83807ea2e"/>
    <w:p>
      <w:pPr>
        <w:pStyle w:val="Heading2"/>
      </w:pPr>
      <w:r>
        <w:t xml:space="preserve">1.5 Stranded by Contract: Reforming Legacy Coal Power Purchase Agreements</w:t>
      </w:r>
    </w:p>
    <w:p>
      <w:pPr>
        <w:pStyle w:val="FirstParagraph"/>
      </w:pPr>
      <w:r>
        <w:t xml:space="preserve">A coal plant can be stranded in economic terms while its contract keeps the money flowing. Where the variable cost of coal generation now exceeds the all-in cost of new solar, the distribution company is paying more under a legacy power purchase agreement than it would pay to replace the plant outright — so retiring the plant and substituting an all-in solar tariff saves money before any climate benefit is counted. This paper sets out the arithmetic of that comparison, the contractual routes to acting on it, and the settlement of remaining unamortized capital through securitized state or federal bonds. It also considers declining PPA rate schedules as a way to limit the long-term liabilities distribution companies take on in the first place. India is the worked example, where new coal capacity is still planned against consistently overestimated demand and falling coal utilization.</w:t>
      </w:r>
    </w:p>
    <w:p>
      <w:pPr>
        <w:pStyle w:val="BodyText"/>
      </w:pPr>
      <w:r>
        <w:rPr>
          <w:iCs/>
          <w:i/>
        </w:rPr>
        <w:t xml:space="preserve">No master document yet — the India country material sits in</w:t>
      </w:r>
      <w:r>
        <w:rPr>
          <w:iCs/>
          <w:i/>
        </w:rPr>
        <w:t xml:space="preserve"> </w:t>
      </w:r>
      <w:r>
        <w:rPr>
          <w:rStyle w:val="VerbatimChar"/>
          <w:iCs/>
          <w:i/>
        </w:rPr>
        <w:t xml:space="preserve">3.BackgroundPapers</w:t>
      </w:r>
      <w:r>
        <w:rPr>
          <w:iCs/>
          <w:i/>
        </w:rPr>
        <w:t xml:space="preserve"> </w:t>
      </w:r>
      <w:r>
        <w:rPr>
          <w:iCs/>
          <w:i/>
        </w:rPr>
        <w:t xml:space="preserve">awaiting a paper written around it.</w:t>
      </w:r>
    </w:p>
    <w:bookmarkEnd w:id="24"/>
    <w:bookmarkStart w:id="26" w:name="the-sollar"/>
    <w:p>
      <w:pPr>
        <w:pStyle w:val="Heading2"/>
      </w:pPr>
      <w:r>
        <w:t xml:space="preserve">2.3 The Sollar</w:t>
      </w:r>
    </w:p>
    <w:p>
      <w:pPr>
        <w:pStyle w:val="FirstParagraph"/>
      </w:pPr>
      <w:r>
        <w:t xml:space="preserve">The other mechanisms in this section make borrowers creditworthy; the Sollar removes the borrower. One Sollar is a claim on a defined quantity of installed solar capacity, held as an undivided share across utility-scale parks in several countries, with electricity revenue reinvested so that the capacity behind each unit grows. After an initial period the holder converts into a fixed claim paying a dividend — the growth and income phases mapping onto the two phases of a pension. A developer can borrow Sollars during construction, pay suppliers in them, and repay by issuing Sollars against the completed park, financing the asset with a claim on its output rather than with debt. The paper is explicit that this is equity issuance rather than free money, that it leaves offtaker payment risk and policy risk untouched, and that the conversion right needs a mechanism behind it.</w:t>
      </w:r>
    </w:p>
    <w:p>
      <w:pPr>
        <w:pStyle w:val="BodyText"/>
      </w:pPr>
      <w:hyperlink r:id="rId25">
        <w:r>
          <w:rPr>
            <w:rStyle w:val="Hyperlink"/>
          </w:rPr>
          <w:t xml:space="preserve">https://climatefiscalfinance.org/papers/TheSollar.docx</w:t>
        </w:r>
      </w:hyperlink>
    </w:p>
    <w:bookmarkEnd w:id="26"/>
    <w:bookmarkStart w:id="28" w:name="X8370c4a2eb699fadcfb099b94a9a4d2e4552642"/>
    <w:p>
      <w:pPr>
        <w:pStyle w:val="Heading2"/>
      </w:pPr>
      <w:r>
        <w:t xml:space="preserve">3.3 SLIDIs — Sustainability-Linked Development Instruments</w:t>
      </w:r>
    </w:p>
    <w:p>
      <w:pPr>
        <w:pStyle w:val="FirstParagraph"/>
      </w:pPr>
      <w:r>
        <w:t xml:space="preserve">The origin instrument for the sovereign incentive cluster. This paper sets out KPI-linked sovereign structures as an alternative to conventional sustainability-linked bonds: instruments whose coupon or concessionality steps with verified progress against agreed development and climate indicators, designed so that the sovereign’s reward arrives as a financing cost it can budget for rather than a payment it must wait for. It works through indicator selection, verification, pricing and the investor case, and was presented at the Public Debt Management conference. Substantial draft and presentation material exists; the argument is largely superseded by the codified treatment in 3.2 and the collateral structure in 2.2, and the paper is retained for its worked detail.</w:t>
      </w:r>
    </w:p>
    <w:p>
      <w:pPr>
        <w:pStyle w:val="BodyText"/>
      </w:pPr>
      <w:hyperlink r:id="rId27">
        <w:r>
          <w:rPr>
            <w:rStyle w:val="Hyperlink"/>
          </w:rPr>
          <w:t xml:space="preserve">https://climatefiscalfinance.org/papers/SLIDIs.docx</w:t>
        </w:r>
      </w:hyperlink>
    </w:p>
    <w:bookmarkEnd w:id="28"/>
    <w:bookmarkStart w:id="30" w:name="mdb-climate-envelope"/>
    <w:p>
      <w:pPr>
        <w:pStyle w:val="Heading2"/>
      </w:pPr>
      <w:r>
        <w:t xml:space="preserve">3.4 MDB Climate Envelope</w:t>
      </w:r>
    </w:p>
    <w:p>
      <w:pPr>
        <w:pStyle w:val="FirstParagraph"/>
      </w:pPr>
      <w:r>
        <w:t xml:space="preserve">Financing mitigation whose benefit accrues mostly outside the borrowing country is a different activity from lending to a country for its own development, and reading it into the existing multilateral mandate has been contested by shareholders who would rather the same capital went to poverty reduction. This staff discussion note proposes a distinct financing envelope for global public good climate policy under the Evolution Roadmap, separating that envelope from ordinary country lending so that the mandate objection is resolved rather than argued around, and the concessionality is made explicit rather than buried in the terms of a loan. It is supported by prior-action data across the climate-related development policy operation portfolio and worked country examples from India, Indonesia, the Philippines, Serbia and Uzbekistan.</w:t>
      </w:r>
    </w:p>
    <w:p>
      <w:pPr>
        <w:pStyle w:val="BodyText"/>
      </w:pPr>
      <w:hyperlink r:id="rId29">
        <w:r>
          <w:rPr>
            <w:rStyle w:val="Hyperlink"/>
          </w:rPr>
          <w:t xml:space="preserve">https://climatefiscalfinance.org/papers/MDBClimateEnvelope.docx</w:t>
        </w:r>
      </w:hyperlink>
    </w:p>
    <w:bookmarkEnd w:id="30"/>
    <w:bookmarkStart w:id="32" w:name="reforming-mdbs"/>
    <w:p>
      <w:pPr>
        <w:pStyle w:val="Heading2"/>
      </w:pPr>
      <w:r>
        <w:t xml:space="preserve">3.5 Reforming MDBs</w:t>
      </w:r>
    </w:p>
    <w:p>
      <w:pPr>
        <w:pStyle w:val="FirstParagraph"/>
      </w:pPr>
      <w:r>
        <w:t xml:space="preserve">Every instrument in this section needs an institution with a balance sheet, a mandate and market credibility, and the multilateral development banks were not designed for the job. This paper collects the reform proposals — balance sheet optimisation, callable capital recognition, guarantee capacity, hybrid capital — against the mandate question, which is usually discussed separately and decided together with them. The argument is that capital adequacy determines how much of the sovereign incentive agenda is possible at all, and that the mandate determines whether it is permitted, so a reform programme that settles one without the other settles nothing.</w:t>
      </w:r>
    </w:p>
    <w:p>
      <w:pPr>
        <w:pStyle w:val="BodyText"/>
      </w:pPr>
      <w:hyperlink r:id="rId31">
        <w:r>
          <w:rPr>
            <w:rStyle w:val="Hyperlink"/>
          </w:rPr>
          <w:t xml:space="preserve">https://climatefiscalfinance.org/papers/ReformingMDBs.docx</w:t>
        </w:r>
      </w:hyperlink>
    </w:p>
    <w:bookmarkEnd w:id="32"/>
    <w:bookmarkStart w:id="33" w:name="cbam-dashboard-and-emission-factors"/>
    <w:p>
      <w:pPr>
        <w:pStyle w:val="Heading2"/>
      </w:pPr>
      <w:r>
        <w:t xml:space="preserve">4.3 CBAM Dashboard and Emission Factors</w:t>
      </w:r>
    </w:p>
    <w:p>
      <w:pPr>
        <w:pStyle w:val="FirstParagraph"/>
      </w:pPr>
      <w:r>
        <w:t xml:space="preserve">A border carbon adjustment produces a liability that exporting countries must estimate before they can respond to it, and the estimate turns almost entirely on emission factors that default values get badly wrong. This is an auditable multi-country dashboard estimating CBAM liability under country-specific emission factors rather than EU defaults, with every intermediate calculation exposed so that a country team can check the number rather than accept it. It includes a worked Egypt emission-factor build from national energy and industrial data, and user guides for both the dashboard and the emission-factor method. It supplies the evidence base for the scrap and point-source argument in 1.3.</w:t>
      </w:r>
    </w:p>
    <w:p>
      <w:pPr>
        <w:pStyle w:val="BodyText"/>
      </w:pPr>
      <w:r>
        <w:rPr>
          <w:iCs/>
          <w:i/>
        </w:rPr>
        <w:t xml:space="preserve">Delivered as a spreadsheet tool with accompanying guides rather than as a paper.</w:t>
      </w:r>
    </w:p>
    <w:bookmarkEnd w:id="33"/>
    <w:bookmarkStart w:id="34" w:name="climate-fiscal-financial"/>
    <w:p>
      <w:pPr>
        <w:pStyle w:val="Heading2"/>
      </w:pPr>
      <w:r>
        <w:t xml:space="preserve">5.2 Climate-Fiscal-Financial</w:t>
      </w:r>
    </w:p>
    <w:p>
      <w:pPr>
        <w:pStyle w:val="FirstParagraph"/>
      </w:pPr>
      <w:r>
        <w:t xml:space="preserve">Climate policy settings, fiscal aggregates and financial-sector exposures are assessed by different teams using different data, so nobody sees the country as one balance sheet. This is a planned dashboard bringing the three onto a single country view: what the policy regime implies for revenue and spending, what the transition implies for the public balance sheet, and where the resulting exposures sit in the financial system. It relates to 5.1 on the fiscal side and 4.3 on the policy exposure side.</w:t>
      </w:r>
    </w:p>
    <w:p>
      <w:pPr>
        <w:pStyle w:val="BodyText"/>
      </w:pPr>
      <w:r>
        <w:rPr>
          <w:iCs/>
          <w:i/>
        </w:rPr>
        <w:t xml:space="preserve">No draft yet. The folder holds the Trillions to Billions material — framing work on the scale of the climate finance gap and the instruments capable of closing it, with the project narrative, scaling decks and the trusted-intermediary model.</w:t>
      </w:r>
    </w:p>
    <w:bookmarkEnd w:id="34"/>
    <w:bookmarkStart w:id="35" w:name="green-growth-and-sectoral-tfp-diagnostic"/>
    <w:p>
      <w:pPr>
        <w:pStyle w:val="Heading2"/>
      </w:pPr>
      <w:r>
        <w:t xml:space="preserve">5.3 Green Growth and Sectoral TFP Diagnostic</w:t>
      </w:r>
    </w:p>
    <w:p>
      <w:pPr>
        <w:pStyle w:val="FirstParagraph"/>
      </w:pPr>
      <w:r>
        <w:t xml:space="preserve">Countries are increasingly interested in green growth and green industrial policy, but often lack a structured way to identify promising sectors. This diagnostic proposes a scoring framework for assessing which green sectors are feasible and useful targets for industrial policy in a given country. It then links those scores to total factor productivity accounting, creating a bridge between green industrial strategy and macroeconomic modelling frameworks.</w:t>
      </w:r>
    </w:p>
    <w:p>
      <w:pPr>
        <w:pStyle w:val="BodyText"/>
      </w:pPr>
      <w:r>
        <w:rPr>
          <w:iCs/>
          <w:i/>
        </w:rPr>
        <w:t xml:space="preserve">No draft yet.</w:t>
      </w:r>
    </w:p>
    <w:bookmarkEnd w:id="35"/>
    <w:bookmarkStart w:id="36" w:name="Xd4d3238c0b68da3892f20ca05358909baa71f01"/>
    <w:p>
      <w:pPr>
        <w:pStyle w:val="Heading2"/>
      </w:pPr>
      <w:r>
        <w:t xml:space="preserve">5.4 Carbon Pricing: Political Economy and Optimality</w:t>
      </w:r>
    </w:p>
    <w:p>
      <w:pPr>
        <w:pStyle w:val="FirstParagraph"/>
      </w:pPr>
      <w:r>
        <w:t xml:space="preserve">Climate policy instruments succeed or fail not only because of economic design but because of political economy fit, and the two questions are usually answered by different literatures that never meet. This paper joins them. A compact model compares global mitigation policy configurations to identify the efficient combination, supplying the benchmark: what climate policy should be. A six-driver diagnostic — fiscal pressure, political salience, vested interests, distributive design, institutional quality, energy structure — then asks what a given country can actually carry, applied across carbon taxes, emissions trading, feebates, long-term contracts, standards and green public investment. Read together they give an efficiency benchmark and a feasibility filter, and a sequencing logic for country-level advice that follows from holding both at once.</w:t>
      </w:r>
    </w:p>
    <w:p>
      <w:pPr>
        <w:pStyle w:val="BodyText"/>
      </w:pPr>
      <w:r>
        <w:rPr>
          <w:iCs/>
          <w:i/>
        </w:rPr>
        <w:t xml:space="preserve">No master document yet. The folder holds the toy model and the policy framework tables as compiled PDFs.</w:t>
      </w:r>
    </w:p>
    <w:bookmarkEnd w:id="36"/>
    <w:bookmarkEnd w:id="37"/>
    <w:bookmarkStart w:id="42" w:name="books"/>
    <w:p>
      <w:pPr>
        <w:pStyle w:val="Heading1"/>
      </w:pPr>
      <w:r>
        <w:t xml:space="preserve">Books</w:t>
      </w:r>
    </w:p>
    <w:p>
      <w:pPr>
        <w:pStyle w:val="FirstParagraph"/>
      </w:pPr>
      <w:r>
        <w:t xml:space="preserve">The long form of arguments that appear in the sections as papers.</w:t>
      </w:r>
    </w:p>
    <w:bookmarkStart w:id="39" w:name="time-and-chance"/>
    <w:p>
      <w:pPr>
        <w:pStyle w:val="Heading2"/>
      </w:pPr>
      <w:r>
        <w:t xml:space="preserve">6.1 Time and Chance</w:t>
      </w:r>
    </w:p>
    <w:p>
      <w:pPr>
        <w:pStyle w:val="FirstParagraph"/>
      </w:pPr>
      <w:r>
        <w:t xml:space="preserve">A book-length treatment of why clean energy costs too much in the countries that need it most, and what can be done about it. It runs from the price of money — why capital costs what it does, and how financial constraints rather than technology now bound renewable uptake — through contracts as the instrument that makes revenue bankable, to the specific structures built on them: guarantees, synthetic sovereign bonds, procurement auctions, clean energy equity funds, and the Sollar. The second half turns to institutions: where risk should sit, how to get past the multilateral balance sheet limit, a theory of concessionality built around the safe intermediary, and the case for the World Bank as the institution to carry it. It closes with the hard cases — the offtaker’s own economics, the non-renewable energy debt trap, debt sustainability, coal phase-out both for new investment and for retiring existing assets — and takes Vietnam as the country where the whole argument appears at once.</w:t>
      </w:r>
    </w:p>
    <w:p>
      <w:pPr>
        <w:pStyle w:val="BodyText"/>
      </w:pPr>
      <w:r>
        <w:rPr>
          <w:iCs/>
          <w:i/>
        </w:rPr>
        <w:t xml:space="preserve">Full manuscript in Word and markdown with a compiled PDF, a table of contents, and a response to peer review. The papers in sections 2 and 3 are the journal-length statements of its individual chapters.</w:t>
      </w:r>
    </w:p>
    <w:p>
      <w:pPr>
        <w:pStyle w:val="BodyText"/>
      </w:pPr>
      <w:hyperlink r:id="rId38">
        <w:r>
          <w:rPr>
            <w:rStyle w:val="Hyperlink"/>
          </w:rPr>
          <w:t xml:space="preserve">https://climatefiscalfinance.org/papers/TimeAndChance.docx</w:t>
        </w:r>
      </w:hyperlink>
    </w:p>
    <w:bookmarkEnd w:id="39"/>
    <w:bookmarkStart w:id="41" w:name="X3596ab47746e6bfe4a7efe8b91de1f45ee3e4fc"/>
    <w:p>
      <w:pPr>
        <w:pStyle w:val="Heading2"/>
      </w:pPr>
      <w:r>
        <w:t xml:space="preserve">6.2 Carbon Pricing: The Right Policy at the Wrong Time</w:t>
      </w:r>
    </w:p>
    <w:p>
      <w:pPr>
        <w:pStyle w:val="FirstParagraph"/>
      </w:pPr>
      <w:r>
        <w:t xml:space="preserve">Carbon pricing is the right instrument and the moment for it has largely passed — not because the economics changed, but because the political and financial order in which it would have worked did. This book takes the argument of the carbon pricing papers into book form: what a price is actually for, why the case for it was won intellectually and lost operationally, what open economies can and cannot do unilaterally, and what instruments do the work in the interval — benchmarks, contracts, procurement, and the fiscal instruments that sit alongside a price rather than substituting for it. It is a companion to</w:t>
      </w:r>
      <w:r>
        <w:t xml:space="preserve"> </w:t>
      </w:r>
      <w:r>
        <w:rPr>
          <w:iCs/>
          <w:i/>
        </w:rPr>
        <w:t xml:space="preserve">Time and Chance</w:t>
      </w:r>
      <w:r>
        <w:t xml:space="preserve">: that book asks how clean energy gets financed, this one asks what policy regime it gets financed under.</w:t>
      </w:r>
    </w:p>
    <w:p>
      <w:pPr>
        <w:pStyle w:val="BodyText"/>
      </w:pPr>
      <w:r>
        <w:rPr>
          <w:iCs/>
          <w:i/>
        </w:rPr>
        <w:t xml:space="preserve">Full manuscript in Word and markdown with a compiled PDF.</w:t>
      </w:r>
    </w:p>
    <w:p>
      <w:pPr>
        <w:pStyle w:val="BodyText"/>
      </w:pPr>
      <w:hyperlink r:id="rId40">
        <w:r>
          <w:rPr>
            <w:rStyle w:val="Hyperlink"/>
          </w:rPr>
          <w:t xml:space="preserve">https://climatefiscalfinance.org/papers/CarbonPricingRightPolicyWrongTime.docx</w:t>
        </w:r>
      </w:hyperlink>
    </w:p>
    <w:bookmarkEnd w:id="41"/>
    <w:bookmarkEnd w:id="42"/>
    <w:bookmarkStart w:id="49" w:name="philosophy"/>
    <w:p>
      <w:pPr>
        <w:pStyle w:val="Heading1"/>
      </w:pPr>
      <w:r>
        <w:t xml:space="preserve">Philosophy</w:t>
      </w:r>
    </w:p>
    <w:p>
      <w:pPr>
        <w:pStyle w:val="FirstParagraph"/>
      </w:pPr>
      <w:r>
        <w:t xml:space="preserve">Three essays on the metaphors that do the work we attribute to argument.</w:t>
      </w:r>
    </w:p>
    <w:bookmarkStart w:id="44" w:name="order-without-ordinance"/>
    <w:p>
      <w:pPr>
        <w:pStyle w:val="Heading2"/>
      </w:pPr>
      <w:r>
        <w:t xml:space="preserve">7.1 Order Without Ordinance</w:t>
      </w:r>
    </w:p>
    <w:p>
      <w:pPr>
        <w:pStyle w:val="FirstParagraph"/>
      </w:pPr>
      <w:r>
        <w:t xml:space="preserve">A dialogue on God, law, and the Indian case. When we say in the West that nature obeys laws we use a metaphor so old we have stopped noticing it is one: laws are things a body passes and a court enforces, and behind the phrase sits a sovereign who issued the rules and matter that complies. The Enlightenment then did something strange — it removed the legislator and kept the legislation. This dialogue sets that picture against the Chinese</w:t>
      </w:r>
      <w:r>
        <w:t xml:space="preserve"> </w:t>
      </w:r>
      <w:r>
        <w:rPr>
          <w:iCs/>
          <w:i/>
        </w:rPr>
        <w:t xml:space="preserve">li</w:t>
      </w:r>
      <w:r>
        <w:t xml:space="preserve">, the markings in jade and the grain in wood: order that can be trusted, worked with and predicted, which nobody wrote. It takes McGilchrist’s account of the divided brain as a possible mechanism for why the legal picture proved so congenial, asks what the Indian traditions did with the same problem, and works through what survives of the idea of God once order is no longer understood as ordinance.</w:t>
      </w:r>
    </w:p>
    <w:p>
      <w:pPr>
        <w:pStyle w:val="BodyText"/>
      </w:pPr>
      <w:hyperlink r:id="rId43">
        <w:r>
          <w:rPr>
            <w:rStyle w:val="Hyperlink"/>
          </w:rPr>
          <w:t xml:space="preserve">https://climatefiscalfinance.org/papers/OrderWithoutOrdinance.docx</w:t>
        </w:r>
      </w:hyperlink>
    </w:p>
    <w:bookmarkEnd w:id="44"/>
    <w:bookmarkStart w:id="46" w:name="the-politics-of-life-logic"/>
    <w:p>
      <w:pPr>
        <w:pStyle w:val="Heading2"/>
      </w:pPr>
      <w:r>
        <w:t xml:space="preserve">7.2 The Politics of Life-Logic</w:t>
      </w:r>
    </w:p>
    <w:p>
      <w:pPr>
        <w:pStyle w:val="FirstParagraph"/>
      </w:pPr>
      <w:r>
        <w:t xml:space="preserve">Western political philosophy, from Plato through liberal constitutionalism, has organized governance around the subordination of life to transcendent ideals — reason, justice, the common good. A long tradition of self-criticism, from Nietzsche through Hayek, Hirschman, Easterly and Scott, has identified this as a fundamental error: a politics that begins by judging life deficient produces institutions of suppression rather than flourishing. This paper reconstructs that critique, draws on two non-Western traditions, Chinese and Indian, that never made the Platonic move, and distils a minimal operational principle: policy should work with existing forces rather than impose corrective ideals from above. It then applies that principle to the institutional architecture of the World Bank, mapping concrete reforms across six domains, distinguishing three post-war policy paradigms — predict-and-provide, economic incentives, human wellbeing — and proposing a theory of change grounded in Olsonian political economy that starts from what is already working inside the institution.</w:t>
      </w:r>
    </w:p>
    <w:p>
      <w:pPr>
        <w:pStyle w:val="BodyText"/>
      </w:pPr>
      <w:hyperlink r:id="rId45">
        <w:r>
          <w:rPr>
            <w:rStyle w:val="Hyperlink"/>
          </w:rPr>
          <w:t xml:space="preserve">https://climatefiscalfinance.org/papers/ThePoliticsOfLifeLogic.docx</w:t>
        </w:r>
      </w:hyperlink>
    </w:p>
    <w:bookmarkEnd w:id="46"/>
    <w:bookmarkStart w:id="48" w:name="the-vocative-case"/>
    <w:p>
      <w:pPr>
        <w:pStyle w:val="Heading2"/>
      </w:pPr>
      <w:r>
        <w:t xml:space="preserve">7.3 The Vocative Case</w:t>
      </w:r>
    </w:p>
    <w:p>
      <w:pPr>
        <w:pStyle w:val="FirstParagraph"/>
      </w:pPr>
      <w:r>
        <w:t xml:space="preserve">On what atheism argues with, and what it leaves standing. Contemporary atheism takes aim at a particular construction — a proposition about an entity, to be affirmed or denied on evidence — and this paper asks whether that is the thing religious language was ever doing. It works through what is actually being argued against, the inherited story of a fall from an age of belief, the rupture of the modern period taken seriously rather than explained away, and then the harder question: whether the word does any work at all once the propositional reading is set aside. The vocative of the title is the grammatical case of address rather than description, and the argument turns on whether a form of speech that addresses rather than asserts can be refuted in the way a claim can.</w:t>
      </w:r>
    </w:p>
    <w:p>
      <w:pPr>
        <w:pStyle w:val="BodyText"/>
      </w:pPr>
      <w:hyperlink r:id="rId47">
        <w:r>
          <w:rPr>
            <w:rStyle w:val="Hyperlink"/>
          </w:rPr>
          <w:t xml:space="preserve">https://climatefiscalfinance.org/papers/TheVocativeCase.docx</w:t>
        </w:r>
      </w:hyperlink>
    </w:p>
    <w:bookmarkEnd w:id="48"/>
    <w:bookmarkEnd w:id="49"/>
    <w:bookmarkStart w:id="56" w:name="politics"/>
    <w:p>
      <w:pPr>
        <w:pStyle w:val="Heading1"/>
      </w:pPr>
      <w:r>
        <w:t xml:space="preserve">Politics</w:t>
      </w:r>
    </w:p>
    <w:p>
      <w:pPr>
        <w:pStyle w:val="FirstParagraph"/>
      </w:pPr>
      <w:r>
        <w:t xml:space="preserve">Three pieces written outside the professional portfolio, connected by a concern with what evidence can and cannot establish.</w:t>
      </w:r>
    </w:p>
    <w:bookmarkStart w:id="51" w:name="manifesto-for-a-new-american-republic"/>
    <w:p>
      <w:pPr>
        <w:pStyle w:val="Heading2"/>
      </w:pPr>
      <w:r>
        <w:t xml:space="preserve">8.1 Manifesto for a New American Republic</w:t>
      </w:r>
    </w:p>
    <w:p>
      <w:pPr>
        <w:pStyle w:val="FirstParagraph"/>
      </w:pPr>
      <w:r>
        <w:t xml:space="preserve">A short political statement arguing that the American constitutional order is under active threat and must first be defended and then reformed. It sets out a sequence: defend the Constitution and the rule of law, with no actor able to override democratic process; secure free and fair elections; break the grip of oligarchy through limits on political money and higher taxes on unearned income; and then a programme of constitutional reform aimed at making the United States a leader for peace. It is written as a call for leadership and organisation rather than as analysis, proposing a state-by-state movement structure.</w:t>
      </w:r>
    </w:p>
    <w:p>
      <w:pPr>
        <w:pStyle w:val="BodyText"/>
      </w:pPr>
      <w:hyperlink r:id="rId50">
        <w:r>
          <w:rPr>
            <w:rStyle w:val="Hyperlink"/>
          </w:rPr>
          <w:t xml:space="preserve">https://climatefiscalfinance.org/papers/Manifesto.docx</w:t>
        </w:r>
      </w:hyperlink>
    </w:p>
    <w:bookmarkEnd w:id="51"/>
    <w:bookmarkStart w:id="53" w:name="progressive-collapse-of-a-uniform-column"/>
    <w:p>
      <w:pPr>
        <w:pStyle w:val="Heading2"/>
      </w:pPr>
      <w:r>
        <w:t xml:space="preserve">8.2 Progressive Collapse of a Uniform Column</w:t>
      </w:r>
    </w:p>
    <w:p>
      <w:pPr>
        <w:pStyle w:val="FirstParagraph"/>
      </w:pPr>
      <w:r>
        <w:t xml:space="preserve">An idealized physics derivation applied to the World Trade Center towers. The paper derives from first principles the mechanics of progressive collapse when the upper portion of a tall uniform column falls onto the lower portion after complete severance at an intermediate height, developing the governing equations from conservation of momentum with continuous inelastic accretion of stationary mass, and solving them analytically where possible and numerically throughout. Four parameter combinations are examined, crossing safety factors of 1 and 2 with zero and fifty per cent mass ejection. Applied to the geometry of WTC 1 and WTC 2, the model predicts average accelerations of 5% g and 14% g against the NIST-reported observed values of 46% g and 59% g. The paper reports that discrepancy and what it implies about the effectiveness of the dissipation mechanisms assumed by the inelastic accretion model, without extending to claims the derivation does not support.</w:t>
      </w:r>
    </w:p>
    <w:p>
      <w:pPr>
        <w:pStyle w:val="BodyText"/>
      </w:pPr>
      <w:hyperlink r:id="rId52">
        <w:r>
          <w:rPr>
            <w:rStyle w:val="Hyperlink"/>
          </w:rPr>
          <w:t xml:space="preserve">https://climatefiscalfinance.org/papers/NineEleven.docx</w:t>
        </w:r>
      </w:hyperlink>
    </w:p>
    <w:bookmarkEnd w:id="53"/>
    <w:bookmarkStart w:id="55" w:name="X77cb57f59a1567b3d5363726a82ff164c944ee7"/>
    <w:p>
      <w:pPr>
        <w:pStyle w:val="Heading2"/>
      </w:pPr>
      <w:r>
        <w:t xml:space="preserve">8.3 Statistical Anomalies, Voting Machines, and the 2024 US Presidential Election</w:t>
      </w:r>
    </w:p>
    <w:p>
      <w:pPr>
        <w:pStyle w:val="FirstParagraph"/>
      </w:pPr>
      <w:r>
        <w:t xml:space="preserve">A critical assessment of the evidence assembled by the Election Truth Alliance on the 2024 presidential election. For each class of anomaly the group claims — drop-off between presidential and down-ballot races, correlations between turnout and candidate vote share, turnout distributions with a so-called Russian tail — the paper explains the underlying statistical concept, reconstructs a concrete example from reported values, and evaluates how strongly the pattern points toward manipulation of voting machines. It covers Nevada, Pennsylvania and North Carolina, integrates independent election-forensics work including Mebane’s 2025 working paper on Pennsylvania, and separates well-documented administrative vulnerabilities from patterns that are genuinely unusual and from interpretations the data cannot support. The conclusion is that the anomalies justify calls for more transparent data and robust audits, but that on currently available evidence claims of actual machine manipulation remain unproven.</w:t>
      </w:r>
    </w:p>
    <w:p>
      <w:pPr>
        <w:pStyle w:val="BodyText"/>
      </w:pPr>
      <w:hyperlink r:id="rId54">
        <w:r>
          <w:rPr>
            <w:rStyle w:val="Hyperlink"/>
          </w:rPr>
          <w:t xml:space="preserve">https://climatefiscalfinance.org/papers/VotingPatterns.docx</w:t>
        </w:r>
      </w:hyperlink>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limatefiscalfinance.org/papers/CarbonPricingRightPolicyWrongTime.docx" TargetMode="External" /><Relationship Type="http://schemas.openxmlformats.org/officeDocument/2006/relationships/hyperlink" Id="rId29" Target="https://climatefiscalfinance.org/papers/MDBClimateEnvelope.docx" TargetMode="External" /><Relationship Type="http://schemas.openxmlformats.org/officeDocument/2006/relationships/hyperlink" Id="rId50" Target="https://climatefiscalfinance.org/papers/Manifesto.docx" TargetMode="External" /><Relationship Type="http://schemas.openxmlformats.org/officeDocument/2006/relationships/hyperlink" Id="rId52" Target="https://climatefiscalfinance.org/papers/NineEleven.docx" TargetMode="External" /><Relationship Type="http://schemas.openxmlformats.org/officeDocument/2006/relationships/hyperlink" Id="rId43" Target="https://climatefiscalfinance.org/papers/OrderWithoutOrdinance.docx" TargetMode="External" /><Relationship Type="http://schemas.openxmlformats.org/officeDocument/2006/relationships/hyperlink" Id="rId20" Target="https://climatefiscalfinance.org/papers/OverviewAdditional.docx" TargetMode="External" /><Relationship Type="http://schemas.openxmlformats.org/officeDocument/2006/relationships/hyperlink" Id="rId31" Target="https://climatefiscalfinance.org/papers/ReformingMDBs.docx" TargetMode="External" /><Relationship Type="http://schemas.openxmlformats.org/officeDocument/2006/relationships/hyperlink" Id="rId22" Target="https://climatefiscalfinance.org/papers/RentTax.docx" TargetMode="External" /><Relationship Type="http://schemas.openxmlformats.org/officeDocument/2006/relationships/hyperlink" Id="rId27" Target="https://climatefiscalfinance.org/papers/SLIDIs.docx" TargetMode="External" /><Relationship Type="http://schemas.openxmlformats.org/officeDocument/2006/relationships/hyperlink" Id="rId45" Target="https://climatefiscalfinance.org/papers/ThePoliticsOfLifeLogic.docx" TargetMode="External" /><Relationship Type="http://schemas.openxmlformats.org/officeDocument/2006/relationships/hyperlink" Id="rId25" Target="https://climatefiscalfinance.org/papers/TheSollar.docx" TargetMode="External" /><Relationship Type="http://schemas.openxmlformats.org/officeDocument/2006/relationships/hyperlink" Id="rId47" Target="https://climatefiscalfinance.org/papers/TheVocativeCase.docx" TargetMode="External" /><Relationship Type="http://schemas.openxmlformats.org/officeDocument/2006/relationships/hyperlink" Id="rId38" Target="https://climatefiscalfinance.org/papers/TimeAndChance.docx" TargetMode="External" /><Relationship Type="http://schemas.openxmlformats.org/officeDocument/2006/relationships/hyperlink" Id="rId54" Target="https://climatefiscalfinance.org/papers/VotingPatterns.docx" TargetMode="External" /></Relationships>
</file>

<file path=word/_rels/footnotes.xml.rels><?xml version="1.0" encoding="UTF-8"?><Relationships xmlns="http://schemas.openxmlformats.org/package/2006/relationships"><Relationship Type="http://schemas.openxmlformats.org/officeDocument/2006/relationships/hyperlink" Id="rId40" Target="https://climatefiscalfinance.org/papers/CarbonPricingRightPolicyWrongTime.docx" TargetMode="External" /><Relationship Type="http://schemas.openxmlformats.org/officeDocument/2006/relationships/hyperlink" Id="rId29" Target="https://climatefiscalfinance.org/papers/MDBClimateEnvelope.docx" TargetMode="External" /><Relationship Type="http://schemas.openxmlformats.org/officeDocument/2006/relationships/hyperlink" Id="rId50" Target="https://climatefiscalfinance.org/papers/Manifesto.docx" TargetMode="External" /><Relationship Type="http://schemas.openxmlformats.org/officeDocument/2006/relationships/hyperlink" Id="rId52" Target="https://climatefiscalfinance.org/papers/NineEleven.docx" TargetMode="External" /><Relationship Type="http://schemas.openxmlformats.org/officeDocument/2006/relationships/hyperlink" Id="rId43" Target="https://climatefiscalfinance.org/papers/OrderWithoutOrdinance.docx" TargetMode="External" /><Relationship Type="http://schemas.openxmlformats.org/officeDocument/2006/relationships/hyperlink" Id="rId20" Target="https://climatefiscalfinance.org/papers/OverviewAdditional.docx" TargetMode="External" /><Relationship Type="http://schemas.openxmlformats.org/officeDocument/2006/relationships/hyperlink" Id="rId31" Target="https://climatefiscalfinance.org/papers/ReformingMDBs.docx" TargetMode="External" /><Relationship Type="http://schemas.openxmlformats.org/officeDocument/2006/relationships/hyperlink" Id="rId22" Target="https://climatefiscalfinance.org/papers/RentTax.docx" TargetMode="External" /><Relationship Type="http://schemas.openxmlformats.org/officeDocument/2006/relationships/hyperlink" Id="rId27" Target="https://climatefiscalfinance.org/papers/SLIDIs.docx" TargetMode="External" /><Relationship Type="http://schemas.openxmlformats.org/officeDocument/2006/relationships/hyperlink" Id="rId45" Target="https://climatefiscalfinance.org/papers/ThePoliticsOfLifeLogic.docx" TargetMode="External" /><Relationship Type="http://schemas.openxmlformats.org/officeDocument/2006/relationships/hyperlink" Id="rId25" Target="https://climatefiscalfinance.org/papers/TheSollar.docx" TargetMode="External" /><Relationship Type="http://schemas.openxmlformats.org/officeDocument/2006/relationships/hyperlink" Id="rId47" Target="https://climatefiscalfinance.org/papers/TheVocativeCase.docx" TargetMode="External" /><Relationship Type="http://schemas.openxmlformats.org/officeDocument/2006/relationships/hyperlink" Id="rId38" Target="https://climatefiscalfinance.org/papers/TimeAndChance.docx" TargetMode="External" /><Relationship Type="http://schemas.openxmlformats.org/officeDocument/2006/relationships/hyperlink" Id="rId54" Target="https://climatefiscalfinance.org/papers/VotingPatter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Work</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Everything held outside the five research sections: papers retained but not actively developed, the two books, the philosophy essays and the political writing. Nothing here has been abandoned. A retained paper is a complete draft that has been superseded, a product delivered in another form, or an argument that has not yet found its paper; the books are the long form of arguments that appear in the sections as papers; the philosophy and politics pieces were written outside the professional portfolio and are kept with it rather than in it. Every document has a published address whether or not the research page links to it, so this index is the route to all of them. Retained papers keep the number they had in the section they left, so a paper that was 1.4 is 1.4 here.</vt:lpwstr>
  </property>
  <property fmtid="{D5CDD505-2E9C-101B-9397-08002B2CF9AE}" pid="3" name="format">
    <vt:lpwstr/>
  </property>
  <property fmtid="{D5CDD505-2E9C-101B-9397-08002B2CF9AE}" pid="4" name="subtitle">
    <vt:lpwstr>Index of 6.OverviewAndAdditional</vt:lpwstr>
  </property>
</Properties>
</file>