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4117" w14:textId="168C99C1" w:rsidR="00FD1CDA" w:rsidRDefault="00BD0C27">
      <w:pPr>
        <w:pStyle w:val="DocTitle"/>
      </w:pPr>
      <w:r>
        <w:t>Geoprosperity: Climate-Fiscal-Financial Working Papers</w:t>
      </w:r>
    </w:p>
    <w:p w14:paraId="7AE69AB5" w14:textId="77777777" w:rsidR="00FD1CDA" w:rsidRDefault="00FD1CDA">
      <w:pPr>
        <w:pBdr>
          <w:bottom w:val="single" w:sz="6" w:space="1" w:color="BFBFBF"/>
        </w:pBdr>
        <w:spacing w:after="200"/>
      </w:pPr>
    </w:p>
    <w:p w14:paraId="13C9229D" w14:textId="77777777" w:rsidR="00FD1CDA" w:rsidRDefault="00000000">
      <w:pPr>
        <w:spacing w:before="100" w:after="160" w:line="276" w:lineRule="auto"/>
      </w:pPr>
      <w:r>
        <w:rPr>
          <w:i/>
          <w:iCs/>
          <w:color w:val="595959"/>
        </w:rPr>
        <w:t>Draft for discussion.</w:t>
      </w:r>
    </w:p>
    <w:p w14:paraId="26419F01" w14:textId="77777777" w:rsidR="00FD1CDA" w:rsidRDefault="00000000">
      <w:pPr>
        <w:pStyle w:val="Heading1"/>
      </w:pPr>
      <w:bookmarkStart w:id="0" w:name="_Toc241674680"/>
      <w:r>
        <w:t>Contents</w:t>
      </w:r>
      <w:bookmarkEnd w:id="0"/>
    </w:p>
    <w:p w14:paraId="3E7DA528" w14:textId="77777777" w:rsidR="00FD1CDA" w:rsidRDefault="00000000">
      <w:pPr>
        <w:spacing w:before="100" w:after="160" w:line="276" w:lineRule="auto"/>
      </w:pPr>
      <w:r>
        <w:rPr>
          <w:i/>
          <w:iCs/>
          <w:color w:val="808080"/>
          <w:sz w:val="18"/>
          <w:szCs w:val="18"/>
        </w:rPr>
        <w:t>Right-click and select “Update Field” (or press F9) to populate page numbers.</w:t>
      </w:r>
    </w:p>
    <w:sdt>
      <w:sdtPr>
        <w:alias w:val="Contents"/>
        <w:id w:val="1509020707"/>
      </w:sdtPr>
      <w:sdtContent>
        <w:p w14:paraId="4A88CCFE" w14:textId="0D4EF333" w:rsidR="00B50FDE" w:rsidRDefault="00000000">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instrText>TOC \o "1-3"</w:instrText>
          </w:r>
          <w:r>
            <w:fldChar w:fldCharType="separate"/>
          </w:r>
          <w:r w:rsidR="00B50FDE">
            <w:rPr>
              <w:noProof/>
            </w:rPr>
            <w:t>Contents</w:t>
          </w:r>
          <w:r w:rsidR="00B50FDE">
            <w:rPr>
              <w:noProof/>
            </w:rPr>
            <w:tab/>
          </w:r>
          <w:r w:rsidR="00B50FDE">
            <w:rPr>
              <w:noProof/>
            </w:rPr>
            <w:fldChar w:fldCharType="begin"/>
          </w:r>
          <w:r w:rsidR="00B50FDE">
            <w:rPr>
              <w:noProof/>
            </w:rPr>
            <w:instrText xml:space="preserve"> PAGEREF _Toc241674680 \h </w:instrText>
          </w:r>
          <w:r w:rsidR="00B50FDE">
            <w:rPr>
              <w:noProof/>
            </w:rPr>
          </w:r>
          <w:r w:rsidR="00B50FDE">
            <w:rPr>
              <w:noProof/>
            </w:rPr>
            <w:fldChar w:fldCharType="separate"/>
          </w:r>
          <w:r w:rsidR="00B50FDE">
            <w:rPr>
              <w:noProof/>
            </w:rPr>
            <w:t>1</w:t>
          </w:r>
          <w:r w:rsidR="00B50FDE">
            <w:rPr>
              <w:noProof/>
            </w:rPr>
            <w:fldChar w:fldCharType="end"/>
          </w:r>
        </w:p>
        <w:p w14:paraId="7D2CF6F9" w14:textId="00E76F66" w:rsidR="00B50FDE" w:rsidRDefault="00B50FD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Part 0: GeoProsperity, Climate Theme</w:t>
          </w:r>
          <w:r>
            <w:rPr>
              <w:noProof/>
            </w:rPr>
            <w:tab/>
          </w:r>
          <w:r>
            <w:rPr>
              <w:noProof/>
            </w:rPr>
            <w:fldChar w:fldCharType="begin"/>
          </w:r>
          <w:r>
            <w:rPr>
              <w:noProof/>
            </w:rPr>
            <w:instrText xml:space="preserve"> PAGEREF _Toc241674681 \h </w:instrText>
          </w:r>
          <w:r>
            <w:rPr>
              <w:noProof/>
            </w:rPr>
          </w:r>
          <w:r>
            <w:rPr>
              <w:noProof/>
            </w:rPr>
            <w:fldChar w:fldCharType="separate"/>
          </w:r>
          <w:r>
            <w:rPr>
              <w:noProof/>
            </w:rPr>
            <w:t>3</w:t>
          </w:r>
          <w:r>
            <w:rPr>
              <w:noProof/>
            </w:rPr>
            <w:fldChar w:fldCharType="end"/>
          </w:r>
        </w:p>
        <w:p w14:paraId="410BB255" w14:textId="013450E0"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Introduction</w:t>
          </w:r>
          <w:r>
            <w:rPr>
              <w:noProof/>
            </w:rPr>
            <w:tab/>
          </w:r>
          <w:r>
            <w:rPr>
              <w:noProof/>
            </w:rPr>
            <w:fldChar w:fldCharType="begin"/>
          </w:r>
          <w:r>
            <w:rPr>
              <w:noProof/>
            </w:rPr>
            <w:instrText xml:space="preserve"> PAGEREF _Toc241674682 \h </w:instrText>
          </w:r>
          <w:r>
            <w:rPr>
              <w:noProof/>
            </w:rPr>
          </w:r>
          <w:r>
            <w:rPr>
              <w:noProof/>
            </w:rPr>
            <w:fldChar w:fldCharType="separate"/>
          </w:r>
          <w:r>
            <w:rPr>
              <w:noProof/>
            </w:rPr>
            <w:t>3</w:t>
          </w:r>
          <w:r>
            <w:rPr>
              <w:noProof/>
            </w:rPr>
            <w:fldChar w:fldCharType="end"/>
          </w:r>
        </w:p>
        <w:p w14:paraId="78C534BA" w14:textId="185136BA"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C.2 About GeoProsperity, Clean Energy Theme</w:t>
          </w:r>
          <w:r>
            <w:rPr>
              <w:noProof/>
            </w:rPr>
            <w:tab/>
          </w:r>
          <w:r>
            <w:rPr>
              <w:noProof/>
            </w:rPr>
            <w:fldChar w:fldCharType="begin"/>
          </w:r>
          <w:r>
            <w:rPr>
              <w:noProof/>
            </w:rPr>
            <w:instrText xml:space="preserve"> PAGEREF _Toc241674683 \h </w:instrText>
          </w:r>
          <w:r>
            <w:rPr>
              <w:noProof/>
            </w:rPr>
          </w:r>
          <w:r>
            <w:rPr>
              <w:noProof/>
            </w:rPr>
            <w:fldChar w:fldCharType="separate"/>
          </w:r>
          <w:r>
            <w:rPr>
              <w:noProof/>
            </w:rPr>
            <w:t>4</w:t>
          </w:r>
          <w:r>
            <w:rPr>
              <w:noProof/>
            </w:rPr>
            <w:fldChar w:fldCharType="end"/>
          </w:r>
        </w:p>
        <w:p w14:paraId="4084B935" w14:textId="57C90DCD"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Climate Fiscal and Financial Briefing Paper Series</w:t>
          </w:r>
          <w:r>
            <w:rPr>
              <w:noProof/>
            </w:rPr>
            <w:tab/>
          </w:r>
          <w:r>
            <w:rPr>
              <w:noProof/>
            </w:rPr>
            <w:fldChar w:fldCharType="begin"/>
          </w:r>
          <w:r>
            <w:rPr>
              <w:noProof/>
            </w:rPr>
            <w:instrText xml:space="preserve"> PAGEREF _Toc241674684 \h </w:instrText>
          </w:r>
          <w:r>
            <w:rPr>
              <w:noProof/>
            </w:rPr>
          </w:r>
          <w:r>
            <w:rPr>
              <w:noProof/>
            </w:rPr>
            <w:fldChar w:fldCharType="separate"/>
          </w:r>
          <w:r>
            <w:rPr>
              <w:noProof/>
            </w:rPr>
            <w:t>5</w:t>
          </w:r>
          <w:r>
            <w:rPr>
              <w:noProof/>
            </w:rPr>
            <w:fldChar w:fldCharType="end"/>
          </w:r>
        </w:p>
        <w:p w14:paraId="3EC206FD" w14:textId="04235EAA"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More Information</w:t>
          </w:r>
          <w:r>
            <w:rPr>
              <w:noProof/>
            </w:rPr>
            <w:tab/>
          </w:r>
          <w:r>
            <w:rPr>
              <w:noProof/>
            </w:rPr>
            <w:fldChar w:fldCharType="begin"/>
          </w:r>
          <w:r>
            <w:rPr>
              <w:noProof/>
            </w:rPr>
            <w:instrText xml:space="preserve"> PAGEREF _Toc241674685 \h </w:instrText>
          </w:r>
          <w:r>
            <w:rPr>
              <w:noProof/>
            </w:rPr>
          </w:r>
          <w:r>
            <w:rPr>
              <w:noProof/>
            </w:rPr>
            <w:fldChar w:fldCharType="separate"/>
          </w:r>
          <w:r>
            <w:rPr>
              <w:noProof/>
            </w:rPr>
            <w:t>5</w:t>
          </w:r>
          <w:r>
            <w:rPr>
              <w:noProof/>
            </w:rPr>
            <w:fldChar w:fldCharType="end"/>
          </w:r>
        </w:p>
        <w:p w14:paraId="3492DE7E" w14:textId="20263DF9"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Workflow</w:t>
          </w:r>
          <w:r>
            <w:rPr>
              <w:noProof/>
            </w:rPr>
            <w:tab/>
          </w:r>
          <w:r>
            <w:rPr>
              <w:noProof/>
            </w:rPr>
            <w:fldChar w:fldCharType="begin"/>
          </w:r>
          <w:r>
            <w:rPr>
              <w:noProof/>
            </w:rPr>
            <w:instrText xml:space="preserve"> PAGEREF _Toc241674686 \h </w:instrText>
          </w:r>
          <w:r>
            <w:rPr>
              <w:noProof/>
            </w:rPr>
          </w:r>
          <w:r>
            <w:rPr>
              <w:noProof/>
            </w:rPr>
            <w:fldChar w:fldCharType="separate"/>
          </w:r>
          <w:r>
            <w:rPr>
              <w:noProof/>
            </w:rPr>
            <w:t>7</w:t>
          </w:r>
          <w:r>
            <w:rPr>
              <w:noProof/>
            </w:rPr>
            <w:fldChar w:fldCharType="end"/>
          </w:r>
        </w:p>
        <w:p w14:paraId="016E65AA" w14:textId="661E9002"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Format</w:t>
          </w:r>
          <w:r>
            <w:rPr>
              <w:noProof/>
            </w:rPr>
            <w:tab/>
          </w:r>
          <w:r>
            <w:rPr>
              <w:noProof/>
            </w:rPr>
            <w:fldChar w:fldCharType="begin"/>
          </w:r>
          <w:r>
            <w:rPr>
              <w:noProof/>
            </w:rPr>
            <w:instrText xml:space="preserve"> PAGEREF _Toc241674687 \h </w:instrText>
          </w:r>
          <w:r>
            <w:rPr>
              <w:noProof/>
            </w:rPr>
          </w:r>
          <w:r>
            <w:rPr>
              <w:noProof/>
            </w:rPr>
            <w:fldChar w:fldCharType="separate"/>
          </w:r>
          <w:r>
            <w:rPr>
              <w:noProof/>
            </w:rPr>
            <w:t>7</w:t>
          </w:r>
          <w:r>
            <w:rPr>
              <w:noProof/>
            </w:rPr>
            <w:fldChar w:fldCharType="end"/>
          </w:r>
        </w:p>
        <w:p w14:paraId="033ECEBA" w14:textId="1662AAB9"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Roles</w:t>
          </w:r>
          <w:r>
            <w:rPr>
              <w:noProof/>
            </w:rPr>
            <w:tab/>
          </w:r>
          <w:r>
            <w:rPr>
              <w:noProof/>
            </w:rPr>
            <w:fldChar w:fldCharType="begin"/>
          </w:r>
          <w:r>
            <w:rPr>
              <w:noProof/>
            </w:rPr>
            <w:instrText xml:space="preserve"> PAGEREF _Toc241674688 \h </w:instrText>
          </w:r>
          <w:r>
            <w:rPr>
              <w:noProof/>
            </w:rPr>
          </w:r>
          <w:r>
            <w:rPr>
              <w:noProof/>
            </w:rPr>
            <w:fldChar w:fldCharType="separate"/>
          </w:r>
          <w:r>
            <w:rPr>
              <w:noProof/>
            </w:rPr>
            <w:t>7</w:t>
          </w:r>
          <w:r>
            <w:rPr>
              <w:noProof/>
            </w:rPr>
            <w:fldChar w:fldCharType="end"/>
          </w:r>
        </w:p>
        <w:p w14:paraId="1B8D703E" w14:textId="3AA0F832"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Peer Reviewer Community</w:t>
          </w:r>
          <w:r>
            <w:rPr>
              <w:noProof/>
            </w:rPr>
            <w:tab/>
          </w:r>
          <w:r>
            <w:rPr>
              <w:noProof/>
            </w:rPr>
            <w:fldChar w:fldCharType="begin"/>
          </w:r>
          <w:r>
            <w:rPr>
              <w:noProof/>
            </w:rPr>
            <w:instrText xml:space="preserve"> PAGEREF _Toc241674689 \h </w:instrText>
          </w:r>
          <w:r>
            <w:rPr>
              <w:noProof/>
            </w:rPr>
          </w:r>
          <w:r>
            <w:rPr>
              <w:noProof/>
            </w:rPr>
            <w:fldChar w:fldCharType="separate"/>
          </w:r>
          <w:r>
            <w:rPr>
              <w:noProof/>
            </w:rPr>
            <w:t>7</w:t>
          </w:r>
          <w:r>
            <w:rPr>
              <w:noProof/>
            </w:rPr>
            <w:fldChar w:fldCharType="end"/>
          </w:r>
        </w:p>
        <w:p w14:paraId="1C17C21E" w14:textId="5AEDCB36"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Discussion and Dissemination</w:t>
          </w:r>
          <w:r>
            <w:rPr>
              <w:noProof/>
            </w:rPr>
            <w:tab/>
          </w:r>
          <w:r>
            <w:rPr>
              <w:noProof/>
            </w:rPr>
            <w:fldChar w:fldCharType="begin"/>
          </w:r>
          <w:r>
            <w:rPr>
              <w:noProof/>
            </w:rPr>
            <w:instrText xml:space="preserve"> PAGEREF _Toc241674690 \h </w:instrText>
          </w:r>
          <w:r>
            <w:rPr>
              <w:noProof/>
            </w:rPr>
          </w:r>
          <w:r>
            <w:rPr>
              <w:noProof/>
            </w:rPr>
            <w:fldChar w:fldCharType="separate"/>
          </w:r>
          <w:r>
            <w:rPr>
              <w:noProof/>
            </w:rPr>
            <w:t>7</w:t>
          </w:r>
          <w:r>
            <w:rPr>
              <w:noProof/>
            </w:rPr>
            <w:fldChar w:fldCharType="end"/>
          </w:r>
        </w:p>
        <w:p w14:paraId="567EBDF2" w14:textId="7743FC77"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Conclusions</w:t>
          </w:r>
          <w:r>
            <w:rPr>
              <w:noProof/>
            </w:rPr>
            <w:tab/>
          </w:r>
          <w:r>
            <w:rPr>
              <w:noProof/>
            </w:rPr>
            <w:fldChar w:fldCharType="begin"/>
          </w:r>
          <w:r>
            <w:rPr>
              <w:noProof/>
            </w:rPr>
            <w:instrText xml:space="preserve"> PAGEREF _Toc241674691 \h </w:instrText>
          </w:r>
          <w:r>
            <w:rPr>
              <w:noProof/>
            </w:rPr>
          </w:r>
          <w:r>
            <w:rPr>
              <w:noProof/>
            </w:rPr>
            <w:fldChar w:fldCharType="separate"/>
          </w:r>
          <w:r>
            <w:rPr>
              <w:noProof/>
            </w:rPr>
            <w:t>7</w:t>
          </w:r>
          <w:r>
            <w:rPr>
              <w:noProof/>
            </w:rPr>
            <w:fldChar w:fldCharType="end"/>
          </w:r>
        </w:p>
        <w:p w14:paraId="5749C238" w14:textId="60114B74" w:rsidR="00B50FDE" w:rsidRDefault="00B50FD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Part I. Working Paper Summary</w:t>
          </w:r>
          <w:r>
            <w:rPr>
              <w:noProof/>
            </w:rPr>
            <w:tab/>
          </w:r>
          <w:r>
            <w:rPr>
              <w:noProof/>
            </w:rPr>
            <w:fldChar w:fldCharType="begin"/>
          </w:r>
          <w:r>
            <w:rPr>
              <w:noProof/>
            </w:rPr>
            <w:instrText xml:space="preserve"> PAGEREF _Toc241674692 \h </w:instrText>
          </w:r>
          <w:r>
            <w:rPr>
              <w:noProof/>
            </w:rPr>
          </w:r>
          <w:r>
            <w:rPr>
              <w:noProof/>
            </w:rPr>
            <w:fldChar w:fldCharType="separate"/>
          </w:r>
          <w:r>
            <w:rPr>
              <w:noProof/>
            </w:rPr>
            <w:t>9</w:t>
          </w:r>
          <w:r>
            <w:rPr>
              <w:noProof/>
            </w:rPr>
            <w:fldChar w:fldCharType="end"/>
          </w:r>
        </w:p>
        <w:p w14:paraId="43ACC3A6" w14:textId="195E5B4C"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Overview</w:t>
          </w:r>
          <w:r>
            <w:rPr>
              <w:noProof/>
            </w:rPr>
            <w:tab/>
          </w:r>
          <w:r>
            <w:rPr>
              <w:noProof/>
            </w:rPr>
            <w:fldChar w:fldCharType="begin"/>
          </w:r>
          <w:r>
            <w:rPr>
              <w:noProof/>
            </w:rPr>
            <w:instrText xml:space="preserve"> PAGEREF _Toc241674693 \h </w:instrText>
          </w:r>
          <w:r>
            <w:rPr>
              <w:noProof/>
            </w:rPr>
          </w:r>
          <w:r>
            <w:rPr>
              <w:noProof/>
            </w:rPr>
            <w:fldChar w:fldCharType="separate"/>
          </w:r>
          <w:r>
            <w:rPr>
              <w:noProof/>
            </w:rPr>
            <w:t>9</w:t>
          </w:r>
          <w:r>
            <w:rPr>
              <w:noProof/>
            </w:rPr>
            <w:fldChar w:fldCharType="end"/>
          </w:r>
        </w:p>
        <w:p w14:paraId="55DA80F5" w14:textId="019E333A"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Background</w:t>
          </w:r>
          <w:r>
            <w:rPr>
              <w:noProof/>
            </w:rPr>
            <w:tab/>
          </w:r>
          <w:r>
            <w:rPr>
              <w:noProof/>
            </w:rPr>
            <w:fldChar w:fldCharType="begin"/>
          </w:r>
          <w:r>
            <w:rPr>
              <w:noProof/>
            </w:rPr>
            <w:instrText xml:space="preserve"> PAGEREF _Toc241674694 \h </w:instrText>
          </w:r>
          <w:r>
            <w:rPr>
              <w:noProof/>
            </w:rPr>
          </w:r>
          <w:r>
            <w:rPr>
              <w:noProof/>
            </w:rPr>
            <w:fldChar w:fldCharType="separate"/>
          </w:r>
          <w:r>
            <w:rPr>
              <w:noProof/>
            </w:rPr>
            <w:t>9</w:t>
          </w:r>
          <w:r>
            <w:rPr>
              <w:noProof/>
            </w:rPr>
            <w:fldChar w:fldCharType="end"/>
          </w:r>
        </w:p>
        <w:p w14:paraId="3A92260C" w14:textId="3ACD605B"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Issues Covered</w:t>
          </w:r>
          <w:r>
            <w:rPr>
              <w:noProof/>
            </w:rPr>
            <w:tab/>
          </w:r>
          <w:r>
            <w:rPr>
              <w:noProof/>
            </w:rPr>
            <w:fldChar w:fldCharType="begin"/>
          </w:r>
          <w:r>
            <w:rPr>
              <w:noProof/>
            </w:rPr>
            <w:instrText xml:space="preserve"> PAGEREF _Toc241674695 \h </w:instrText>
          </w:r>
          <w:r>
            <w:rPr>
              <w:noProof/>
            </w:rPr>
          </w:r>
          <w:r>
            <w:rPr>
              <w:noProof/>
            </w:rPr>
            <w:fldChar w:fldCharType="separate"/>
          </w:r>
          <w:r>
            <w:rPr>
              <w:noProof/>
            </w:rPr>
            <w:t>10</w:t>
          </w:r>
          <w:r>
            <w:rPr>
              <w:noProof/>
            </w:rPr>
            <w:fldChar w:fldCharType="end"/>
          </w:r>
        </w:p>
        <w:p w14:paraId="13CA7B8B" w14:textId="4AF100CD"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MDB Strategy</w:t>
          </w:r>
          <w:r>
            <w:rPr>
              <w:noProof/>
            </w:rPr>
            <w:tab/>
          </w:r>
          <w:r>
            <w:rPr>
              <w:noProof/>
            </w:rPr>
            <w:fldChar w:fldCharType="begin"/>
          </w:r>
          <w:r>
            <w:rPr>
              <w:noProof/>
            </w:rPr>
            <w:instrText xml:space="preserve"> PAGEREF _Toc241674696 \h </w:instrText>
          </w:r>
          <w:r>
            <w:rPr>
              <w:noProof/>
            </w:rPr>
          </w:r>
          <w:r>
            <w:rPr>
              <w:noProof/>
            </w:rPr>
            <w:fldChar w:fldCharType="separate"/>
          </w:r>
          <w:r>
            <w:rPr>
              <w:noProof/>
            </w:rPr>
            <w:t>10</w:t>
          </w:r>
          <w:r>
            <w:rPr>
              <w:noProof/>
            </w:rPr>
            <w:fldChar w:fldCharType="end"/>
          </w:r>
        </w:p>
        <w:p w14:paraId="59F24D86" w14:textId="34E06399"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Policy-Encouraging Climate Finance</w:t>
          </w:r>
          <w:r>
            <w:rPr>
              <w:noProof/>
            </w:rPr>
            <w:tab/>
          </w:r>
          <w:r>
            <w:rPr>
              <w:noProof/>
            </w:rPr>
            <w:fldChar w:fldCharType="begin"/>
          </w:r>
          <w:r>
            <w:rPr>
              <w:noProof/>
            </w:rPr>
            <w:instrText xml:space="preserve"> PAGEREF _Toc241674697 \h </w:instrText>
          </w:r>
          <w:r>
            <w:rPr>
              <w:noProof/>
            </w:rPr>
          </w:r>
          <w:r>
            <w:rPr>
              <w:noProof/>
            </w:rPr>
            <w:fldChar w:fldCharType="separate"/>
          </w:r>
          <w:r>
            <w:rPr>
              <w:noProof/>
            </w:rPr>
            <w:t>10</w:t>
          </w:r>
          <w:r>
            <w:rPr>
              <w:noProof/>
            </w:rPr>
            <w:fldChar w:fldCharType="end"/>
          </w:r>
        </w:p>
        <w:p w14:paraId="3F94F934" w14:textId="50FC4621"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Climate Governance: Financing, Incentives, Positive Framing and Enforcement</w:t>
          </w:r>
          <w:r>
            <w:rPr>
              <w:noProof/>
            </w:rPr>
            <w:tab/>
          </w:r>
          <w:r>
            <w:rPr>
              <w:noProof/>
            </w:rPr>
            <w:fldChar w:fldCharType="begin"/>
          </w:r>
          <w:r>
            <w:rPr>
              <w:noProof/>
            </w:rPr>
            <w:instrText xml:space="preserve"> PAGEREF _Toc241674698 \h </w:instrText>
          </w:r>
          <w:r>
            <w:rPr>
              <w:noProof/>
            </w:rPr>
          </w:r>
          <w:r>
            <w:rPr>
              <w:noProof/>
            </w:rPr>
            <w:fldChar w:fldCharType="separate"/>
          </w:r>
          <w:r>
            <w:rPr>
              <w:noProof/>
            </w:rPr>
            <w:t>10</w:t>
          </w:r>
          <w:r>
            <w:rPr>
              <w:noProof/>
            </w:rPr>
            <w:fldChar w:fldCharType="end"/>
          </w:r>
        </w:p>
        <w:p w14:paraId="51290C77" w14:textId="268034EE"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The Papers at a Glance</w:t>
          </w:r>
          <w:r>
            <w:rPr>
              <w:noProof/>
            </w:rPr>
            <w:tab/>
          </w:r>
          <w:r>
            <w:rPr>
              <w:noProof/>
            </w:rPr>
            <w:fldChar w:fldCharType="begin"/>
          </w:r>
          <w:r>
            <w:rPr>
              <w:noProof/>
            </w:rPr>
            <w:instrText xml:space="preserve"> PAGEREF _Toc241674699 \h </w:instrText>
          </w:r>
          <w:r>
            <w:rPr>
              <w:noProof/>
            </w:rPr>
          </w:r>
          <w:r>
            <w:rPr>
              <w:noProof/>
            </w:rPr>
            <w:fldChar w:fldCharType="separate"/>
          </w:r>
          <w:r>
            <w:rPr>
              <w:noProof/>
            </w:rPr>
            <w:t>10</w:t>
          </w:r>
          <w:r>
            <w:rPr>
              <w:noProof/>
            </w:rPr>
            <w:fldChar w:fldCharType="end"/>
          </w:r>
        </w:p>
        <w:p w14:paraId="2ED0237F" w14:textId="571BE02B"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Policy</w:t>
          </w:r>
          <w:r>
            <w:rPr>
              <w:noProof/>
            </w:rPr>
            <w:tab/>
          </w:r>
          <w:r>
            <w:rPr>
              <w:noProof/>
            </w:rPr>
            <w:fldChar w:fldCharType="begin"/>
          </w:r>
          <w:r>
            <w:rPr>
              <w:noProof/>
            </w:rPr>
            <w:instrText xml:space="preserve"> PAGEREF _Toc241674700 \h </w:instrText>
          </w:r>
          <w:r>
            <w:rPr>
              <w:noProof/>
            </w:rPr>
          </w:r>
          <w:r>
            <w:rPr>
              <w:noProof/>
            </w:rPr>
            <w:fldChar w:fldCharType="separate"/>
          </w:r>
          <w:r>
            <w:rPr>
              <w:noProof/>
            </w:rPr>
            <w:t>10</w:t>
          </w:r>
          <w:r>
            <w:rPr>
              <w:noProof/>
            </w:rPr>
            <w:fldChar w:fldCharType="end"/>
          </w:r>
        </w:p>
        <w:p w14:paraId="01EE990E" w14:textId="6906CE35"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Guarantees and Finance</w:t>
          </w:r>
          <w:r>
            <w:rPr>
              <w:noProof/>
            </w:rPr>
            <w:tab/>
          </w:r>
          <w:r>
            <w:rPr>
              <w:noProof/>
            </w:rPr>
            <w:fldChar w:fldCharType="begin"/>
          </w:r>
          <w:r>
            <w:rPr>
              <w:noProof/>
            </w:rPr>
            <w:instrText xml:space="preserve"> PAGEREF _Toc241674701 \h </w:instrText>
          </w:r>
          <w:r>
            <w:rPr>
              <w:noProof/>
            </w:rPr>
          </w:r>
          <w:r>
            <w:rPr>
              <w:noProof/>
            </w:rPr>
            <w:fldChar w:fldCharType="separate"/>
          </w:r>
          <w:r>
            <w:rPr>
              <w:noProof/>
            </w:rPr>
            <w:t>11</w:t>
          </w:r>
          <w:r>
            <w:rPr>
              <w:noProof/>
            </w:rPr>
            <w:fldChar w:fldCharType="end"/>
          </w:r>
        </w:p>
        <w:p w14:paraId="3972605D" w14:textId="3997C014"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MDBs and Sovereign Incentives</w:t>
          </w:r>
          <w:r>
            <w:rPr>
              <w:noProof/>
            </w:rPr>
            <w:tab/>
          </w:r>
          <w:r>
            <w:rPr>
              <w:noProof/>
            </w:rPr>
            <w:fldChar w:fldCharType="begin"/>
          </w:r>
          <w:r>
            <w:rPr>
              <w:noProof/>
            </w:rPr>
            <w:instrText xml:space="preserve"> PAGEREF _Toc241674702 \h </w:instrText>
          </w:r>
          <w:r>
            <w:rPr>
              <w:noProof/>
            </w:rPr>
          </w:r>
          <w:r>
            <w:rPr>
              <w:noProof/>
            </w:rPr>
            <w:fldChar w:fldCharType="separate"/>
          </w:r>
          <w:r>
            <w:rPr>
              <w:noProof/>
            </w:rPr>
            <w:t>11</w:t>
          </w:r>
          <w:r>
            <w:rPr>
              <w:noProof/>
            </w:rPr>
            <w:fldChar w:fldCharType="end"/>
          </w:r>
        </w:p>
        <w:p w14:paraId="73E7A50E" w14:textId="47175EB6" w:rsidR="00B50FDE" w:rsidRDefault="00B50FDE">
          <w:pPr>
            <w:pStyle w:val="TOC1"/>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The Papers</w:t>
          </w:r>
          <w:r>
            <w:rPr>
              <w:noProof/>
            </w:rPr>
            <w:tab/>
          </w:r>
          <w:r>
            <w:rPr>
              <w:noProof/>
            </w:rPr>
            <w:fldChar w:fldCharType="begin"/>
          </w:r>
          <w:r>
            <w:rPr>
              <w:noProof/>
            </w:rPr>
            <w:instrText xml:space="preserve"> PAGEREF _Toc241674703 \h </w:instrText>
          </w:r>
          <w:r>
            <w:rPr>
              <w:noProof/>
            </w:rPr>
          </w:r>
          <w:r>
            <w:rPr>
              <w:noProof/>
            </w:rPr>
            <w:fldChar w:fldCharType="separate"/>
          </w:r>
          <w:r>
            <w:rPr>
              <w:noProof/>
            </w:rPr>
            <w:t>12</w:t>
          </w:r>
          <w:r>
            <w:rPr>
              <w:noProof/>
            </w:rPr>
            <w:fldChar w:fldCharType="end"/>
          </w:r>
        </w:p>
        <w:p w14:paraId="18B3EFB1" w14:textId="1F8B2BC9"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A. Policy</w:t>
          </w:r>
          <w:r>
            <w:rPr>
              <w:noProof/>
            </w:rPr>
            <w:tab/>
          </w:r>
          <w:r>
            <w:rPr>
              <w:noProof/>
            </w:rPr>
            <w:fldChar w:fldCharType="begin"/>
          </w:r>
          <w:r>
            <w:rPr>
              <w:noProof/>
            </w:rPr>
            <w:instrText xml:space="preserve"> PAGEREF _Toc241674704 \h </w:instrText>
          </w:r>
          <w:r>
            <w:rPr>
              <w:noProof/>
            </w:rPr>
          </w:r>
          <w:r>
            <w:rPr>
              <w:noProof/>
            </w:rPr>
            <w:fldChar w:fldCharType="separate"/>
          </w:r>
          <w:r>
            <w:rPr>
              <w:noProof/>
            </w:rPr>
            <w:t>12</w:t>
          </w:r>
          <w:r>
            <w:rPr>
              <w:noProof/>
            </w:rPr>
            <w:fldChar w:fldCharType="end"/>
          </w:r>
        </w:p>
        <w:p w14:paraId="49FF1877" w14:textId="6D0624FF"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lastRenderedPageBreak/>
            <w:t>Paper 1. Power Sector Feebates: A Dynamic Approach to Overcoming Transitional Barriers and Decarbonizing the Capital Stock</w:t>
          </w:r>
          <w:r>
            <w:rPr>
              <w:noProof/>
            </w:rPr>
            <w:tab/>
          </w:r>
          <w:r>
            <w:rPr>
              <w:noProof/>
            </w:rPr>
            <w:fldChar w:fldCharType="begin"/>
          </w:r>
          <w:r>
            <w:rPr>
              <w:noProof/>
            </w:rPr>
            <w:instrText xml:space="preserve"> PAGEREF _Toc241674705 \h </w:instrText>
          </w:r>
          <w:r>
            <w:rPr>
              <w:noProof/>
            </w:rPr>
          </w:r>
          <w:r>
            <w:rPr>
              <w:noProof/>
            </w:rPr>
            <w:fldChar w:fldCharType="separate"/>
          </w:r>
          <w:r>
            <w:rPr>
              <w:noProof/>
            </w:rPr>
            <w:t>12</w:t>
          </w:r>
          <w:r>
            <w:rPr>
              <w:noProof/>
            </w:rPr>
            <w:fldChar w:fldCharType="end"/>
          </w:r>
        </w:p>
        <w:p w14:paraId="5A5A6BCA" w14:textId="123B0DFF"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2. Finance, Carbon Pricing and Power Market Reforms to Meet Indian Climate Policy Goals</w:t>
          </w:r>
          <w:r>
            <w:rPr>
              <w:noProof/>
            </w:rPr>
            <w:tab/>
          </w:r>
          <w:r>
            <w:rPr>
              <w:noProof/>
            </w:rPr>
            <w:fldChar w:fldCharType="begin"/>
          </w:r>
          <w:r>
            <w:rPr>
              <w:noProof/>
            </w:rPr>
            <w:instrText xml:space="preserve"> PAGEREF _Toc241674706 \h </w:instrText>
          </w:r>
          <w:r>
            <w:rPr>
              <w:noProof/>
            </w:rPr>
          </w:r>
          <w:r>
            <w:rPr>
              <w:noProof/>
            </w:rPr>
            <w:fldChar w:fldCharType="separate"/>
          </w:r>
          <w:r>
            <w:rPr>
              <w:noProof/>
            </w:rPr>
            <w:t>12</w:t>
          </w:r>
          <w:r>
            <w:rPr>
              <w:noProof/>
            </w:rPr>
            <w:fldChar w:fldCharType="end"/>
          </w:r>
        </w:p>
        <w:p w14:paraId="59E60710" w14:textId="2A4D5E29"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B. Guarantees and Finance</w:t>
          </w:r>
          <w:r>
            <w:rPr>
              <w:noProof/>
            </w:rPr>
            <w:tab/>
          </w:r>
          <w:r>
            <w:rPr>
              <w:noProof/>
            </w:rPr>
            <w:fldChar w:fldCharType="begin"/>
          </w:r>
          <w:r>
            <w:rPr>
              <w:noProof/>
            </w:rPr>
            <w:instrText xml:space="preserve"> PAGEREF _Toc241674707 \h </w:instrText>
          </w:r>
          <w:r>
            <w:rPr>
              <w:noProof/>
            </w:rPr>
          </w:r>
          <w:r>
            <w:rPr>
              <w:noProof/>
            </w:rPr>
            <w:fldChar w:fldCharType="separate"/>
          </w:r>
          <w:r>
            <w:rPr>
              <w:noProof/>
            </w:rPr>
            <w:t>13</w:t>
          </w:r>
          <w:r>
            <w:rPr>
              <w:noProof/>
            </w:rPr>
            <w:fldChar w:fldCharType="end"/>
          </w:r>
        </w:p>
        <w:p w14:paraId="68A9D31E" w14:textId="3935D9FD"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3. A Solar Payments Intermediary and Finance Agency</w:t>
          </w:r>
          <w:r>
            <w:rPr>
              <w:noProof/>
            </w:rPr>
            <w:tab/>
          </w:r>
          <w:r>
            <w:rPr>
              <w:noProof/>
            </w:rPr>
            <w:fldChar w:fldCharType="begin"/>
          </w:r>
          <w:r>
            <w:rPr>
              <w:noProof/>
            </w:rPr>
            <w:instrText xml:space="preserve"> PAGEREF _Toc241674708 \h </w:instrText>
          </w:r>
          <w:r>
            <w:rPr>
              <w:noProof/>
            </w:rPr>
          </w:r>
          <w:r>
            <w:rPr>
              <w:noProof/>
            </w:rPr>
            <w:fldChar w:fldCharType="separate"/>
          </w:r>
          <w:r>
            <w:rPr>
              <w:noProof/>
            </w:rPr>
            <w:t>13</w:t>
          </w:r>
          <w:r>
            <w:rPr>
              <w:noProof/>
            </w:rPr>
            <w:fldChar w:fldCharType="end"/>
          </w:r>
        </w:p>
        <w:p w14:paraId="56150BBA" w14:textId="170366B4"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4. A Financial Plan for a Global Solar Economy</w:t>
          </w:r>
          <w:r>
            <w:rPr>
              <w:noProof/>
            </w:rPr>
            <w:tab/>
          </w:r>
          <w:r>
            <w:rPr>
              <w:noProof/>
            </w:rPr>
            <w:fldChar w:fldCharType="begin"/>
          </w:r>
          <w:r>
            <w:rPr>
              <w:noProof/>
            </w:rPr>
            <w:instrText xml:space="preserve"> PAGEREF _Toc241674709 \h </w:instrText>
          </w:r>
          <w:r>
            <w:rPr>
              <w:noProof/>
            </w:rPr>
          </w:r>
          <w:r>
            <w:rPr>
              <w:noProof/>
            </w:rPr>
            <w:fldChar w:fldCharType="separate"/>
          </w:r>
          <w:r>
            <w:rPr>
              <w:noProof/>
            </w:rPr>
            <w:t>13</w:t>
          </w:r>
          <w:r>
            <w:rPr>
              <w:noProof/>
            </w:rPr>
            <w:fldChar w:fldCharType="end"/>
          </w:r>
        </w:p>
        <w:p w14:paraId="006FB2A5" w14:textId="0BF5D2DB"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5. The Climate Incentives Trust</w:t>
          </w:r>
          <w:r>
            <w:rPr>
              <w:noProof/>
            </w:rPr>
            <w:tab/>
          </w:r>
          <w:r>
            <w:rPr>
              <w:noProof/>
            </w:rPr>
            <w:fldChar w:fldCharType="begin"/>
          </w:r>
          <w:r>
            <w:rPr>
              <w:noProof/>
            </w:rPr>
            <w:instrText xml:space="preserve"> PAGEREF _Toc241674710 \h </w:instrText>
          </w:r>
          <w:r>
            <w:rPr>
              <w:noProof/>
            </w:rPr>
          </w:r>
          <w:r>
            <w:rPr>
              <w:noProof/>
            </w:rPr>
            <w:fldChar w:fldCharType="separate"/>
          </w:r>
          <w:r>
            <w:rPr>
              <w:noProof/>
            </w:rPr>
            <w:t>14</w:t>
          </w:r>
          <w:r>
            <w:rPr>
              <w:noProof/>
            </w:rPr>
            <w:fldChar w:fldCharType="end"/>
          </w:r>
        </w:p>
        <w:p w14:paraId="58250FC6" w14:textId="4B475398"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Supporting Mechanisms</w:t>
          </w:r>
          <w:r>
            <w:rPr>
              <w:noProof/>
            </w:rPr>
            <w:tab/>
          </w:r>
          <w:r>
            <w:rPr>
              <w:noProof/>
            </w:rPr>
            <w:fldChar w:fldCharType="begin"/>
          </w:r>
          <w:r>
            <w:rPr>
              <w:noProof/>
            </w:rPr>
            <w:instrText xml:space="preserve"> PAGEREF _Toc241674711 \h </w:instrText>
          </w:r>
          <w:r>
            <w:rPr>
              <w:noProof/>
            </w:rPr>
          </w:r>
          <w:r>
            <w:rPr>
              <w:noProof/>
            </w:rPr>
            <w:fldChar w:fldCharType="separate"/>
          </w:r>
          <w:r>
            <w:rPr>
              <w:noProof/>
            </w:rPr>
            <w:t>15</w:t>
          </w:r>
          <w:r>
            <w:rPr>
              <w:noProof/>
            </w:rPr>
            <w:fldChar w:fldCharType="end"/>
          </w:r>
        </w:p>
        <w:p w14:paraId="20DB02BD" w14:textId="73781EBC" w:rsidR="00B50FDE" w:rsidRDefault="00B50FDE">
          <w:pPr>
            <w:pStyle w:val="TOC2"/>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C. MDBs and Sovereign Incentives</w:t>
          </w:r>
          <w:r>
            <w:rPr>
              <w:noProof/>
            </w:rPr>
            <w:tab/>
          </w:r>
          <w:r>
            <w:rPr>
              <w:noProof/>
            </w:rPr>
            <w:fldChar w:fldCharType="begin"/>
          </w:r>
          <w:r>
            <w:rPr>
              <w:noProof/>
            </w:rPr>
            <w:instrText xml:space="preserve"> PAGEREF _Toc241674712 \h </w:instrText>
          </w:r>
          <w:r>
            <w:rPr>
              <w:noProof/>
            </w:rPr>
          </w:r>
          <w:r>
            <w:rPr>
              <w:noProof/>
            </w:rPr>
            <w:fldChar w:fldCharType="separate"/>
          </w:r>
          <w:r>
            <w:rPr>
              <w:noProof/>
            </w:rPr>
            <w:t>16</w:t>
          </w:r>
          <w:r>
            <w:rPr>
              <w:noProof/>
            </w:rPr>
            <w:fldChar w:fldCharType="end"/>
          </w:r>
        </w:p>
        <w:p w14:paraId="0D04C981" w14:textId="4F7FC555"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6. Proposing a Mechanism for Implementing the Evolution Roadmap on Climate</w:t>
          </w:r>
          <w:r>
            <w:rPr>
              <w:noProof/>
            </w:rPr>
            <w:tab/>
          </w:r>
          <w:r>
            <w:rPr>
              <w:noProof/>
            </w:rPr>
            <w:fldChar w:fldCharType="begin"/>
          </w:r>
          <w:r>
            <w:rPr>
              <w:noProof/>
            </w:rPr>
            <w:instrText xml:space="preserve"> PAGEREF _Toc241674713 \h </w:instrText>
          </w:r>
          <w:r>
            <w:rPr>
              <w:noProof/>
            </w:rPr>
          </w:r>
          <w:r>
            <w:rPr>
              <w:noProof/>
            </w:rPr>
            <w:fldChar w:fldCharType="separate"/>
          </w:r>
          <w:r>
            <w:rPr>
              <w:noProof/>
            </w:rPr>
            <w:t>16</w:t>
          </w:r>
          <w:r>
            <w:rPr>
              <w:noProof/>
            </w:rPr>
            <w:fldChar w:fldCharType="end"/>
          </w:r>
        </w:p>
        <w:p w14:paraId="0BB32039" w14:textId="7AFBE9B1"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7. Mobilizing Private Finance for the Climate Agenda: Introducing Sustainability-Linked Intermediated Debt Instruments</w:t>
          </w:r>
          <w:r>
            <w:rPr>
              <w:noProof/>
            </w:rPr>
            <w:tab/>
          </w:r>
          <w:r>
            <w:rPr>
              <w:noProof/>
            </w:rPr>
            <w:fldChar w:fldCharType="begin"/>
          </w:r>
          <w:r>
            <w:rPr>
              <w:noProof/>
            </w:rPr>
            <w:instrText xml:space="preserve"> PAGEREF _Toc241674714 \h </w:instrText>
          </w:r>
          <w:r>
            <w:rPr>
              <w:noProof/>
            </w:rPr>
          </w:r>
          <w:r>
            <w:rPr>
              <w:noProof/>
            </w:rPr>
            <w:fldChar w:fldCharType="separate"/>
          </w:r>
          <w:r>
            <w:rPr>
              <w:noProof/>
            </w:rPr>
            <w:t>17</w:t>
          </w:r>
          <w:r>
            <w:rPr>
              <w:noProof/>
            </w:rPr>
            <w:fldChar w:fldCharType="end"/>
          </w:r>
        </w:p>
        <w:p w14:paraId="71E7F3AF" w14:textId="3914BB44"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8. MDB Reform and Incentives for Paris Agreement Compliance</w:t>
          </w:r>
          <w:r>
            <w:rPr>
              <w:noProof/>
            </w:rPr>
            <w:tab/>
          </w:r>
          <w:r>
            <w:rPr>
              <w:noProof/>
            </w:rPr>
            <w:fldChar w:fldCharType="begin"/>
          </w:r>
          <w:r>
            <w:rPr>
              <w:noProof/>
            </w:rPr>
            <w:instrText xml:space="preserve"> PAGEREF _Toc241674715 \h </w:instrText>
          </w:r>
          <w:r>
            <w:rPr>
              <w:noProof/>
            </w:rPr>
          </w:r>
          <w:r>
            <w:rPr>
              <w:noProof/>
            </w:rPr>
            <w:fldChar w:fldCharType="separate"/>
          </w:r>
          <w:r>
            <w:rPr>
              <w:noProof/>
            </w:rPr>
            <w:t>17</w:t>
          </w:r>
          <w:r>
            <w:rPr>
              <w:noProof/>
            </w:rPr>
            <w:fldChar w:fldCharType="end"/>
          </w:r>
        </w:p>
        <w:p w14:paraId="6A7C7DA1" w14:textId="7FE2573A"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9. Multi-Tiered Sustainable Infrastructure Project Portfolio Loan Guarantee System</w:t>
          </w:r>
          <w:r>
            <w:rPr>
              <w:noProof/>
            </w:rPr>
            <w:tab/>
          </w:r>
          <w:r>
            <w:rPr>
              <w:noProof/>
            </w:rPr>
            <w:fldChar w:fldCharType="begin"/>
          </w:r>
          <w:r>
            <w:rPr>
              <w:noProof/>
            </w:rPr>
            <w:instrText xml:space="preserve"> PAGEREF _Toc241674716 \h </w:instrText>
          </w:r>
          <w:r>
            <w:rPr>
              <w:noProof/>
            </w:rPr>
          </w:r>
          <w:r>
            <w:rPr>
              <w:noProof/>
            </w:rPr>
            <w:fldChar w:fldCharType="separate"/>
          </w:r>
          <w:r>
            <w:rPr>
              <w:noProof/>
            </w:rPr>
            <w:t>18</w:t>
          </w:r>
          <w:r>
            <w:rPr>
              <w:noProof/>
            </w:rPr>
            <w:fldChar w:fldCharType="end"/>
          </w:r>
        </w:p>
        <w:p w14:paraId="44EC6979" w14:textId="17EA9743" w:rsidR="00B50FDE" w:rsidRDefault="00B50FDE">
          <w:pPr>
            <w:pStyle w:val="TOC3"/>
            <w:tabs>
              <w:tab w:val="right" w:leader="dot" w:pos="9062"/>
            </w:tabs>
            <w:rPr>
              <w:rFonts w:asciiTheme="minorHAnsi" w:eastAsiaTheme="minorEastAsia" w:hAnsiTheme="minorHAnsi" w:cstheme="minorBidi"/>
              <w:noProof/>
              <w:color w:val="auto"/>
              <w:kern w:val="2"/>
              <w:sz w:val="24"/>
              <w:szCs w:val="24"/>
              <w14:ligatures w14:val="standardContextual"/>
            </w:rPr>
          </w:pPr>
          <w:r>
            <w:rPr>
              <w:noProof/>
            </w:rPr>
            <w:t>Paper 10. 100 Percent Clean Energy Transition Program Assistance</w:t>
          </w:r>
          <w:r>
            <w:rPr>
              <w:noProof/>
            </w:rPr>
            <w:tab/>
          </w:r>
          <w:r>
            <w:rPr>
              <w:noProof/>
            </w:rPr>
            <w:fldChar w:fldCharType="begin"/>
          </w:r>
          <w:r>
            <w:rPr>
              <w:noProof/>
            </w:rPr>
            <w:instrText xml:space="preserve"> PAGEREF _Toc241674717 \h </w:instrText>
          </w:r>
          <w:r>
            <w:rPr>
              <w:noProof/>
            </w:rPr>
          </w:r>
          <w:r>
            <w:rPr>
              <w:noProof/>
            </w:rPr>
            <w:fldChar w:fldCharType="separate"/>
          </w:r>
          <w:r>
            <w:rPr>
              <w:noProof/>
            </w:rPr>
            <w:t>19</w:t>
          </w:r>
          <w:r>
            <w:rPr>
              <w:noProof/>
            </w:rPr>
            <w:fldChar w:fldCharType="end"/>
          </w:r>
        </w:p>
        <w:p w14:paraId="525F5C9F" w14:textId="3C971495" w:rsidR="00FD1CDA" w:rsidRDefault="00000000">
          <w:r>
            <w:fldChar w:fldCharType="end"/>
          </w:r>
        </w:p>
      </w:sdtContent>
    </w:sdt>
    <w:p w14:paraId="2F711482" w14:textId="77777777" w:rsidR="00FD1CDA" w:rsidRDefault="00000000">
      <w:r>
        <w:br w:type="page"/>
      </w:r>
    </w:p>
    <w:p w14:paraId="6013E099" w14:textId="328D53F3" w:rsidR="00AA3378" w:rsidRDefault="00B50FDE" w:rsidP="00AA3378">
      <w:pPr>
        <w:pStyle w:val="Heading2"/>
      </w:pPr>
      <w:bookmarkStart w:id="1" w:name="_Toc241674682"/>
      <w:r>
        <w:lastRenderedPageBreak/>
        <w:t>Introduction</w:t>
      </w:r>
      <w:bookmarkEnd w:id="1"/>
    </w:p>
    <w:p w14:paraId="6EB26590" w14:textId="77777777" w:rsidR="00A45799" w:rsidRDefault="00A45799" w:rsidP="00AA3378">
      <w:pPr>
        <w:pStyle w:val="Heading2"/>
      </w:pPr>
    </w:p>
    <w:p w14:paraId="4C075374" w14:textId="77777777" w:rsidR="00A45799" w:rsidRPr="00A45799" w:rsidRDefault="00A45799" w:rsidP="00A45799">
      <w:pPr>
        <w:rPr>
          <w:b/>
          <w:bCs/>
        </w:rPr>
      </w:pPr>
      <w:r w:rsidRPr="00A45799">
        <w:rPr>
          <w:b/>
          <w:bCs/>
        </w:rPr>
        <w:t>Introduction</w:t>
      </w:r>
    </w:p>
    <w:p w14:paraId="501959D6" w14:textId="77777777" w:rsidR="00A45799" w:rsidRPr="00A45799" w:rsidRDefault="00A45799" w:rsidP="00A45799">
      <w:r w:rsidRPr="00A45799">
        <w:t>The moonshot inspired a generation. Transforming the global economy for a livable planet calls for the same resolve. If JFK were speaking about the climate crisis rather than the space race, he might say:</w:t>
      </w:r>
    </w:p>
    <w:p w14:paraId="779858A1" w14:textId="77777777" w:rsidR="00A45799" w:rsidRPr="00A45799" w:rsidRDefault="00A45799" w:rsidP="00A45799">
      <w:r w:rsidRPr="00A45799">
        <w:t xml:space="preserve">Our goal </w:t>
      </w:r>
      <w:proofErr w:type="gramStart"/>
      <w:r w:rsidRPr="00A45799">
        <w:t>is</w:t>
      </w:r>
      <w:proofErr w:type="gramEnd"/>
      <w:r w:rsidRPr="00A45799">
        <w:t xml:space="preserve"> a global clean energy financial system that enables the fastest countries to reach net zero by </w:t>
      </w:r>
      <w:proofErr w:type="gramStart"/>
      <w:r w:rsidRPr="00A45799">
        <w:t>2030, and</w:t>
      </w:r>
      <w:proofErr w:type="gramEnd"/>
      <w:r w:rsidRPr="00A45799">
        <w:t xml:space="preserve"> incentivizes the rest to adopt Paris-compliant carbon pricing and energy transition strategies by the same date. We choose these goals not because they are easy, but because they are hard; because they will organize and measure the best of our energies and skills; because this is a </w:t>
      </w:r>
      <w:proofErr w:type="gramStart"/>
      <w:r w:rsidRPr="00A45799">
        <w:t>challenge</w:t>
      </w:r>
      <w:proofErr w:type="gramEnd"/>
      <w:r w:rsidRPr="00A45799">
        <w:t xml:space="preserve"> we are willing to accept, and unwilling to postpone.</w:t>
      </w:r>
    </w:p>
    <w:p w14:paraId="2A8D1C4A" w14:textId="77777777" w:rsidR="00A45799" w:rsidRPr="00A45799" w:rsidRDefault="00A45799" w:rsidP="00A45799">
      <w:r w:rsidRPr="00A45799">
        <w:t xml:space="preserve">This is the </w:t>
      </w:r>
      <w:proofErr w:type="spellStart"/>
      <w:r w:rsidRPr="00A45799">
        <w:t>GeoProsperity</w:t>
      </w:r>
      <w:proofErr w:type="spellEnd"/>
      <w:r w:rsidRPr="00A45799">
        <w:t xml:space="preserve"> mission. We want to provide the incentives and finance that countries need to meet the Paris temperature targets and reach net zero by mid-century. The fastest countries should get there by 2030.</w:t>
      </w:r>
    </w:p>
    <w:p w14:paraId="028309D8" w14:textId="77777777" w:rsidR="00A45799" w:rsidRPr="00A45799" w:rsidRDefault="00A45799" w:rsidP="00A45799">
      <w:pPr>
        <w:rPr>
          <w:b/>
          <w:bCs/>
        </w:rPr>
      </w:pPr>
      <w:r w:rsidRPr="00A45799">
        <w:rPr>
          <w:b/>
          <w:bCs/>
        </w:rPr>
        <w:t xml:space="preserve">About </w:t>
      </w:r>
      <w:proofErr w:type="spellStart"/>
      <w:r w:rsidRPr="00A45799">
        <w:rPr>
          <w:b/>
          <w:bCs/>
        </w:rPr>
        <w:t>GeoProsperity</w:t>
      </w:r>
      <w:proofErr w:type="spellEnd"/>
    </w:p>
    <w:p w14:paraId="781D5777" w14:textId="77777777" w:rsidR="00A45799" w:rsidRPr="00A45799" w:rsidRDefault="00A45799" w:rsidP="00A45799">
      <w:proofErr w:type="spellStart"/>
      <w:r w:rsidRPr="00A45799">
        <w:t>GeoProsperity</w:t>
      </w:r>
      <w:proofErr w:type="spellEnd"/>
      <w:r w:rsidRPr="00A45799">
        <w:t xml:space="preserve"> is an independent initiative. Its aim is to reconcile the global financial system with the urgent demands of climate mitigation and adaptation. It pictures a world where energy security and abundance go hand in hand with a livable planet.</w:t>
      </w:r>
    </w:p>
    <w:p w14:paraId="18B172B0" w14:textId="77777777" w:rsidR="00A45799" w:rsidRPr="00A45799" w:rsidRDefault="00A45799" w:rsidP="00A45799">
      <w:r w:rsidRPr="00A45799">
        <w:t>Our core idea is that climate solutions should pay for themselves. Multilateral development banks (MDBs), such as the World Bank, have de-risking tools. We use them to design financing frameworks that cut costs, raise returns and spread the gains. The model is solar: once the economics tipped, investment took off on its own.</w:t>
      </w:r>
    </w:p>
    <w:p w14:paraId="6A89771E" w14:textId="77777777" w:rsidR="00A45799" w:rsidRPr="00A45799" w:rsidRDefault="00A45799" w:rsidP="00A45799">
      <w:r w:rsidRPr="00A45799">
        <w:t>We draw on decarbonization, carbon pricing, sustainable finance, political economy and classical economics. We look for solutions that are both politically and technically realistic, and that global institutions can put into practice. We welcome ideas and submissions from practitioners and thought leaders worldwide.</w:t>
      </w:r>
    </w:p>
    <w:p w14:paraId="36ABA80B" w14:textId="77777777" w:rsidR="00A45799" w:rsidRPr="00A45799" w:rsidRDefault="00A45799" w:rsidP="00A45799">
      <w:pPr>
        <w:rPr>
          <w:b/>
          <w:bCs/>
        </w:rPr>
      </w:pPr>
      <w:r w:rsidRPr="00A45799">
        <w:rPr>
          <w:b/>
          <w:bCs/>
        </w:rPr>
        <w:t>The Blog Series</w:t>
      </w:r>
    </w:p>
    <w:p w14:paraId="725A8848" w14:textId="77777777" w:rsidR="00A45799" w:rsidRPr="00A45799" w:rsidRDefault="00A45799" w:rsidP="00A45799">
      <w:r w:rsidRPr="00A45799">
        <w:t>The series offers practical strategies to help financial institutions, and MDBs above all, work through a fast-changing climate finance landscape. Today's system often reflects outdated priorities. Emerging markets face record emissions, record debt and thin fiscal space, so real progress is hard. We therefore argue for a shift away from project-based climate finance and toward a policy-based approach that lets MDBs back deep structural change.</w:t>
      </w:r>
    </w:p>
    <w:p w14:paraId="162B2DA4" w14:textId="77777777" w:rsidR="00A45799" w:rsidRPr="00A45799" w:rsidRDefault="00A45799" w:rsidP="00A45799">
      <w:r w:rsidRPr="00A45799">
        <w:t>Posts are organized around five pillars:</w:t>
      </w:r>
    </w:p>
    <w:p w14:paraId="1182AD3F" w14:textId="77777777" w:rsidR="00A45799" w:rsidRPr="00A45799" w:rsidRDefault="00A45799" w:rsidP="00A45799">
      <w:pPr>
        <w:numPr>
          <w:ilvl w:val="0"/>
          <w:numId w:val="6"/>
        </w:numPr>
      </w:pPr>
      <w:r w:rsidRPr="00A45799">
        <w:t>Clean energy ramp-up</w:t>
      </w:r>
    </w:p>
    <w:p w14:paraId="5D3CF3FF" w14:textId="77777777" w:rsidR="00A45799" w:rsidRPr="00A45799" w:rsidRDefault="00A45799" w:rsidP="00A45799">
      <w:pPr>
        <w:numPr>
          <w:ilvl w:val="0"/>
          <w:numId w:val="6"/>
        </w:numPr>
      </w:pPr>
      <w:r w:rsidRPr="00A45799">
        <w:t>Fossil energy ramp-down</w:t>
      </w:r>
    </w:p>
    <w:p w14:paraId="06695AA0" w14:textId="77777777" w:rsidR="00A45799" w:rsidRPr="00A45799" w:rsidRDefault="00A45799" w:rsidP="00A45799">
      <w:pPr>
        <w:numPr>
          <w:ilvl w:val="0"/>
          <w:numId w:val="6"/>
        </w:numPr>
      </w:pPr>
      <w:r w:rsidRPr="00A45799">
        <w:t>Ecosystem conservation and regeneration</w:t>
      </w:r>
    </w:p>
    <w:p w14:paraId="12C66F90" w14:textId="77777777" w:rsidR="00A45799" w:rsidRPr="00A45799" w:rsidRDefault="00A45799" w:rsidP="00A45799">
      <w:pPr>
        <w:numPr>
          <w:ilvl w:val="0"/>
          <w:numId w:val="6"/>
        </w:numPr>
      </w:pPr>
      <w:r w:rsidRPr="00A45799">
        <w:t>Carbon removal</w:t>
      </w:r>
    </w:p>
    <w:p w14:paraId="61B2AD12" w14:textId="77777777" w:rsidR="00A45799" w:rsidRPr="00A45799" w:rsidRDefault="00A45799" w:rsidP="00A45799">
      <w:pPr>
        <w:numPr>
          <w:ilvl w:val="0"/>
          <w:numId w:val="6"/>
        </w:numPr>
      </w:pPr>
      <w:r w:rsidRPr="00A45799">
        <w:t>Planetary thermostat technologies</w:t>
      </w:r>
    </w:p>
    <w:p w14:paraId="1EA66980" w14:textId="77777777" w:rsidR="00A45799" w:rsidRPr="00A45799" w:rsidRDefault="00A45799" w:rsidP="00A45799">
      <w:r w:rsidRPr="00A45799">
        <w:t>Each post explores financing and policy tools that support energy security, environmental resilience and fiscal health. Examples include:</w:t>
      </w:r>
    </w:p>
    <w:p w14:paraId="712A24CB" w14:textId="77777777" w:rsidR="00A45799" w:rsidRPr="00A45799" w:rsidRDefault="00A45799" w:rsidP="00A45799">
      <w:pPr>
        <w:numPr>
          <w:ilvl w:val="0"/>
          <w:numId w:val="7"/>
        </w:numPr>
      </w:pPr>
      <w:r w:rsidRPr="00A45799">
        <w:t>SECI-style programs in Africa</w:t>
      </w:r>
    </w:p>
    <w:p w14:paraId="78D28304" w14:textId="77777777" w:rsidR="00A45799" w:rsidRPr="00A45799" w:rsidRDefault="00A45799" w:rsidP="00A45799">
      <w:pPr>
        <w:numPr>
          <w:ilvl w:val="0"/>
          <w:numId w:val="7"/>
        </w:numPr>
      </w:pPr>
      <w:r w:rsidRPr="00A45799">
        <w:t>KPI bonds that reward carbon cuts</w:t>
      </w:r>
    </w:p>
    <w:p w14:paraId="3EF939A6" w14:textId="77777777" w:rsidR="00A45799" w:rsidRPr="00A45799" w:rsidRDefault="00A45799" w:rsidP="00A45799">
      <w:pPr>
        <w:numPr>
          <w:ilvl w:val="0"/>
          <w:numId w:val="7"/>
        </w:numPr>
      </w:pPr>
      <w:r w:rsidRPr="00A45799">
        <w:t>A financial model to speed solar deployment</w:t>
      </w:r>
    </w:p>
    <w:p w14:paraId="7A255F41" w14:textId="77777777" w:rsidR="00A45799" w:rsidRPr="00A45799" w:rsidRDefault="00A45799" w:rsidP="00A45799">
      <w:pPr>
        <w:numPr>
          <w:ilvl w:val="0"/>
          <w:numId w:val="7"/>
        </w:numPr>
      </w:pPr>
      <w:r w:rsidRPr="00A45799">
        <w:t>Feebate systems tailored to markets such as India</w:t>
      </w:r>
    </w:p>
    <w:p w14:paraId="06C44B89" w14:textId="77777777" w:rsidR="00A45799" w:rsidRPr="00A45799" w:rsidRDefault="00A45799" w:rsidP="00A45799">
      <w:r w:rsidRPr="00A45799">
        <w:lastRenderedPageBreak/>
        <w:t>These tools can bring public and private money into renewables and ecosystems while keeping public finances stable. Throughout, we ask how emerging economies can meet the cost of climate action without giving up growth.</w:t>
      </w:r>
    </w:p>
    <w:p w14:paraId="33927141" w14:textId="77777777" w:rsidR="00A45799" w:rsidRPr="00A45799" w:rsidRDefault="00A45799" w:rsidP="00A45799">
      <w:r w:rsidRPr="00A45799">
        <w:t>The series has two goals:</w:t>
      </w:r>
    </w:p>
    <w:p w14:paraId="140FA415" w14:textId="77777777" w:rsidR="00A45799" w:rsidRPr="00A45799" w:rsidRDefault="00A45799" w:rsidP="00A45799">
      <w:pPr>
        <w:numPr>
          <w:ilvl w:val="0"/>
          <w:numId w:val="8"/>
        </w:numPr>
      </w:pPr>
      <w:r w:rsidRPr="00A45799">
        <w:rPr>
          <w:b/>
          <w:bCs/>
        </w:rPr>
        <w:t>Briefing papers</w:t>
      </w:r>
      <w:r w:rsidRPr="00A45799">
        <w:t xml:space="preserve"> on innovation in climate mitigation finance and policy.</w:t>
      </w:r>
    </w:p>
    <w:p w14:paraId="37166876" w14:textId="77777777" w:rsidR="00A45799" w:rsidRPr="00A45799" w:rsidRDefault="00A45799" w:rsidP="00A45799">
      <w:pPr>
        <w:numPr>
          <w:ilvl w:val="0"/>
          <w:numId w:val="8"/>
        </w:numPr>
      </w:pPr>
      <w:r w:rsidRPr="00A45799">
        <w:rPr>
          <w:b/>
          <w:bCs/>
        </w:rPr>
        <w:t>A short course</w:t>
      </w:r>
      <w:r w:rsidRPr="00A45799">
        <w:t xml:space="preserve"> in interdisciplinary climate economics, covering political economy, classical economic foundations and finance. Each topic gets a reading list and a short slide deck, arranged into a clear curriculum.</w:t>
      </w:r>
    </w:p>
    <w:p w14:paraId="71B23E7F" w14:textId="77777777" w:rsidR="00A45799" w:rsidRPr="00A45799" w:rsidRDefault="00A45799" w:rsidP="00A45799">
      <w:pPr>
        <w:rPr>
          <w:b/>
          <w:bCs/>
        </w:rPr>
      </w:pPr>
      <w:r w:rsidRPr="00A45799">
        <w:rPr>
          <w:b/>
          <w:bCs/>
        </w:rPr>
        <w:t>Core Ideas</w:t>
      </w:r>
    </w:p>
    <w:p w14:paraId="5E1480DA" w14:textId="77777777" w:rsidR="00A45799" w:rsidRPr="00A45799" w:rsidRDefault="00A45799" w:rsidP="00A45799">
      <w:r w:rsidRPr="00A45799">
        <w:t>Climate policy so far has rarely been both politically and climatically realistic. Apart from renewable energy subsidies, it has not created the momentum needed to solve the problem. The briefs will develop the following ideas.</w:t>
      </w:r>
    </w:p>
    <w:p w14:paraId="53A008A1" w14:textId="77777777" w:rsidR="00A45799" w:rsidRPr="00A45799" w:rsidRDefault="00A45799" w:rsidP="00A45799">
      <w:r w:rsidRPr="00A45799">
        <w:rPr>
          <w:b/>
          <w:bCs/>
        </w:rPr>
        <w:t>A three-way collective action problem.</w:t>
      </w:r>
      <w:r w:rsidRPr="00A45799">
        <w:t xml:space="preserve"> Climate change is usually framed as a collective action problem between countries. It is also one within countries and over time. Economists have focused almost entirely on the first. We explain all three problems and how each can be solved.</w:t>
      </w:r>
    </w:p>
    <w:p w14:paraId="3D77F5BC" w14:textId="77777777" w:rsidR="00A45799" w:rsidRPr="00A45799" w:rsidRDefault="00A45799" w:rsidP="00A45799">
      <w:r w:rsidRPr="00A45799">
        <w:rPr>
          <w:b/>
          <w:bCs/>
        </w:rPr>
        <w:t>Carbon budgets.</w:t>
      </w:r>
      <w:r w:rsidRPr="00A45799">
        <w:t xml:space="preserve"> The 1.5°C budget is nearly spent, and the 2°C budget is going fast. The paths that are safe look infeasible, and the paths that are feasible look unsafe. We must cut emissions as fast as we can, but that will not be enough. We also need to work out how to pay for drawing greenhouse gases back out of the air.</w:t>
      </w:r>
    </w:p>
    <w:p w14:paraId="3E1B00B1" w14:textId="77777777" w:rsidR="00A45799" w:rsidRPr="00A45799" w:rsidRDefault="00A45799" w:rsidP="00A45799">
      <w:r w:rsidRPr="00A45799">
        <w:rPr>
          <w:b/>
          <w:bCs/>
        </w:rPr>
        <w:t>Robust policy with backstops.</w:t>
      </w:r>
      <w:r w:rsidRPr="00A45799">
        <w:t xml:space="preserve"> Policy must be both robust and politically feasible. Robustness means failsafe backups: if carbon pricing fails, investment carries the load; if national policy fails, international backstops step in.</w:t>
      </w:r>
    </w:p>
    <w:p w14:paraId="2CF66683" w14:textId="77777777" w:rsidR="00A45799" w:rsidRPr="00A45799" w:rsidRDefault="00A45799" w:rsidP="00A45799">
      <w:pPr>
        <w:numPr>
          <w:ilvl w:val="0"/>
          <w:numId w:val="9"/>
        </w:numPr>
      </w:pPr>
      <w:r w:rsidRPr="00A45799">
        <w:rPr>
          <w:i/>
          <w:iCs/>
        </w:rPr>
        <w:t>Investment:</w:t>
      </w:r>
      <w:r w:rsidRPr="00A45799">
        <w:t xml:space="preserve"> Mitigation needs vast investment, which depends on strong policy and financial structures.</w:t>
      </w:r>
    </w:p>
    <w:p w14:paraId="03C76BC3" w14:textId="77777777" w:rsidR="00A45799" w:rsidRPr="00A45799" w:rsidRDefault="00A45799" w:rsidP="00A45799">
      <w:pPr>
        <w:numPr>
          <w:ilvl w:val="0"/>
          <w:numId w:val="9"/>
        </w:numPr>
      </w:pPr>
      <w:r w:rsidRPr="00A45799">
        <w:rPr>
          <w:i/>
          <w:iCs/>
        </w:rPr>
        <w:t>Incentives:</w:t>
      </w:r>
      <w:r w:rsidRPr="00A45799">
        <w:t xml:space="preserve"> Broad carbon pricing can retire dirty plants in a politically feasible way.</w:t>
      </w:r>
    </w:p>
    <w:p w14:paraId="147DC5D9" w14:textId="77777777" w:rsidR="00A45799" w:rsidRPr="00A45799" w:rsidRDefault="00A45799" w:rsidP="00A45799">
      <w:pPr>
        <w:numPr>
          <w:ilvl w:val="0"/>
          <w:numId w:val="9"/>
        </w:numPr>
      </w:pPr>
      <w:r w:rsidRPr="00A45799">
        <w:rPr>
          <w:i/>
          <w:iCs/>
        </w:rPr>
        <w:t>International backstops:</w:t>
      </w:r>
      <w:r w:rsidRPr="00A45799">
        <w:t xml:space="preserve"> Emissions will likely not fall fast enough, so we need global structures that reward carbon removal.</w:t>
      </w:r>
    </w:p>
    <w:p w14:paraId="381BDD8A" w14:textId="77777777" w:rsidR="00A45799" w:rsidRPr="00A45799" w:rsidRDefault="00A45799" w:rsidP="00A45799">
      <w:r w:rsidRPr="00A45799">
        <w:rPr>
          <w:b/>
          <w:bCs/>
        </w:rPr>
        <w:t>Macroeconomic gains.</w:t>
      </w:r>
      <w:r w:rsidRPr="00A45799">
        <w:t xml:space="preserve"> </w:t>
      </w:r>
      <w:proofErr w:type="gramStart"/>
      <w:r w:rsidRPr="00A45799">
        <w:t>The green</w:t>
      </w:r>
      <w:proofErr w:type="gramEnd"/>
      <w:r w:rsidRPr="00A45799">
        <w:t xml:space="preserve"> transition can benefit the macroeconomy, partly because it front-loads investment. We need tools to measure the effect of bringing that investment forward.</w:t>
      </w:r>
    </w:p>
    <w:p w14:paraId="200ECA75" w14:textId="77777777" w:rsidR="00A45799" w:rsidRPr="00A45799" w:rsidRDefault="00A45799" w:rsidP="00A45799">
      <w:r w:rsidRPr="00A45799">
        <w:rPr>
          <w:b/>
          <w:bCs/>
        </w:rPr>
        <w:t>International priorities.</w:t>
      </w:r>
      <w:r w:rsidRPr="00A45799">
        <w:t xml:space="preserve"> We propose three:</w:t>
      </w:r>
    </w:p>
    <w:p w14:paraId="72799D61" w14:textId="77777777" w:rsidR="00A45799" w:rsidRPr="00A45799" w:rsidRDefault="00A45799" w:rsidP="00A45799">
      <w:pPr>
        <w:numPr>
          <w:ilvl w:val="0"/>
          <w:numId w:val="10"/>
        </w:numPr>
      </w:pPr>
      <w:r w:rsidRPr="00A45799">
        <w:t>Pay to keep carbon locked in critical biomes, above all the Amazon. It faces tipping points from both deforestation and climate change. This links to how carbon markets are designed.</w:t>
      </w:r>
    </w:p>
    <w:p w14:paraId="3E9778E4" w14:textId="77777777" w:rsidR="00A45799" w:rsidRPr="00A45799" w:rsidRDefault="00A45799" w:rsidP="00A45799">
      <w:pPr>
        <w:numPr>
          <w:ilvl w:val="0"/>
          <w:numId w:val="10"/>
        </w:numPr>
      </w:pPr>
      <w:r w:rsidRPr="00A45799">
        <w:t xml:space="preserve">Organize the coal-to-renewables transition in developing </w:t>
      </w:r>
      <w:proofErr w:type="gramStart"/>
      <w:r w:rsidRPr="00A45799">
        <w:t>countries, and</w:t>
      </w:r>
      <w:proofErr w:type="gramEnd"/>
      <w:r w:rsidRPr="00A45799">
        <w:t xml:space="preserve"> set out the policy structures it needs.</w:t>
      </w:r>
    </w:p>
    <w:p w14:paraId="540596F9" w14:textId="77777777" w:rsidR="00A45799" w:rsidRPr="00A45799" w:rsidRDefault="00A45799" w:rsidP="00A45799">
      <w:pPr>
        <w:numPr>
          <w:ilvl w:val="0"/>
          <w:numId w:val="10"/>
        </w:numPr>
      </w:pPr>
      <w:r w:rsidRPr="00A45799">
        <w:t>Set accelerating norms that show what is possible, such as net zero in a small island state.</w:t>
      </w:r>
    </w:p>
    <w:p w14:paraId="757DA79E" w14:textId="77777777" w:rsidR="00A45799" w:rsidRPr="00A45799" w:rsidRDefault="00A45799" w:rsidP="00A45799">
      <w:r w:rsidRPr="00A45799">
        <w:rPr>
          <w:b/>
          <w:bCs/>
        </w:rPr>
        <w:t>What international financial institutions should do:</w:t>
      </w:r>
    </w:p>
    <w:p w14:paraId="70945E71" w14:textId="77777777" w:rsidR="00A45799" w:rsidRPr="00A45799" w:rsidRDefault="00A45799" w:rsidP="00A45799">
      <w:pPr>
        <w:numPr>
          <w:ilvl w:val="0"/>
          <w:numId w:val="11"/>
        </w:numPr>
      </w:pPr>
      <w:r w:rsidRPr="00A45799">
        <w:rPr>
          <w:i/>
          <w:iCs/>
        </w:rPr>
        <w:t>Strategic country partnerships.</w:t>
      </w:r>
      <w:r w:rsidRPr="00A45799">
        <w:t xml:space="preserve"> Recognize long-term stock effects by valuing notional climate assets, starting with forests and coal, and </w:t>
      </w:r>
      <w:proofErr w:type="gramStart"/>
      <w:r w:rsidRPr="00A45799">
        <w:t>pay</w:t>
      </w:r>
      <w:proofErr w:type="gramEnd"/>
      <w:r w:rsidRPr="00A45799">
        <w:t xml:space="preserve"> a small interest rate on that value. Brazil's Amazon might be valued at $1 trillion, and so might China's and India's coal reserves.</w:t>
      </w:r>
    </w:p>
    <w:p w14:paraId="06F8139C" w14:textId="77777777" w:rsidR="00A45799" w:rsidRPr="00A45799" w:rsidRDefault="00A45799" w:rsidP="00A45799">
      <w:pPr>
        <w:numPr>
          <w:ilvl w:val="0"/>
          <w:numId w:val="11"/>
        </w:numPr>
      </w:pPr>
      <w:r w:rsidRPr="00A45799">
        <w:rPr>
          <w:i/>
          <w:iCs/>
        </w:rPr>
        <w:t>Streamlined investment.</w:t>
      </w:r>
      <w:r w:rsidRPr="00A45799">
        <w:t xml:space="preserve"> Build structures that simplify coal-to-renewables finance. They would give developing countries a single all-in rate for their energy system that is lower than what they pay today.</w:t>
      </w:r>
    </w:p>
    <w:p w14:paraId="7614F334" w14:textId="77777777" w:rsidR="00A45799" w:rsidRPr="00A45799" w:rsidRDefault="00A45799" w:rsidP="00A45799">
      <w:pPr>
        <w:numPr>
          <w:ilvl w:val="0"/>
          <w:numId w:val="11"/>
        </w:numPr>
      </w:pPr>
      <w:r w:rsidRPr="00A45799">
        <w:rPr>
          <w:i/>
          <w:iCs/>
        </w:rPr>
        <w:t>A global treasury.</w:t>
      </w:r>
      <w:r w:rsidRPr="00A45799">
        <w:t xml:space="preserve"> Create a long-term borrowing facility for countries that take climate action.</w:t>
      </w:r>
    </w:p>
    <w:p w14:paraId="1CC30030" w14:textId="77777777" w:rsidR="00A45799" w:rsidRPr="00A45799" w:rsidRDefault="00A45799" w:rsidP="00A45799">
      <w:r w:rsidRPr="00A45799">
        <w:t>All of this needs a source of global de-risking equity capital. The briefs propose ways to raise it.</w:t>
      </w:r>
    </w:p>
    <w:p w14:paraId="7FEAF34C" w14:textId="77777777" w:rsidR="00A45799" w:rsidRPr="00A45799" w:rsidRDefault="00A45799" w:rsidP="00A45799">
      <w:pPr>
        <w:rPr>
          <w:b/>
          <w:bCs/>
        </w:rPr>
      </w:pPr>
      <w:r w:rsidRPr="00A45799">
        <w:rPr>
          <w:b/>
          <w:bCs/>
        </w:rPr>
        <w:t>Where We Start</w:t>
      </w:r>
    </w:p>
    <w:p w14:paraId="73849DD9" w14:textId="77777777" w:rsidR="00A45799" w:rsidRPr="00A45799" w:rsidRDefault="00A45799" w:rsidP="00A45799">
      <w:r w:rsidRPr="00A45799">
        <w:t>Early briefs will look at:</w:t>
      </w:r>
    </w:p>
    <w:p w14:paraId="41A875C2" w14:textId="77777777" w:rsidR="00A45799" w:rsidRPr="00A45799" w:rsidRDefault="00A45799" w:rsidP="00A45799">
      <w:pPr>
        <w:numPr>
          <w:ilvl w:val="0"/>
          <w:numId w:val="12"/>
        </w:numPr>
      </w:pPr>
      <w:r w:rsidRPr="00A45799">
        <w:t>How de-risking and trusted relationships lower the cost of capital.</w:t>
      </w:r>
    </w:p>
    <w:p w14:paraId="76BA6AEA" w14:textId="77777777" w:rsidR="00A45799" w:rsidRPr="00A45799" w:rsidRDefault="00A45799" w:rsidP="00A45799">
      <w:pPr>
        <w:numPr>
          <w:ilvl w:val="0"/>
          <w:numId w:val="12"/>
        </w:numPr>
      </w:pPr>
      <w:r w:rsidRPr="00A45799">
        <w:t>The role of institutions such as the World Bank Group and the UN.</w:t>
      </w:r>
    </w:p>
    <w:p w14:paraId="68A4923C" w14:textId="77777777" w:rsidR="00A45799" w:rsidRPr="00A45799" w:rsidRDefault="00A45799" w:rsidP="00A45799">
      <w:pPr>
        <w:numPr>
          <w:ilvl w:val="0"/>
          <w:numId w:val="12"/>
        </w:numPr>
      </w:pPr>
      <w:r w:rsidRPr="00A45799">
        <w:lastRenderedPageBreak/>
        <w:t>A credible theory of change for the big wins: China's net zero, India's coal, the Amazon, and mid-sized upper-middle-income countries.</w:t>
      </w:r>
    </w:p>
    <w:p w14:paraId="0C8AF220" w14:textId="77777777" w:rsidR="00A45799" w:rsidRPr="00A45799" w:rsidRDefault="00A45799" w:rsidP="00A45799">
      <w:pPr>
        <w:numPr>
          <w:ilvl w:val="0"/>
          <w:numId w:val="12"/>
        </w:numPr>
      </w:pPr>
      <w:r w:rsidRPr="00A45799">
        <w:t>How to start the snowball small, for example by helping small island states.</w:t>
      </w:r>
    </w:p>
    <w:p w14:paraId="49775F6F" w14:textId="77777777" w:rsidR="00A45799" w:rsidRPr="00A45799" w:rsidRDefault="00A45799" w:rsidP="00A45799">
      <w:pPr>
        <w:rPr>
          <w:b/>
          <w:bCs/>
        </w:rPr>
      </w:pPr>
      <w:r w:rsidRPr="00A45799">
        <w:rPr>
          <w:b/>
          <w:bCs/>
        </w:rPr>
        <w:t>The Climate Fiscal and Financial Briefing Paper Series</w:t>
      </w:r>
    </w:p>
    <w:p w14:paraId="03950CCE" w14:textId="77777777" w:rsidR="00A45799" w:rsidRPr="00A45799" w:rsidRDefault="00A45799" w:rsidP="00A45799">
      <w:r w:rsidRPr="00A45799">
        <w:rPr>
          <w:b/>
          <w:bCs/>
        </w:rPr>
        <w:t>Workflow.</w:t>
      </w:r>
      <w:r w:rsidRPr="00A45799">
        <w:t xml:space="preserve"> Each brief runs as a sandwich: blog, then paper, then slides or podcast.</w:t>
      </w:r>
    </w:p>
    <w:p w14:paraId="0818E865" w14:textId="77777777" w:rsidR="00A45799" w:rsidRPr="00A45799" w:rsidRDefault="00A45799" w:rsidP="00A45799">
      <w:pPr>
        <w:numPr>
          <w:ilvl w:val="0"/>
          <w:numId w:val="13"/>
        </w:numPr>
      </w:pPr>
      <w:r w:rsidRPr="00A45799">
        <w:rPr>
          <w:b/>
          <w:bCs/>
        </w:rPr>
        <w:t>Blog:</w:t>
      </w:r>
      <w:r w:rsidRPr="00A45799">
        <w:t xml:space="preserve"> A post of five to seven paragraphs (one side of A4) sets out the idea.</w:t>
      </w:r>
    </w:p>
    <w:p w14:paraId="3E982EF4" w14:textId="77777777" w:rsidR="00A45799" w:rsidRPr="00A45799" w:rsidRDefault="00A45799" w:rsidP="00A45799">
      <w:pPr>
        <w:numPr>
          <w:ilvl w:val="0"/>
          <w:numId w:val="13"/>
        </w:numPr>
      </w:pPr>
      <w:r w:rsidRPr="00A45799">
        <w:rPr>
          <w:b/>
          <w:bCs/>
        </w:rPr>
        <w:t>Brief:</w:t>
      </w:r>
      <w:r w:rsidRPr="00A45799">
        <w:t xml:space="preserve"> Two to four pages develop it. This is the core product, hosted on the Blind Elephant page. Final briefs are numbered and linked from a landing page.</w:t>
      </w:r>
    </w:p>
    <w:p w14:paraId="6F4E0C52" w14:textId="77777777" w:rsidR="00A45799" w:rsidRPr="00A45799" w:rsidRDefault="00A45799" w:rsidP="00A45799">
      <w:pPr>
        <w:numPr>
          <w:ilvl w:val="0"/>
          <w:numId w:val="13"/>
        </w:numPr>
      </w:pPr>
      <w:r w:rsidRPr="00A45799">
        <w:rPr>
          <w:b/>
          <w:bCs/>
        </w:rPr>
        <w:t>Presentation:</w:t>
      </w:r>
      <w:r w:rsidRPr="00A45799">
        <w:t xml:space="preserve"> A slide deck with a </w:t>
      </w:r>
      <w:proofErr w:type="gramStart"/>
      <w:r w:rsidRPr="00A45799">
        <w:t>short spoken</w:t>
      </w:r>
      <w:proofErr w:type="gramEnd"/>
      <w:r w:rsidRPr="00A45799">
        <w:t xml:space="preserve"> narrative, or a podcast.</w:t>
      </w:r>
    </w:p>
    <w:p w14:paraId="203BA325" w14:textId="77777777" w:rsidR="00A45799" w:rsidRPr="00A45799" w:rsidRDefault="00A45799" w:rsidP="00A45799">
      <w:pPr>
        <w:numPr>
          <w:ilvl w:val="0"/>
          <w:numId w:val="13"/>
        </w:numPr>
      </w:pPr>
      <w:r w:rsidRPr="00A45799">
        <w:rPr>
          <w:b/>
          <w:bCs/>
        </w:rPr>
        <w:t>Review:</w:t>
      </w:r>
      <w:r w:rsidRPr="00A45799">
        <w:t xml:space="preserve"> The brief goes around the World Bank to discuss paths to putting it into practice. It then goes to peer reviewers and to a relevant conference.</w:t>
      </w:r>
    </w:p>
    <w:p w14:paraId="2AEE97F0" w14:textId="77777777" w:rsidR="00A45799" w:rsidRPr="00A45799" w:rsidRDefault="00A45799" w:rsidP="00A45799">
      <w:pPr>
        <w:numPr>
          <w:ilvl w:val="0"/>
          <w:numId w:val="13"/>
        </w:numPr>
      </w:pPr>
      <w:r w:rsidRPr="00A45799">
        <w:rPr>
          <w:b/>
          <w:bCs/>
        </w:rPr>
        <w:t>Publication:</w:t>
      </w:r>
      <w:r w:rsidRPr="00A45799">
        <w:t xml:space="preserve"> We encourage onward publication, for example as a working paper at a global institution.</w:t>
      </w:r>
    </w:p>
    <w:p w14:paraId="1E478F55" w14:textId="77777777" w:rsidR="00A45799" w:rsidRPr="00A45799" w:rsidRDefault="00A45799" w:rsidP="00A45799">
      <w:r w:rsidRPr="00A45799">
        <w:rPr>
          <w:b/>
          <w:bCs/>
        </w:rPr>
        <w:t>Roles.</w:t>
      </w:r>
      <w:r w:rsidRPr="00A45799">
        <w:t xml:space="preserve"> Each brief proposes specific roles for fiscal authorities, private finance and MDBs. These draw on input from relevant agencies and on surveys of existing programs, initiatives and commitments.</w:t>
      </w:r>
    </w:p>
    <w:p w14:paraId="3A526BBF" w14:textId="77777777" w:rsidR="00A45799" w:rsidRPr="00A45799" w:rsidRDefault="00A45799" w:rsidP="00A45799">
      <w:r w:rsidRPr="00A45799">
        <w:rPr>
          <w:b/>
          <w:bCs/>
        </w:rPr>
        <w:t>Peer review.</w:t>
      </w:r>
      <w:r w:rsidRPr="00A45799">
        <w:t xml:space="preserve"> The review community includes at least one person each from MTI, FCI, IFC, MIGA and CCG, plus at least one external reviewer, for example from WRI. It meets every one to two months to review current work.</w:t>
      </w:r>
    </w:p>
    <w:p w14:paraId="06FC5D40" w14:textId="77777777" w:rsidR="00A45799" w:rsidRPr="00A45799" w:rsidRDefault="00A45799" w:rsidP="00A45799">
      <w:r w:rsidRPr="00A45799">
        <w:rPr>
          <w:b/>
          <w:bCs/>
        </w:rPr>
        <w:t>Dissemination.</w:t>
      </w:r>
      <w:r w:rsidRPr="00A45799">
        <w:t xml:space="preserve"> Each brief is launched on a regular monthly call, first within the team. A public event follows two to three months later.</w:t>
      </w:r>
    </w:p>
    <w:p w14:paraId="1A921214" w14:textId="77777777" w:rsidR="00A45799" w:rsidRPr="00A45799" w:rsidRDefault="00A45799" w:rsidP="00A45799">
      <w:pPr>
        <w:rPr>
          <w:b/>
          <w:bCs/>
        </w:rPr>
      </w:pPr>
      <w:r w:rsidRPr="00A45799">
        <w:rPr>
          <w:b/>
          <w:bCs/>
        </w:rPr>
        <w:t>Conclusion</w:t>
      </w:r>
    </w:p>
    <w:p w14:paraId="70CC5B16" w14:textId="77777777" w:rsidR="00A45799" w:rsidRPr="00A45799" w:rsidRDefault="00A45799" w:rsidP="00A45799">
      <w:r w:rsidRPr="00A45799">
        <w:t>The briefs focus on mobilizing private capital. They also inform wider reform of international climate public finance, and they create incentives for countries to act early rather than late. The series is both a toolkit and a rallying cry. With the right financing, policy and collective will, a world of clean, abundant, affordable energy on a livable planet is within reach. The reforms it needs are urgent, and they can be done.</w:t>
      </w:r>
    </w:p>
    <w:p w14:paraId="1E81B9B4" w14:textId="6E4ABA03" w:rsidR="00A45799" w:rsidRDefault="00BD0C27" w:rsidP="00A45799">
      <w:r>
        <w:t>\</w:t>
      </w:r>
    </w:p>
    <w:p w14:paraId="202C836A" w14:textId="0CA6F761" w:rsidR="00FD1CDA" w:rsidRDefault="00AA3378">
      <w:pPr>
        <w:pStyle w:val="Heading1"/>
      </w:pPr>
      <w:bookmarkStart w:id="2" w:name="_Toc241674692"/>
      <w:r>
        <w:t>Part I</w:t>
      </w:r>
      <w:r w:rsidR="00000000">
        <w:t xml:space="preserve">. </w:t>
      </w:r>
      <w:r>
        <w:t xml:space="preserve">Working Paper </w:t>
      </w:r>
      <w:r w:rsidR="00000000">
        <w:t>Summary</w:t>
      </w:r>
      <w:bookmarkEnd w:id="2"/>
    </w:p>
    <w:p w14:paraId="66BA3839" w14:textId="77777777" w:rsidR="00FD1CDA" w:rsidRDefault="00000000">
      <w:pPr>
        <w:pStyle w:val="Heading2"/>
      </w:pPr>
      <w:bookmarkStart w:id="3" w:name="_Toc241674693"/>
      <w:r>
        <w:t>Overview</w:t>
      </w:r>
      <w:bookmarkEnd w:id="3"/>
    </w:p>
    <w:p w14:paraId="110BBDD3" w14:textId="77777777" w:rsidR="00FD1CDA" w:rsidRDefault="00000000">
      <w:pPr>
        <w:spacing w:before="100" w:after="160" w:line="276" w:lineRule="auto"/>
      </w:pPr>
      <w:r>
        <w:t>This series of working papers and policy briefs aims to guide financial institutions in advancing the green transition and fulfilling the mandate of the Paris Agreement. The central question it addresses is this: how can financial institutions, and multilateral development banks (MDBs) in particular, ensure that climate mitigation is both affordable and enforceable?</w:t>
      </w:r>
    </w:p>
    <w:p w14:paraId="0A7DF656" w14:textId="77777777" w:rsidR="00FD1CDA" w:rsidRDefault="00000000">
      <w:pPr>
        <w:spacing w:before="100" w:after="160" w:line="276" w:lineRule="auto"/>
      </w:pPr>
      <w:r>
        <w:t xml:space="preserve">Much like the Apollo project, this initiative is large in ambition. But with </w:t>
      </w:r>
      <w:proofErr w:type="gramStart"/>
      <w:r>
        <w:t>a clear</w:t>
      </w:r>
      <w:proofErr w:type="gramEnd"/>
      <w:r>
        <w:t xml:space="preserve"> focus and well-directed resources, the goals set out in these papers are not only attainable but vital for a sustainable future. The series first develops scalable financing and risk-reduction mechanisms led by MDBs; ultimately, it aims to transform the global climate financing landscape.</w:t>
      </w:r>
    </w:p>
    <w:p w14:paraId="0EAC612D" w14:textId="77777777" w:rsidR="00B50FDE" w:rsidRDefault="00B50FDE">
      <w:pPr>
        <w:pStyle w:val="Heading2"/>
      </w:pPr>
      <w:bookmarkStart w:id="4" w:name="_Toc241674694"/>
      <w:r>
        <w:t>Background</w:t>
      </w:r>
      <w:bookmarkEnd w:id="4"/>
    </w:p>
    <w:p w14:paraId="6A479C9F" w14:textId="77777777" w:rsidR="00B50FDE" w:rsidRDefault="00B50FDE" w:rsidP="00B50FDE">
      <w:pPr>
        <w:spacing w:before="100" w:after="160" w:line="276" w:lineRule="auto"/>
      </w:pPr>
      <w:r>
        <w:t>There is a clear consensus that climate change mitigation in developing countries requires more private investment capital. Attracting such capital is challenging for several reasons:</w:t>
      </w:r>
    </w:p>
    <w:p w14:paraId="585067CC" w14:textId="77777777" w:rsidR="00B50FDE" w:rsidRDefault="00B50FDE" w:rsidP="00B50FDE">
      <w:pPr>
        <w:pStyle w:val="ListParagraph"/>
        <w:numPr>
          <w:ilvl w:val="0"/>
          <w:numId w:val="3"/>
        </w:numPr>
        <w:spacing w:before="40" w:after="100" w:line="276" w:lineRule="auto"/>
      </w:pPr>
      <w:r>
        <w:lastRenderedPageBreak/>
        <w:t xml:space="preserve">Insufficient climate-mitigation-related policy action by governments, particularly policies that enable, support, and provide </w:t>
      </w:r>
      <w:r>
        <w:rPr>
          <w:i/>
          <w:iCs/>
        </w:rPr>
        <w:t>bankable projects</w:t>
      </w:r>
      <w:r>
        <w:t xml:space="preserve">, and an insufficient effective </w:t>
      </w:r>
      <w:r>
        <w:rPr>
          <w:i/>
          <w:iCs/>
        </w:rPr>
        <w:t>price of carbon</w:t>
      </w:r>
      <w:r>
        <w:t>.</w:t>
      </w:r>
    </w:p>
    <w:p w14:paraId="1FAADB26" w14:textId="77777777" w:rsidR="00B50FDE" w:rsidRDefault="00B50FDE" w:rsidP="00B50FDE">
      <w:pPr>
        <w:pStyle w:val="ListParagraph"/>
        <w:numPr>
          <w:ilvl w:val="0"/>
          <w:numId w:val="3"/>
        </w:numPr>
        <w:spacing w:before="40" w:after="100" w:line="276" w:lineRule="auto"/>
      </w:pPr>
      <w:r>
        <w:t xml:space="preserve">Too high a cost of capital in developing countries for mitigation and adaptation projects. This is </w:t>
      </w:r>
      <w:proofErr w:type="gramStart"/>
      <w:r>
        <w:t>exacerbated</w:t>
      </w:r>
      <w:proofErr w:type="gramEnd"/>
      <w:r>
        <w:t xml:space="preserve"> by weak client demand for USD-denominated IBRD-rate lending, caused by recent increases in interest rates.</w:t>
      </w:r>
    </w:p>
    <w:p w14:paraId="78A5F2B4" w14:textId="77777777" w:rsidR="00B50FDE" w:rsidRDefault="00B50FDE" w:rsidP="00B50FDE">
      <w:pPr>
        <w:pStyle w:val="ListParagraph"/>
        <w:numPr>
          <w:ilvl w:val="0"/>
          <w:numId w:val="3"/>
        </w:numPr>
        <w:spacing w:before="40" w:after="100" w:line="276" w:lineRule="auto"/>
      </w:pPr>
      <w:r>
        <w:t>A lack of capacity to execute the projects needed for the net-zero transition.</w:t>
      </w:r>
    </w:p>
    <w:p w14:paraId="115CE28C" w14:textId="77777777" w:rsidR="00B50FDE" w:rsidRDefault="00B50FDE" w:rsidP="00B50FDE">
      <w:pPr>
        <w:pStyle w:val="ListParagraph"/>
        <w:numPr>
          <w:ilvl w:val="0"/>
          <w:numId w:val="3"/>
        </w:numPr>
        <w:spacing w:before="40" w:after="100" w:line="276" w:lineRule="auto"/>
      </w:pPr>
      <w:r>
        <w:t xml:space="preserve">Insufficient incentives for governments to prioritize green policies and bankable projects, and insufficient funds at the global level to reward EMDCs that move in this direction. Time-dynamic incentives to be an early adopter — to act now rather than later — are largely absent. Conversely, incentives to delay action and wait for better conditions do </w:t>
      </w:r>
      <w:proofErr w:type="gramStart"/>
      <w:r>
        <w:t>exist:</w:t>
      </w:r>
      <w:proofErr w:type="gramEnd"/>
      <w:r>
        <w:t xml:space="preserve"> these include high (by recent standards) USD interest rates, the early-stage structure of carbon markets, and declining cost trends for clean technology.</w:t>
      </w:r>
    </w:p>
    <w:p w14:paraId="336BD1C7" w14:textId="77777777" w:rsidR="00B50FDE" w:rsidRDefault="00B50FDE" w:rsidP="00B50FDE">
      <w:pPr>
        <w:pStyle w:val="ListParagraph"/>
        <w:numPr>
          <w:ilvl w:val="0"/>
          <w:numId w:val="3"/>
        </w:numPr>
        <w:spacing w:before="40" w:after="100" w:line="276" w:lineRule="auto"/>
      </w:pPr>
      <w:r>
        <w:t>Insufficient core capital to serve as the foundation on which to scale up climate-related lending. Global EMDC climate and clean energy finance needs are two orders of magnitude greater than current World Bank lending capacity: tens of billions of dollars are available, and thousands of billions are needed.</w:t>
      </w:r>
    </w:p>
    <w:p w14:paraId="4A5B8C9E" w14:textId="77777777" w:rsidR="00B50FDE" w:rsidRDefault="00B50FDE" w:rsidP="00B50FDE">
      <w:pPr>
        <w:pStyle w:val="ListParagraph"/>
        <w:numPr>
          <w:ilvl w:val="0"/>
          <w:numId w:val="3"/>
        </w:numPr>
        <w:spacing w:before="40" w:after="100" w:line="276" w:lineRule="auto"/>
      </w:pPr>
      <w:r>
        <w:t xml:space="preserve">A lack of clarity about the amount of sustainable infrastructure — above all, renewable energy capacity — that needs to be built in each country and region by future target years if sustainable development goals for energy access and climate action are to be met, and a concomitant lack of clarity about the </w:t>
      </w:r>
      <w:r>
        <w:rPr>
          <w:i/>
          <w:iCs/>
        </w:rPr>
        <w:t>enabling conditions</w:t>
      </w:r>
      <w:r>
        <w:t xml:space="preserve"> that must be met for the required infrastructure buildout to occur.</w:t>
      </w:r>
    </w:p>
    <w:p w14:paraId="352E749F" w14:textId="77777777" w:rsidR="00B50FDE" w:rsidRDefault="00B50FDE" w:rsidP="00B50FDE">
      <w:pPr>
        <w:spacing w:before="100" w:after="160" w:line="276" w:lineRule="auto"/>
      </w:pPr>
      <w:r>
        <w:t>The papers set out in Part III attempt to fill these gaps with financial mechanism proposals, each of which tackles one or more of the issues above.</w:t>
      </w:r>
    </w:p>
    <w:p w14:paraId="1D5FFAF0" w14:textId="37713FE1" w:rsidR="00FD1CDA" w:rsidRDefault="00000000">
      <w:pPr>
        <w:pStyle w:val="Heading2"/>
      </w:pPr>
      <w:bookmarkStart w:id="5" w:name="_Toc241674695"/>
      <w:r>
        <w:t>Issues Covered</w:t>
      </w:r>
      <w:bookmarkEnd w:id="5"/>
    </w:p>
    <w:p w14:paraId="062A9DC9" w14:textId="77777777" w:rsidR="00FD1CDA" w:rsidRDefault="00000000">
      <w:pPr>
        <w:spacing w:before="100" w:after="160" w:line="276" w:lineRule="auto"/>
      </w:pPr>
      <w:r>
        <w:t>The series covers three main issues: MDB strategy when countries have limited fiscal space, climate finance to encourage policy change, and wider climate governance. This section introduces each in turn.</w:t>
      </w:r>
    </w:p>
    <w:p w14:paraId="2BF3DE45" w14:textId="77777777" w:rsidR="00FD1CDA" w:rsidRDefault="00000000">
      <w:pPr>
        <w:pStyle w:val="Heading3"/>
      </w:pPr>
      <w:bookmarkStart w:id="6" w:name="_Toc241674696"/>
      <w:r>
        <w:t>MDB Strategy</w:t>
      </w:r>
      <w:bookmarkEnd w:id="6"/>
    </w:p>
    <w:p w14:paraId="45A2C406" w14:textId="77777777" w:rsidR="00FD1CDA" w:rsidRDefault="00000000">
      <w:pPr>
        <w:spacing w:before="100" w:after="160" w:line="276" w:lineRule="auto"/>
      </w:pPr>
      <w:r>
        <w:t>With the escalating climate and fiscal crises of this decade, a transformative shift in the World Bank Group’s strategy is critical. The urgency of climate action is compounded by the declining fiscal capacity of emerging market governments, burdened by record emissions and unsustainable debt levels. The current climate finance system reflects outdated priorities, and substantial policy reforms are essential to ensure that climate transition costs remain manageable within countries’ fiscal constraints.</w:t>
      </w:r>
    </w:p>
    <w:p w14:paraId="1046F48C" w14:textId="77777777" w:rsidR="00FD1CDA" w:rsidRDefault="00000000">
      <w:pPr>
        <w:spacing w:before="100" w:after="160" w:line="276" w:lineRule="auto"/>
      </w:pPr>
      <w:r>
        <w:t>Several of the proposed reforms and mechanisms are particularly suited for trial implementation in Small Island Developing States (SIDS), which would offer valuable insights for broader application.</w:t>
      </w:r>
    </w:p>
    <w:p w14:paraId="0D205496" w14:textId="77777777" w:rsidR="00FD1CDA" w:rsidRDefault="00000000">
      <w:pPr>
        <w:pStyle w:val="Heading3"/>
      </w:pPr>
      <w:bookmarkStart w:id="7" w:name="_Toc241674697"/>
      <w:r>
        <w:lastRenderedPageBreak/>
        <w:t>Policy-Encouraging Climate Finance</w:t>
      </w:r>
      <w:bookmarkEnd w:id="7"/>
    </w:p>
    <w:p w14:paraId="2C59BB09" w14:textId="77777777" w:rsidR="00FD1CDA" w:rsidRDefault="00000000">
      <w:pPr>
        <w:spacing w:before="100" w:after="160" w:line="276" w:lineRule="auto"/>
      </w:pPr>
      <w:r>
        <w:t>Mobilizing private-sector investment requires a shift from project-based climate finance toward a more robust, policy-focused framework. The existing climate finance architecture not only fails to support the necessary policy reforms but actively discourages them. Building on the foundational ideas presented in the EFI brief proposal for a climate-related MDB financing window, this series sets out how MDBs can effectively implement the reforms and mechanisms that climate action requires.</w:t>
      </w:r>
    </w:p>
    <w:p w14:paraId="0969191F" w14:textId="77777777" w:rsidR="00FD1CDA" w:rsidRDefault="00000000">
      <w:pPr>
        <w:pStyle w:val="Heading3"/>
      </w:pPr>
      <w:bookmarkStart w:id="8" w:name="_Toc241674698"/>
      <w:r>
        <w:t>Climate Governance: Financing, Incentives, Positive Framing and Enforcement</w:t>
      </w:r>
      <w:bookmarkEnd w:id="8"/>
    </w:p>
    <w:p w14:paraId="1FF56D5D" w14:textId="77777777" w:rsidR="00FD1CDA" w:rsidRDefault="00000000">
      <w:pPr>
        <w:spacing w:before="100" w:after="160" w:line="276" w:lineRule="auto"/>
      </w:pPr>
      <w:r>
        <w:t>The international climate governance system is characterized by commitments — for example, emissions reductions — that are arguably:</w:t>
      </w:r>
    </w:p>
    <w:p w14:paraId="25715DFB" w14:textId="77777777" w:rsidR="00FD1CDA" w:rsidRDefault="00000000">
      <w:pPr>
        <w:pStyle w:val="ListParagraph"/>
        <w:numPr>
          <w:ilvl w:val="0"/>
          <w:numId w:val="2"/>
        </w:numPr>
        <w:spacing w:before="40" w:after="100" w:line="276" w:lineRule="auto"/>
      </w:pPr>
      <w:r>
        <w:t>not framed in the individual self-interest of countries (emissions reductions, for instance, rather than renewable scale-up or green growth targets);</w:t>
      </w:r>
    </w:p>
    <w:p w14:paraId="092F2DD2" w14:textId="77777777" w:rsidR="00FD1CDA" w:rsidRDefault="00000000">
      <w:pPr>
        <w:pStyle w:val="ListParagraph"/>
        <w:numPr>
          <w:ilvl w:val="0"/>
          <w:numId w:val="2"/>
        </w:numPr>
        <w:spacing w:before="40" w:after="100" w:line="276" w:lineRule="auto"/>
      </w:pPr>
      <w:r>
        <w:t>not enforced;</w:t>
      </w:r>
    </w:p>
    <w:p w14:paraId="71FD7746" w14:textId="77777777" w:rsidR="00FD1CDA" w:rsidRDefault="00000000">
      <w:pPr>
        <w:pStyle w:val="ListParagraph"/>
        <w:numPr>
          <w:ilvl w:val="0"/>
          <w:numId w:val="2"/>
        </w:numPr>
        <w:spacing w:before="40" w:after="100" w:line="276" w:lineRule="auto"/>
      </w:pPr>
      <w:r>
        <w:t>unaccompanied by financial incentives; and</w:t>
      </w:r>
    </w:p>
    <w:p w14:paraId="23D5BC28" w14:textId="77777777" w:rsidR="00FD1CDA" w:rsidRDefault="00000000">
      <w:pPr>
        <w:pStyle w:val="ListParagraph"/>
        <w:numPr>
          <w:ilvl w:val="0"/>
          <w:numId w:val="2"/>
        </w:numPr>
        <w:spacing w:before="40" w:after="100" w:line="276" w:lineRule="auto"/>
      </w:pPr>
      <w:r>
        <w:t>unaccompanied by financing.</w:t>
      </w:r>
    </w:p>
    <w:p w14:paraId="59A00A98" w14:textId="77777777" w:rsidR="00FD1CDA" w:rsidRDefault="00000000">
      <w:pPr>
        <w:pStyle w:val="Heading2"/>
      </w:pPr>
      <w:bookmarkStart w:id="9" w:name="_Toc241674699"/>
      <w:r>
        <w:t xml:space="preserve">The Papers </w:t>
      </w:r>
      <w:proofErr w:type="gramStart"/>
      <w:r>
        <w:t>at a Glance</w:t>
      </w:r>
      <w:bookmarkEnd w:id="9"/>
      <w:proofErr w:type="gramEnd"/>
    </w:p>
    <w:p w14:paraId="6BC34EAB" w14:textId="77777777" w:rsidR="00FD1CDA" w:rsidRDefault="00000000">
      <w:pPr>
        <w:spacing w:before="100" w:after="160" w:line="276" w:lineRule="auto"/>
      </w:pPr>
      <w:r>
        <w:t>There are eight papers in the set, grouped into three themes.</w:t>
      </w:r>
    </w:p>
    <w:p w14:paraId="3EADF413" w14:textId="77777777" w:rsidR="00FD1CDA" w:rsidRDefault="00000000">
      <w:pPr>
        <w:pStyle w:val="Heading3"/>
      </w:pPr>
      <w:bookmarkStart w:id="10" w:name="_Toc241674700"/>
      <w:r>
        <w:t>Policy</w:t>
      </w:r>
      <w:bookmarkEnd w:id="10"/>
    </w:p>
    <w:p w14:paraId="327963C8" w14:textId="77777777" w:rsidR="00FD1CDA" w:rsidRDefault="00000000">
      <w:pPr>
        <w:pStyle w:val="ListParagraph"/>
        <w:numPr>
          <w:ilvl w:val="0"/>
          <w:numId w:val="1"/>
        </w:numPr>
        <w:spacing w:before="40" w:after="100" w:line="276" w:lineRule="auto"/>
      </w:pPr>
      <w:r>
        <w:rPr>
          <w:b/>
          <w:bCs/>
        </w:rPr>
        <w:t xml:space="preserve">Paper 1. Power Sector Feebates. </w:t>
      </w:r>
      <w:r>
        <w:t>A feebate system for decarbonizing the power sector, particularly in coal-dependent regions.</w:t>
      </w:r>
    </w:p>
    <w:p w14:paraId="75F5B231" w14:textId="77777777" w:rsidR="00FD1CDA" w:rsidRDefault="00000000">
      <w:pPr>
        <w:pStyle w:val="ListParagraph"/>
        <w:numPr>
          <w:ilvl w:val="0"/>
          <w:numId w:val="1"/>
        </w:numPr>
        <w:spacing w:before="40" w:after="100" w:line="276" w:lineRule="auto"/>
      </w:pPr>
      <w:r>
        <w:rPr>
          <w:b/>
          <w:bCs/>
        </w:rPr>
        <w:t xml:space="preserve">Paper 2. Indian Climate Policy. </w:t>
      </w:r>
      <w:r>
        <w:t>Concrete proposals on power markets, carbon pricing, and financing to support India’s net-zero transition.</w:t>
      </w:r>
    </w:p>
    <w:p w14:paraId="6DC1E707" w14:textId="77777777" w:rsidR="00FD1CDA" w:rsidRDefault="00000000">
      <w:pPr>
        <w:pStyle w:val="Heading3"/>
      </w:pPr>
      <w:bookmarkStart w:id="11" w:name="_Toc241674701"/>
      <w:r>
        <w:t>Guarantees and Finance</w:t>
      </w:r>
      <w:bookmarkEnd w:id="11"/>
    </w:p>
    <w:p w14:paraId="42C8E0AB" w14:textId="77777777" w:rsidR="00FD1CDA" w:rsidRDefault="00000000">
      <w:pPr>
        <w:pStyle w:val="ListParagraph"/>
        <w:numPr>
          <w:ilvl w:val="0"/>
          <w:numId w:val="1"/>
        </w:numPr>
        <w:spacing w:before="40" w:after="100" w:line="276" w:lineRule="auto"/>
      </w:pPr>
      <w:r>
        <w:rPr>
          <w:b/>
          <w:bCs/>
        </w:rPr>
        <w:t xml:space="preserve">Paper 3. A Solar Payments Intermediary and Finance Agency (SPIF). </w:t>
      </w:r>
      <w:r>
        <w:t>A policy and payments guarantee agency that makes countries’ policies credible, allows investors to rely on the revenues from green investments, and so facilitates solar power development globally.</w:t>
      </w:r>
    </w:p>
    <w:p w14:paraId="2F5FD3F8" w14:textId="77777777" w:rsidR="00FD1CDA" w:rsidRDefault="00000000">
      <w:pPr>
        <w:pStyle w:val="ListParagraph"/>
        <w:numPr>
          <w:ilvl w:val="0"/>
          <w:numId w:val="1"/>
        </w:numPr>
        <w:spacing w:before="40" w:after="100" w:line="276" w:lineRule="auto"/>
      </w:pPr>
      <w:r>
        <w:rPr>
          <w:b/>
          <w:bCs/>
        </w:rPr>
        <w:t xml:space="preserve">Paper 4. A Financial Plan for a Global Solar Economy. </w:t>
      </w:r>
      <w:r>
        <w:t>An equity fund and associated financial model to accelerate the deployment of solar energy and other renewables and to generate rapid returns.</w:t>
      </w:r>
    </w:p>
    <w:p w14:paraId="0A538E64" w14:textId="77777777" w:rsidR="00FD1CDA" w:rsidRDefault="00000000">
      <w:pPr>
        <w:pStyle w:val="ListParagraph"/>
        <w:numPr>
          <w:ilvl w:val="0"/>
          <w:numId w:val="1"/>
        </w:numPr>
        <w:spacing w:before="40" w:after="100" w:line="276" w:lineRule="auto"/>
      </w:pPr>
      <w:r>
        <w:rPr>
          <w:b/>
          <w:bCs/>
        </w:rPr>
        <w:t xml:space="preserve">Paper 5. The Climate Incentives Trust (CIT). </w:t>
      </w:r>
      <w:r>
        <w:t>Loss-absorbing capital for de-risking climate-related lending, mobilizing funding for mitigation and for loss and damage, and encouraging climate action.</w:t>
      </w:r>
    </w:p>
    <w:p w14:paraId="428A35C5" w14:textId="77777777" w:rsidR="00FD1CDA" w:rsidRDefault="00000000">
      <w:pPr>
        <w:pStyle w:val="ListParagraph"/>
        <w:numPr>
          <w:ilvl w:val="0"/>
          <w:numId w:val="1"/>
        </w:numPr>
        <w:spacing w:before="40" w:after="100" w:line="276" w:lineRule="auto"/>
      </w:pPr>
      <w:r>
        <w:rPr>
          <w:b/>
          <w:bCs/>
        </w:rPr>
        <w:t xml:space="preserve">Supporting mechanisms. </w:t>
      </w:r>
      <w:r>
        <w:t>The Trusted Intermediary Model, the Clean Energy Financing Model, and the Risk Absorption Model, each of which draws on the CIT.</w:t>
      </w:r>
    </w:p>
    <w:p w14:paraId="4B3D9D2F" w14:textId="77777777" w:rsidR="00FD1CDA" w:rsidRDefault="00000000">
      <w:pPr>
        <w:pStyle w:val="Heading3"/>
      </w:pPr>
      <w:bookmarkStart w:id="12" w:name="_Toc241674702"/>
      <w:r>
        <w:lastRenderedPageBreak/>
        <w:t>MDBs and Sovereign Incentives</w:t>
      </w:r>
      <w:bookmarkEnd w:id="12"/>
    </w:p>
    <w:p w14:paraId="15C3ED04" w14:textId="77777777" w:rsidR="00FD1CDA" w:rsidRDefault="00000000">
      <w:pPr>
        <w:pStyle w:val="ListParagraph"/>
        <w:numPr>
          <w:ilvl w:val="0"/>
          <w:numId w:val="1"/>
        </w:numPr>
        <w:spacing w:before="40" w:after="100" w:line="276" w:lineRule="auto"/>
      </w:pPr>
      <w:r>
        <w:rPr>
          <w:b/>
          <w:bCs/>
        </w:rPr>
        <w:t xml:space="preserve">Paper 6. Implementing the Evolution Roadmap on Climate. </w:t>
      </w:r>
      <w:r>
        <w:t>The background paper informing this series, proposing a mechanism to expand climate policy lending.</w:t>
      </w:r>
    </w:p>
    <w:p w14:paraId="18687D3C" w14:textId="77777777" w:rsidR="00FD1CDA" w:rsidRDefault="00000000">
      <w:pPr>
        <w:pStyle w:val="ListParagraph"/>
        <w:numPr>
          <w:ilvl w:val="0"/>
          <w:numId w:val="1"/>
        </w:numPr>
        <w:spacing w:before="40" w:after="100" w:line="276" w:lineRule="auto"/>
      </w:pPr>
      <w:r>
        <w:rPr>
          <w:b/>
          <w:bCs/>
        </w:rPr>
        <w:t xml:space="preserve">Paper 7. Sustainability-Linked Intermediated Debt Instruments (SLIDIs). </w:t>
      </w:r>
      <w:r>
        <w:t>Debt instruments that incentivize policy change by rewarding countries that meet agreed performance indicators.</w:t>
      </w:r>
    </w:p>
    <w:p w14:paraId="7B9924E9" w14:textId="77777777" w:rsidR="00FD1CDA" w:rsidRDefault="00000000">
      <w:pPr>
        <w:pStyle w:val="ListParagraph"/>
        <w:numPr>
          <w:ilvl w:val="0"/>
          <w:numId w:val="1"/>
        </w:numPr>
        <w:spacing w:before="40" w:after="100" w:line="276" w:lineRule="auto"/>
      </w:pPr>
      <w:r>
        <w:rPr>
          <w:b/>
          <w:bCs/>
        </w:rPr>
        <w:t xml:space="preserve">Paper 8. MDB Reform and Incentives for Paris Agreement Compliance. </w:t>
      </w:r>
      <w:r>
        <w:t>Reforms to better align MDB financing mechanisms with the goals of the Paris Agreement.</w:t>
      </w:r>
    </w:p>
    <w:p w14:paraId="3D29EEBD" w14:textId="77777777" w:rsidR="00FD1CDA" w:rsidRDefault="00000000">
      <w:r>
        <w:br w:type="page"/>
      </w:r>
    </w:p>
    <w:p w14:paraId="7F56287F" w14:textId="7E235115" w:rsidR="00FD1CDA" w:rsidRDefault="00000000">
      <w:pPr>
        <w:pStyle w:val="Heading1"/>
      </w:pPr>
      <w:bookmarkStart w:id="13" w:name="_Toc241674703"/>
      <w:r>
        <w:lastRenderedPageBreak/>
        <w:t>The Papers</w:t>
      </w:r>
      <w:bookmarkEnd w:id="13"/>
    </w:p>
    <w:p w14:paraId="275C9CB4" w14:textId="77777777" w:rsidR="00FD1CDA" w:rsidRDefault="00000000">
      <w:pPr>
        <w:spacing w:before="100" w:after="160" w:line="276" w:lineRule="auto"/>
      </w:pPr>
      <w:r>
        <w:t>Each entry below gives the paper’s authors and abstract, followed — where a mechanism has been elaborated in more detail — by a description of how it would work, and then by links to the available forms of the paper.</w:t>
      </w:r>
    </w:p>
    <w:p w14:paraId="26F475F1" w14:textId="77777777" w:rsidR="00FD1CDA" w:rsidRDefault="00000000">
      <w:pPr>
        <w:pStyle w:val="Heading2"/>
      </w:pPr>
      <w:bookmarkStart w:id="14" w:name="_Toc241674704"/>
      <w:r>
        <w:t>A. Policy</w:t>
      </w:r>
      <w:bookmarkEnd w:id="14"/>
    </w:p>
    <w:p w14:paraId="0B5D5C25" w14:textId="77777777" w:rsidR="00FD1CDA" w:rsidRDefault="00000000">
      <w:pPr>
        <w:pStyle w:val="Heading3"/>
      </w:pPr>
      <w:bookmarkStart w:id="15" w:name="_Toc241674705"/>
      <w:r>
        <w:t>Paper 1. Power Sector Feebates: A Dynamic Approach to Overcoming Transitional Barriers and Decarbonizing the Capital Stock</w:t>
      </w:r>
      <w:bookmarkEnd w:id="15"/>
    </w:p>
    <w:p w14:paraId="17A4B6C2" w14:textId="77777777" w:rsidR="00FD1CDA" w:rsidRDefault="00000000">
      <w:pPr>
        <w:spacing w:before="100" w:after="160" w:line="276" w:lineRule="auto"/>
      </w:pPr>
      <w:r>
        <w:rPr>
          <w:b/>
          <w:bCs/>
        </w:rPr>
        <w:t xml:space="preserve">Authors: </w:t>
      </w:r>
      <w:r>
        <w:t>Stephen Stretton and Nils Zimmermann.</w:t>
      </w:r>
    </w:p>
    <w:p w14:paraId="2503F69D" w14:textId="77777777" w:rsidR="00FD1CDA" w:rsidRDefault="00000000">
      <w:pPr>
        <w:spacing w:before="100" w:after="160" w:line="276" w:lineRule="auto"/>
      </w:pPr>
      <w:r>
        <w:rPr>
          <w:b/>
          <w:bCs/>
        </w:rPr>
        <w:t xml:space="preserve">Abstract: </w:t>
      </w:r>
      <w:r>
        <w:t xml:space="preserve">This paper proposes a feebate system as an alternative to carbon taxes for decarbonizing the power sector, particularly in coal-dependent regions. Traditional carbon taxes disproportionately impact coal, leading to politically and economically suboptimal policies such as exemptions or reduced rates. A feebate system, which imposes fees on high-emission activities and offers rebates for low-emission alternatives, provides a more politically feasible and dynamic approach, incentivizing early transition without across-the-board price increases. By combining multiple feebates, the system approximates a consumption-based carbon tax while minimizing political disruption. The paper suggests using feebates in coal-heavy sectors alongside revenue-raising taxes in </w:t>
      </w:r>
      <w:proofErr w:type="gramStart"/>
      <w:r>
        <w:t>others, or</w:t>
      </w:r>
      <w:proofErr w:type="gramEnd"/>
      <w:r>
        <w:t xml:space="preserve"> transitioning to a carbon tax over time.</w:t>
      </w:r>
    </w:p>
    <w:p w14:paraId="2418991D" w14:textId="77777777" w:rsidR="00FD1CDA" w:rsidRDefault="00000000">
      <w:pPr>
        <w:pStyle w:val="Heading4"/>
      </w:pPr>
      <w:r>
        <w:t>Access</w:t>
      </w:r>
    </w:p>
    <w:p w14:paraId="5EB6AA3A" w14:textId="77777777" w:rsidR="00FD1CDA" w:rsidRDefault="00000000">
      <w:pPr>
        <w:pStyle w:val="ListParagraph"/>
        <w:numPr>
          <w:ilvl w:val="0"/>
          <w:numId w:val="1"/>
        </w:numPr>
        <w:spacing w:before="40" w:after="100" w:line="276" w:lineRule="auto"/>
      </w:pPr>
      <w:hyperlink r:id="rId7" w:history="1">
        <w:r>
          <w:rPr>
            <w:rStyle w:val="Hyperlink"/>
          </w:rPr>
          <w:t>Briefing Paper</w:t>
        </w:r>
      </w:hyperlink>
      <w:r>
        <w:rPr>
          <w:color w:val="595959"/>
        </w:rPr>
        <w:t xml:space="preserve"> (Canva)</w:t>
      </w:r>
    </w:p>
    <w:p w14:paraId="20AD51DB" w14:textId="77777777" w:rsidR="00FD1CDA" w:rsidRDefault="00000000">
      <w:pPr>
        <w:pStyle w:val="ListParagraph"/>
        <w:numPr>
          <w:ilvl w:val="0"/>
          <w:numId w:val="1"/>
        </w:numPr>
        <w:spacing w:before="40" w:after="100" w:line="276" w:lineRule="auto"/>
      </w:pPr>
      <w:hyperlink r:id="rId8" w:history="1">
        <w:r>
          <w:rPr>
            <w:rStyle w:val="Hyperlink"/>
          </w:rPr>
          <w:t>Long-Form Technical Paper</w:t>
        </w:r>
      </w:hyperlink>
      <w:r>
        <w:rPr>
          <w:color w:val="595959"/>
        </w:rPr>
        <w:t xml:space="preserve"> (Google Drive)</w:t>
      </w:r>
    </w:p>
    <w:p w14:paraId="342A0FC8" w14:textId="77777777" w:rsidR="00FD1CDA" w:rsidRDefault="00000000">
      <w:pPr>
        <w:pStyle w:val="Heading3"/>
      </w:pPr>
      <w:bookmarkStart w:id="16" w:name="_Toc241674706"/>
      <w:r>
        <w:t>Paper 2. Finance, Carbon Pricing and Power Market Reforms to Meet Indian Climate Policy Goals</w:t>
      </w:r>
      <w:bookmarkEnd w:id="16"/>
    </w:p>
    <w:p w14:paraId="4CAC4199" w14:textId="77777777" w:rsidR="00FD1CDA" w:rsidRDefault="00000000">
      <w:pPr>
        <w:spacing w:before="100" w:after="160" w:line="276" w:lineRule="auto"/>
      </w:pPr>
      <w:r>
        <w:rPr>
          <w:b/>
          <w:bCs/>
        </w:rPr>
        <w:t xml:space="preserve">Authors: </w:t>
      </w:r>
      <w:r>
        <w:t>Stephen Stretton and Nils Zimmermann.</w:t>
      </w:r>
    </w:p>
    <w:p w14:paraId="075D718A" w14:textId="77777777" w:rsidR="00FD1CDA" w:rsidRDefault="00000000">
      <w:pPr>
        <w:spacing w:before="100" w:after="160" w:line="276" w:lineRule="auto"/>
      </w:pPr>
      <w:r>
        <w:rPr>
          <w:b/>
          <w:bCs/>
        </w:rPr>
        <w:t xml:space="preserve">Abstract: </w:t>
      </w:r>
      <w:r>
        <w:t>India’s ambitious climate policy targets aim to scale up renewable energy, reduce carbon intensity, and achieve net-zero emissions by 2070. Reaching these goals necessitates comprehensive reforms in power markets, carbon pricing, and financial systems to accelerate the transition away from coal and bolster renewable energy adoption. This paper emphasizes the importance of socio-economic justice, advocating for concessional financing to support coal power site repurposing and worker retraining. To incentivize decarbonization while maintaining stable electricity prices, we propose a feebate system targeting power producers based on their emissions intensity. Additionally, greening India’s financial sector by enhancing climate risk management and redirecting capital toward low-carbon investments is crucial. As a potential global leader in clean energy, accelerating India’s green transition could yield significant strategic economic benefits, including greater access to international markets and leadership in cleantech supply chains.</w:t>
      </w:r>
    </w:p>
    <w:p w14:paraId="26D95E47" w14:textId="77777777" w:rsidR="00FD1CDA" w:rsidRDefault="00000000">
      <w:pPr>
        <w:pStyle w:val="Heading4"/>
      </w:pPr>
      <w:r>
        <w:lastRenderedPageBreak/>
        <w:t>Access</w:t>
      </w:r>
    </w:p>
    <w:p w14:paraId="7C028489" w14:textId="77777777" w:rsidR="00FD1CDA" w:rsidRDefault="00000000">
      <w:pPr>
        <w:pStyle w:val="ListParagraph"/>
        <w:numPr>
          <w:ilvl w:val="0"/>
          <w:numId w:val="1"/>
        </w:numPr>
        <w:spacing w:before="40" w:after="100" w:line="276" w:lineRule="auto"/>
      </w:pPr>
      <w:hyperlink r:id="rId9" w:history="1">
        <w:r>
          <w:rPr>
            <w:rStyle w:val="Hyperlink"/>
          </w:rPr>
          <w:t>Briefing Paper</w:t>
        </w:r>
      </w:hyperlink>
      <w:r>
        <w:rPr>
          <w:color w:val="595959"/>
        </w:rPr>
        <w:t xml:space="preserve"> (Canva)</w:t>
      </w:r>
    </w:p>
    <w:p w14:paraId="07A36533" w14:textId="77777777" w:rsidR="00FD1CDA" w:rsidRDefault="00000000">
      <w:pPr>
        <w:pStyle w:val="ListParagraph"/>
        <w:numPr>
          <w:ilvl w:val="0"/>
          <w:numId w:val="1"/>
        </w:numPr>
        <w:spacing w:before="40" w:after="100" w:line="276" w:lineRule="auto"/>
      </w:pPr>
      <w:hyperlink r:id="rId10" w:history="1">
        <w:r>
          <w:rPr>
            <w:rStyle w:val="Hyperlink"/>
          </w:rPr>
          <w:t>Long-Form Technical Paper</w:t>
        </w:r>
      </w:hyperlink>
      <w:r>
        <w:rPr>
          <w:color w:val="595959"/>
        </w:rPr>
        <w:t xml:space="preserve"> (Google Drive)</w:t>
      </w:r>
    </w:p>
    <w:p w14:paraId="226DF885" w14:textId="77777777" w:rsidR="00FD1CDA" w:rsidRDefault="00000000">
      <w:pPr>
        <w:pStyle w:val="ListParagraph"/>
        <w:numPr>
          <w:ilvl w:val="0"/>
          <w:numId w:val="1"/>
        </w:numPr>
        <w:spacing w:before="40" w:after="100" w:line="276" w:lineRule="auto"/>
      </w:pPr>
      <w:hyperlink r:id="rId11" w:history="1">
        <w:r>
          <w:rPr>
            <w:rStyle w:val="Hyperlink"/>
          </w:rPr>
          <w:t>Shorter Paper</w:t>
        </w:r>
      </w:hyperlink>
      <w:r>
        <w:rPr>
          <w:color w:val="595959"/>
        </w:rPr>
        <w:t xml:space="preserve"> (Google Drive)</w:t>
      </w:r>
    </w:p>
    <w:p w14:paraId="6FE3D97C" w14:textId="77777777" w:rsidR="00FD1CDA" w:rsidRDefault="00000000">
      <w:pPr>
        <w:pStyle w:val="Heading2"/>
      </w:pPr>
      <w:bookmarkStart w:id="17" w:name="_Toc241674707"/>
      <w:r>
        <w:t>B. Guarantees and Finance</w:t>
      </w:r>
      <w:bookmarkEnd w:id="17"/>
    </w:p>
    <w:p w14:paraId="131B5BB7" w14:textId="77777777" w:rsidR="00FD1CDA" w:rsidRDefault="00000000">
      <w:pPr>
        <w:pStyle w:val="Heading3"/>
      </w:pPr>
      <w:bookmarkStart w:id="18" w:name="_Toc241674708"/>
      <w:r>
        <w:t>Paper 3. A Solar Payments Intermediary and Finance Agency</w:t>
      </w:r>
      <w:bookmarkEnd w:id="18"/>
    </w:p>
    <w:p w14:paraId="1B9A4417" w14:textId="77777777" w:rsidR="00FD1CDA" w:rsidRDefault="00000000">
      <w:pPr>
        <w:spacing w:before="100" w:after="160" w:line="276" w:lineRule="auto"/>
      </w:pPr>
      <w:r>
        <w:rPr>
          <w:b/>
          <w:bCs/>
        </w:rPr>
        <w:t xml:space="preserve">Authors: </w:t>
      </w:r>
      <w:r>
        <w:t>Stephen Stretton, Nils Zimmermann, Pablo Salas and Claudio Forner.</w:t>
      </w:r>
    </w:p>
    <w:p w14:paraId="0832DA36" w14:textId="77777777" w:rsidR="00FD1CDA" w:rsidRDefault="00000000">
      <w:pPr>
        <w:spacing w:before="100" w:after="160" w:line="276" w:lineRule="auto"/>
      </w:pPr>
      <w:r>
        <w:rPr>
          <w:b/>
          <w:bCs/>
        </w:rPr>
        <w:t xml:space="preserve">Abstract: </w:t>
      </w:r>
      <w:r>
        <w:t>We propose the creation of a Solar-economy Payment Intermediary Facility (SPIF), similar in role to the key financial intermediary function played by the Solar Energy Corporation of India (SECI) in that country. SECI ensures that participating power generators get paid in full and on time for the power they produce under their power purchase agreements (PPAs), de-risking the power providers’ operational cash flow.</w:t>
      </w:r>
      <w:r>
        <w:rPr>
          <w:rStyle w:val="FootnoteReference"/>
        </w:rPr>
        <w:footnoteReference w:id="1"/>
      </w:r>
      <w:r>
        <w:t xml:space="preserve"> SPIF would play a similar role internationally.</w:t>
      </w:r>
    </w:p>
    <w:p w14:paraId="21E9F168" w14:textId="77777777" w:rsidR="00FD1CDA" w:rsidRDefault="00000000">
      <w:pPr>
        <w:spacing w:before="100" w:after="160" w:line="276" w:lineRule="auto"/>
      </w:pPr>
      <w:r>
        <w:t>We further propose the creation of green asset-backed securities backed by the secure future cashflows just described.</w:t>
      </w:r>
      <w:r>
        <w:rPr>
          <w:rStyle w:val="FootnoteReference"/>
        </w:rPr>
        <w:footnoteReference w:id="2"/>
      </w:r>
      <w:r>
        <w:t xml:space="preserve"> Such synthetic sovereign bonds could be arranged by MDBs without using developing countries’ scarce fiscal balance sheet space.</w:t>
      </w:r>
      <w:r>
        <w:rPr>
          <w:rStyle w:val="FootnoteReference"/>
        </w:rPr>
        <w:footnoteReference w:id="3"/>
      </w:r>
    </w:p>
    <w:p w14:paraId="26DEE791" w14:textId="77777777" w:rsidR="00FD1CDA" w:rsidRDefault="00000000">
      <w:pPr>
        <w:pStyle w:val="Heading4"/>
      </w:pPr>
      <w:r>
        <w:t>Access</w:t>
      </w:r>
    </w:p>
    <w:p w14:paraId="506675C6" w14:textId="77777777" w:rsidR="00FD1CDA" w:rsidRDefault="00000000">
      <w:pPr>
        <w:pStyle w:val="ListParagraph"/>
        <w:numPr>
          <w:ilvl w:val="0"/>
          <w:numId w:val="1"/>
        </w:numPr>
        <w:spacing w:before="40" w:after="100" w:line="276" w:lineRule="auto"/>
      </w:pPr>
      <w:r>
        <w:rPr>
          <w:color w:val="595959"/>
        </w:rPr>
        <w:t>Briefing paper and technical paper in preparation.</w:t>
      </w:r>
    </w:p>
    <w:p w14:paraId="05C10D71" w14:textId="77777777" w:rsidR="00FD1CDA" w:rsidRDefault="00000000">
      <w:pPr>
        <w:pStyle w:val="Heading3"/>
      </w:pPr>
      <w:bookmarkStart w:id="19" w:name="_Toc241674709"/>
      <w:r>
        <w:t>Paper 4. A Financial Plan for a Global Solar Economy</w:t>
      </w:r>
      <w:bookmarkEnd w:id="19"/>
    </w:p>
    <w:p w14:paraId="5A2D59BA" w14:textId="77777777" w:rsidR="00FD1CDA" w:rsidRDefault="00000000">
      <w:pPr>
        <w:spacing w:before="100" w:after="160" w:line="276" w:lineRule="auto"/>
      </w:pPr>
      <w:r>
        <w:rPr>
          <w:b/>
          <w:bCs/>
        </w:rPr>
        <w:t xml:space="preserve">Authors: </w:t>
      </w:r>
      <w:r>
        <w:t>Stephen Stretton, Nils Zimmermann, Pablo Salas and Claudio Forner.</w:t>
      </w:r>
    </w:p>
    <w:p w14:paraId="18D81ED2" w14:textId="77777777" w:rsidR="00FD1CDA" w:rsidRDefault="00000000">
      <w:pPr>
        <w:spacing w:before="100" w:after="160" w:line="276" w:lineRule="auto"/>
      </w:pPr>
      <w:r>
        <w:rPr>
          <w:b/>
          <w:bCs/>
        </w:rPr>
        <w:t xml:space="preserve">Abstract: </w:t>
      </w:r>
      <w:r>
        <w:t xml:space="preserve">This proposal introduces a financing model to accelerate the deployment of solar power and other renewable energy projects in developing countries by combining an international de-risking mechanism with a global public equity fund. The proposed structure aims to reduce financing costs for renewable energy infrastructure by securitizing Power Purchase Agreements through the Solar Payments Intermediary Facility (see Paper 3), which is backed by governments, managed by multilateral financial institutions, and provides the secure cashflows needed to issue green asset-backed securities against those guaranteed future cashflows. Paired with a Global Solar Economy </w:t>
      </w:r>
      <w:r>
        <w:lastRenderedPageBreak/>
        <w:t>Equity Fund, drawing on the Climate Incentives Trust (see Paper 5), this model attracts risk-averse investors such as pension funds and sovereign wealth funds, while incentivizing countries to act early through profit-sharing mechanisms.</w:t>
      </w:r>
    </w:p>
    <w:p w14:paraId="3623277F" w14:textId="77777777" w:rsidR="00FD1CDA" w:rsidRDefault="00000000">
      <w:pPr>
        <w:spacing w:before="100" w:after="160" w:line="276" w:lineRule="auto"/>
      </w:pPr>
      <w:r>
        <w:rPr>
          <w:b/>
          <w:bCs/>
        </w:rPr>
        <w:t xml:space="preserve">Scope note: </w:t>
      </w:r>
      <w:r>
        <w:t xml:space="preserve">This paper covers similar </w:t>
      </w:r>
      <w:proofErr w:type="gramStart"/>
      <w:r>
        <w:t>ground</w:t>
      </w:r>
      <w:proofErr w:type="gramEnd"/>
      <w:r>
        <w:t xml:space="preserve"> to Papers 3 and 5 taken </w:t>
      </w:r>
      <w:proofErr w:type="gramStart"/>
      <w:r>
        <w:t>together, and</w:t>
      </w:r>
      <w:proofErr w:type="gramEnd"/>
      <w:r>
        <w:t xml:space="preserve"> has also circulated under the title ‘A Proposal for a Global Solar Economy Financing System’.</w:t>
      </w:r>
    </w:p>
    <w:p w14:paraId="7DAEF85E" w14:textId="77777777" w:rsidR="00FD1CDA" w:rsidRDefault="00000000">
      <w:pPr>
        <w:pStyle w:val="Heading4"/>
      </w:pPr>
      <w:r>
        <w:t>Access</w:t>
      </w:r>
    </w:p>
    <w:p w14:paraId="3C7B280F" w14:textId="77777777" w:rsidR="00FD1CDA" w:rsidRDefault="00000000">
      <w:pPr>
        <w:pStyle w:val="ListParagraph"/>
        <w:numPr>
          <w:ilvl w:val="0"/>
          <w:numId w:val="1"/>
        </w:numPr>
        <w:spacing w:before="40" w:after="100" w:line="276" w:lineRule="auto"/>
      </w:pPr>
      <w:hyperlink r:id="rId12" w:history="1">
        <w:r>
          <w:rPr>
            <w:rStyle w:val="Hyperlink"/>
          </w:rPr>
          <w:t>Briefing Paper</w:t>
        </w:r>
      </w:hyperlink>
      <w:r>
        <w:rPr>
          <w:color w:val="595959"/>
        </w:rPr>
        <w:t xml:space="preserve"> (Canva)</w:t>
      </w:r>
    </w:p>
    <w:p w14:paraId="5BBC8F4E" w14:textId="77777777" w:rsidR="00FD1CDA" w:rsidRDefault="00000000">
      <w:pPr>
        <w:pStyle w:val="ListParagraph"/>
        <w:numPr>
          <w:ilvl w:val="0"/>
          <w:numId w:val="1"/>
        </w:numPr>
        <w:spacing w:before="40" w:after="100" w:line="276" w:lineRule="auto"/>
      </w:pPr>
      <w:hyperlink r:id="rId13" w:history="1">
        <w:r>
          <w:rPr>
            <w:rStyle w:val="Hyperlink"/>
          </w:rPr>
          <w:t>Long-Form Technical Paper</w:t>
        </w:r>
      </w:hyperlink>
      <w:r>
        <w:rPr>
          <w:color w:val="595959"/>
        </w:rPr>
        <w:t xml:space="preserve"> (Google Drive)</w:t>
      </w:r>
    </w:p>
    <w:p w14:paraId="6BD28497" w14:textId="77777777" w:rsidR="00FD1CDA" w:rsidRDefault="00000000">
      <w:pPr>
        <w:pStyle w:val="Heading3"/>
      </w:pPr>
      <w:bookmarkStart w:id="20" w:name="_Toc241674710"/>
      <w:r>
        <w:t>Paper 5. The Climate Incentives Trust</w:t>
      </w:r>
      <w:bookmarkEnd w:id="20"/>
    </w:p>
    <w:p w14:paraId="06358C38" w14:textId="77777777" w:rsidR="00FD1CDA" w:rsidRDefault="00000000">
      <w:pPr>
        <w:spacing w:before="100" w:after="160" w:line="276" w:lineRule="auto"/>
      </w:pPr>
      <w:r>
        <w:rPr>
          <w:b/>
          <w:bCs/>
        </w:rPr>
        <w:t xml:space="preserve">Authors: </w:t>
      </w:r>
      <w:r>
        <w:t>Stephen Stretton and Nils Zimmermann.</w:t>
      </w:r>
    </w:p>
    <w:p w14:paraId="4F510175" w14:textId="77777777" w:rsidR="00FD1CDA" w:rsidRDefault="00000000">
      <w:pPr>
        <w:spacing w:before="100" w:after="160" w:line="276" w:lineRule="auto"/>
      </w:pPr>
      <w:r>
        <w:rPr>
          <w:b/>
          <w:bCs/>
        </w:rPr>
        <w:t xml:space="preserve">Abstract: </w:t>
      </w:r>
      <w:r>
        <w:t>The Climate Incentives Trust (CIT) proposal aims to expand global public funding for climate mitigation before 2050 and to increase funding for loss and damage protection afterward. The proposed mechanism provides insurance against climate risks in exchange for sovereign commitments, invests in early-stage renewable energy projects, and incentivizes countries to reduce emissions. The trust, funded by donor countries and managed by the World Bank Group, creates nationally allocated beneficiary funds to mitigate long-term fiscal risks and mobilizes additional private investment. By lowering borrowing costs and leveraging national accounts as collateral, the CIT supports global climate goals while protecting countries from future climate-related disasters.</w:t>
      </w:r>
    </w:p>
    <w:p w14:paraId="71B1B96C" w14:textId="77777777" w:rsidR="00FD1CDA" w:rsidRDefault="00000000">
      <w:pPr>
        <w:pStyle w:val="Heading4"/>
      </w:pPr>
      <w:r>
        <w:t>How it would work</w:t>
      </w:r>
    </w:p>
    <w:p w14:paraId="4A234EDB" w14:textId="77777777" w:rsidR="00FD1CDA" w:rsidRDefault="00000000">
      <w:pPr>
        <w:spacing w:before="100" w:after="160" w:line="276" w:lineRule="auto"/>
      </w:pPr>
      <w:proofErr w:type="gramStart"/>
      <w:r>
        <w:t>The CIT</w:t>
      </w:r>
      <w:proofErr w:type="gramEnd"/>
      <w:r>
        <w:t xml:space="preserve"> is a system of trust accounts, funded by donors and allocated both to a global fund and to specific countries in exchange for mitigation commitments and actions by those countries. Country accounts would serve two functions. First, they could act as risk-absorbing equity to protect against country-specific defaults, which is what makes the Trusted Intermediary and Risk Absorption models below possible. Second, the funds held in them can themselves be invested, generating the returns described in Paper 4.</w:t>
      </w:r>
    </w:p>
    <w:p w14:paraId="479513AE" w14:textId="77777777" w:rsidR="00FD1CDA" w:rsidRDefault="00000000">
      <w:pPr>
        <w:spacing w:before="100" w:after="160" w:line="276" w:lineRule="auto"/>
      </w:pPr>
      <w:r>
        <w:t xml:space="preserve">Allocations from a generic pool of donor funding to country-specific trust accounts would depend on climate mitigation actions — for example, implementation of strong renewable scale-up auctions, carbon pricing, or the public infrastructure necessary for net zero. Because allocation is conditional and time-sensitive, </w:t>
      </w:r>
      <w:proofErr w:type="gramStart"/>
      <w:r>
        <w:t>the trust</w:t>
      </w:r>
      <w:proofErr w:type="gramEnd"/>
      <w:r>
        <w:t xml:space="preserve"> provides incentives for rapid action by developing countries rather than rewarding </w:t>
      </w:r>
      <w:proofErr w:type="gramStart"/>
      <w:r>
        <w:t>delay</w:t>
      </w:r>
      <w:proofErr w:type="gramEnd"/>
      <w:r>
        <w:t>.</w:t>
      </w:r>
    </w:p>
    <w:p w14:paraId="3D20D82C" w14:textId="77777777" w:rsidR="00FD1CDA" w:rsidRDefault="00000000">
      <w:pPr>
        <w:pStyle w:val="Heading4"/>
      </w:pPr>
      <w:r>
        <w:t>Access</w:t>
      </w:r>
    </w:p>
    <w:p w14:paraId="3011E148" w14:textId="77777777" w:rsidR="00FD1CDA" w:rsidRDefault="00000000">
      <w:pPr>
        <w:pStyle w:val="ListParagraph"/>
        <w:numPr>
          <w:ilvl w:val="0"/>
          <w:numId w:val="1"/>
        </w:numPr>
        <w:spacing w:before="40" w:after="100" w:line="276" w:lineRule="auto"/>
      </w:pPr>
      <w:hyperlink r:id="rId14" w:history="1">
        <w:r>
          <w:rPr>
            <w:rStyle w:val="Hyperlink"/>
          </w:rPr>
          <w:t>Briefing Paper</w:t>
        </w:r>
      </w:hyperlink>
      <w:r>
        <w:rPr>
          <w:color w:val="595959"/>
        </w:rPr>
        <w:t xml:space="preserve"> (Canva)</w:t>
      </w:r>
    </w:p>
    <w:p w14:paraId="38FC6411" w14:textId="77777777" w:rsidR="00FD1CDA" w:rsidRDefault="00000000">
      <w:pPr>
        <w:pStyle w:val="ListParagraph"/>
        <w:numPr>
          <w:ilvl w:val="0"/>
          <w:numId w:val="1"/>
        </w:numPr>
        <w:spacing w:before="40" w:after="100" w:line="276" w:lineRule="auto"/>
      </w:pPr>
      <w:hyperlink r:id="rId15" w:history="1">
        <w:r>
          <w:rPr>
            <w:rStyle w:val="Hyperlink"/>
          </w:rPr>
          <w:t>Long-Form Technical Paper</w:t>
        </w:r>
      </w:hyperlink>
      <w:r>
        <w:rPr>
          <w:color w:val="595959"/>
        </w:rPr>
        <w:t xml:space="preserve"> (Google Drive)</w:t>
      </w:r>
    </w:p>
    <w:p w14:paraId="4597C302" w14:textId="77777777" w:rsidR="00FD1CDA" w:rsidRDefault="00000000">
      <w:pPr>
        <w:pStyle w:val="ListParagraph"/>
        <w:numPr>
          <w:ilvl w:val="0"/>
          <w:numId w:val="1"/>
        </w:numPr>
        <w:spacing w:before="40" w:after="100" w:line="276" w:lineRule="auto"/>
      </w:pPr>
      <w:hyperlink r:id="rId16" w:history="1">
        <w:r>
          <w:rPr>
            <w:rStyle w:val="Hyperlink"/>
          </w:rPr>
          <w:t>Technical Summary</w:t>
        </w:r>
      </w:hyperlink>
      <w:r>
        <w:rPr>
          <w:color w:val="595959"/>
        </w:rPr>
        <w:t xml:space="preserve"> (Google Drive)</w:t>
      </w:r>
    </w:p>
    <w:p w14:paraId="6A20ED9B" w14:textId="77777777" w:rsidR="00FD1CDA" w:rsidRDefault="00000000">
      <w:pPr>
        <w:pStyle w:val="ListParagraph"/>
        <w:numPr>
          <w:ilvl w:val="0"/>
          <w:numId w:val="1"/>
        </w:numPr>
        <w:spacing w:before="40" w:after="100" w:line="276" w:lineRule="auto"/>
      </w:pPr>
      <w:r>
        <w:rPr>
          <w:color w:val="595959"/>
        </w:rPr>
        <w:lastRenderedPageBreak/>
        <w:t>Presentation (OneDrive).</w:t>
      </w:r>
    </w:p>
    <w:p w14:paraId="0C4830E6" w14:textId="77777777" w:rsidR="00FD1CDA" w:rsidRDefault="00000000">
      <w:pPr>
        <w:pStyle w:val="Heading3"/>
      </w:pPr>
      <w:bookmarkStart w:id="21" w:name="_Toc241674711"/>
      <w:r>
        <w:t>Supporting Mechanisms</w:t>
      </w:r>
      <w:bookmarkEnd w:id="21"/>
    </w:p>
    <w:p w14:paraId="48889603" w14:textId="77777777" w:rsidR="00FD1CDA" w:rsidRDefault="00000000">
      <w:pPr>
        <w:spacing w:before="100" w:after="160" w:line="276" w:lineRule="auto"/>
      </w:pPr>
      <w:r>
        <w:t>Three further mechanisms sit alongside the papers above. Each depends on the CIT equity fund, and each is intended to be operationalized through the instruments described in Papers 3 to 5.</w:t>
      </w:r>
    </w:p>
    <w:p w14:paraId="3AEFBC3E" w14:textId="77777777" w:rsidR="00FD1CDA" w:rsidRDefault="00000000">
      <w:pPr>
        <w:pStyle w:val="Heading4"/>
      </w:pPr>
      <w:r>
        <w:t>The Trusted Intermediary Model</w:t>
      </w:r>
    </w:p>
    <w:p w14:paraId="1A15777C" w14:textId="77777777" w:rsidR="00FD1CDA" w:rsidRDefault="00000000">
      <w:pPr>
        <w:spacing w:before="100" w:after="160" w:line="276" w:lineRule="auto"/>
      </w:pPr>
      <w:r>
        <w:t xml:space="preserve">A mechanism for raising low-cost money for </w:t>
      </w:r>
      <w:proofErr w:type="gramStart"/>
      <w:r>
        <w:t>on-lending</w:t>
      </w:r>
      <w:proofErr w:type="gramEnd"/>
      <w:r>
        <w:t xml:space="preserve"> to sustainable infrastructure project developers in EMDCs at concessional rates. In this model, countries — advised by highly developed </w:t>
      </w:r>
      <w:proofErr w:type="gramStart"/>
      <w:r>
        <w:t>country</w:t>
      </w:r>
      <w:proofErr w:type="gramEnd"/>
      <w:r>
        <w:t xml:space="preserve"> (HDC) international development agencies — could borrow for climate and green infrastructure purposes through a safe intermediary that is itself low risk, such as a regional sustainable infrastructure fund backed by highly developed countries.</w:t>
      </w:r>
    </w:p>
    <w:p w14:paraId="4495852C" w14:textId="77777777" w:rsidR="00FD1CDA" w:rsidRDefault="00000000">
      <w:pPr>
        <w:spacing w:before="100" w:after="160" w:line="276" w:lineRule="auto"/>
      </w:pPr>
      <w:r>
        <w:t>Rather than interest rates being tied to the country risk of EMDCs, borrowers would pay interest related to their performance on key performance indicators: countries that achieve poor outcomes would pay close to their normal sovereign bond cost, and countries that achieve good outcomes would pay the borrowing rate of the safe intermediary. The trusted intermediary could be the World Bank itself or, to make additional financing available, a safe Special Purpose Vehicle directly or indirectly backed by HDCs and by a capital buffer. The model also encompasses an intermediary for solar contracts and a project finance mechanism for securitized future cashflows, which are developed in Papers 3 and 4.</w:t>
      </w:r>
    </w:p>
    <w:p w14:paraId="3722BA82" w14:textId="77777777" w:rsidR="00FD1CDA" w:rsidRDefault="00000000">
      <w:pPr>
        <w:spacing w:before="100" w:after="160" w:line="276" w:lineRule="auto"/>
      </w:pPr>
      <w:r>
        <w:t xml:space="preserve">A version of the Trusted Intermediary Model has been outlined in the published KPI bonds paper, available </w:t>
      </w:r>
      <w:hyperlink r:id="rId17" w:history="1">
        <w:r>
          <w:rPr>
            <w:rStyle w:val="Hyperlink"/>
          </w:rPr>
          <w:t>here</w:t>
        </w:r>
      </w:hyperlink>
      <w:r>
        <w:t>.</w:t>
      </w:r>
    </w:p>
    <w:p w14:paraId="4A59D8AE" w14:textId="77777777" w:rsidR="00FD1CDA" w:rsidRDefault="00000000">
      <w:pPr>
        <w:pStyle w:val="Heading4"/>
      </w:pPr>
      <w:r>
        <w:t>The Clean Energy Financing Model</w:t>
      </w:r>
    </w:p>
    <w:p w14:paraId="73DA61AD" w14:textId="77777777" w:rsidR="00FD1CDA" w:rsidRDefault="00000000">
      <w:pPr>
        <w:spacing w:before="100" w:after="160" w:line="276" w:lineRule="auto"/>
      </w:pPr>
      <w:r>
        <w:t xml:space="preserve">A clean energy financing model offered to EMDCs and LDCs by the IFC. In this model, the CIT would make equity investments in renewable energy projects in developing countries, generating net investment returns for the CIT which would then be re-invested. For poorer developing countries, the CIT could make a </w:t>
      </w:r>
      <w:r>
        <w:rPr>
          <w:i/>
          <w:iCs/>
        </w:rPr>
        <w:t>pay-as-you-go</w:t>
      </w:r>
      <w:r>
        <w:t xml:space="preserve"> offer per MWh for energy delivered from clean energy systems that the CIT itself has financed. This reduces concerns about adding to sovereign debt for green investment, avoids explicit debt entirely, and builds net-zero capability globally. </w:t>
      </w:r>
      <w:proofErr w:type="gramStart"/>
      <w:r>
        <w:t>The CIT</w:t>
      </w:r>
      <w:proofErr w:type="gramEnd"/>
      <w:r>
        <w:t>, or agencies collaborating with it, would contract with clean energy project developers to deliver those MWh to LDCs via appropriate off-take agreements. Capacity for designing and implementing clean energy economies would be developed and organized centrally, across countries that would otherwise lack it.</w:t>
      </w:r>
      <w:r>
        <w:rPr>
          <w:rStyle w:val="FootnoteReference"/>
        </w:rPr>
        <w:footnoteReference w:id="4"/>
      </w:r>
    </w:p>
    <w:p w14:paraId="1BE21B37" w14:textId="77777777" w:rsidR="00FD1CDA" w:rsidRDefault="00000000">
      <w:pPr>
        <w:spacing w:before="100" w:after="160" w:line="276" w:lineRule="auto"/>
      </w:pPr>
      <w:r>
        <w:t xml:space="preserve">The proposal matters most for countries without well-developed capital markets for project finance, and where fiscal space and fiscal risk are a concern. To enable a financial return on the projects the CIT finances, low-cost refinancing would be employed once newly developed projects are complete </w:t>
      </w:r>
      <w:r>
        <w:lastRenderedPageBreak/>
        <w:t>and generating cash flow. Much of a project’s risk sits in the early stage of development, which is why refinancing a project after development is complete should lead to net profits for the initial equity investor. The key requirement is for renewable energy projects to achieve secure cashflow from a long-term Power Purchase Agreement with the respective government or a related state-owned enterprise.</w:t>
      </w:r>
    </w:p>
    <w:p w14:paraId="4C3AE013" w14:textId="77777777" w:rsidR="00FD1CDA" w:rsidRDefault="00000000">
      <w:pPr>
        <w:pStyle w:val="Heading4"/>
      </w:pPr>
      <w:r>
        <w:t>The Risk Absorption Model</w:t>
      </w:r>
    </w:p>
    <w:p w14:paraId="09B3239B" w14:textId="77777777" w:rsidR="00FD1CDA" w:rsidRDefault="00000000">
      <w:pPr>
        <w:spacing w:before="100" w:after="160" w:line="276" w:lineRule="auto"/>
      </w:pPr>
      <w:r>
        <w:t>Also drawing on the CIT equity fund. Countries would provide policy guarantees and in exchange receive a counter-guarantee from the CIT and either the World Bank or a high-income country. In this way the credit rating of the World Bank is used but not used up. This system of three levels of risk-absorption buffers, with a final guarantee provided by the World Bank or a high-income country, can mobilize low-cost international capital markets, mobile payment systems, and domestic debt and bank finance.</w:t>
      </w:r>
      <w:r>
        <w:rPr>
          <w:rStyle w:val="FootnoteReference"/>
        </w:rPr>
        <w:footnoteReference w:id="5"/>
      </w:r>
    </w:p>
    <w:p w14:paraId="38699799" w14:textId="77777777" w:rsidR="00FD1CDA" w:rsidRDefault="00000000">
      <w:pPr>
        <w:pStyle w:val="Heading2"/>
      </w:pPr>
      <w:bookmarkStart w:id="22" w:name="_Toc241674712"/>
      <w:r>
        <w:t>C. MDBs and Sovereign Incentives</w:t>
      </w:r>
      <w:bookmarkEnd w:id="22"/>
    </w:p>
    <w:p w14:paraId="45E99B74" w14:textId="77777777" w:rsidR="00FD1CDA" w:rsidRDefault="00000000">
      <w:pPr>
        <w:pStyle w:val="Heading3"/>
      </w:pPr>
      <w:bookmarkStart w:id="23" w:name="_Toc241674713"/>
      <w:r>
        <w:t>Paper 6. Proposing a Mechanism for Implementing the Evolution Roadmap on Climate</w:t>
      </w:r>
      <w:bookmarkEnd w:id="23"/>
    </w:p>
    <w:p w14:paraId="2DFD86EF" w14:textId="77777777" w:rsidR="00FD1CDA" w:rsidRDefault="00000000">
      <w:pPr>
        <w:spacing w:before="100" w:after="160" w:line="276" w:lineRule="auto"/>
      </w:pPr>
      <w:r>
        <w:rPr>
          <w:b/>
          <w:bCs/>
        </w:rPr>
        <w:t xml:space="preserve">Authors: </w:t>
      </w:r>
      <w:r>
        <w:t>Dirk Heine and others.</w:t>
      </w:r>
    </w:p>
    <w:p w14:paraId="722E57D6" w14:textId="77777777" w:rsidR="00FD1CDA" w:rsidRDefault="00000000">
      <w:pPr>
        <w:spacing w:before="100" w:after="160" w:line="276" w:lineRule="auto"/>
      </w:pPr>
      <w:r>
        <w:rPr>
          <w:b/>
          <w:bCs/>
        </w:rPr>
        <w:t xml:space="preserve">Status: </w:t>
      </w:r>
      <w:r>
        <w:t>Background paper informing this working paper series.</w:t>
      </w:r>
    </w:p>
    <w:p w14:paraId="76ECA4D9" w14:textId="77777777" w:rsidR="00FD1CDA" w:rsidRDefault="00000000">
      <w:pPr>
        <w:spacing w:before="100" w:after="160" w:line="276" w:lineRule="auto"/>
      </w:pPr>
      <w:r>
        <w:rPr>
          <w:b/>
          <w:bCs/>
        </w:rPr>
        <w:t xml:space="preserve">Abstract: </w:t>
      </w:r>
      <w:r>
        <w:t>The simultaneous climate and fiscal crises of this decade necessitate a transformative shift in the World Bank Group’s strategy. The urgency for climate action, highlighted by the Intergovernmental Panel on Climate Change, is compounded by the deteriorating financial capacity of governments in emerging markets, which face record emissions and debt levels. Today’s climate finance system reflects past needs, but policy reforms are essential for keeping climate transition costs within countries’ fiscal space. Additionally, mobilizing private-sector investment requires a shift from project-based climate finance to policy-focused support. However, the current climate finance architecture not only fails to support policy reforms but actively discourages them.</w:t>
      </w:r>
    </w:p>
    <w:p w14:paraId="6F7D1FA0" w14:textId="77777777" w:rsidR="00FD1CDA" w:rsidRDefault="00000000">
      <w:pPr>
        <w:spacing w:before="100" w:after="160" w:line="276" w:lineRule="auto"/>
      </w:pPr>
      <w:r>
        <w:t xml:space="preserve">To address this challenge, the proposed Evolution Roadmap seeks to enhance the Economic and Financial Institutions (EFI) capacity for climate policy lending, aiming to increase the climate components of Development Policy Financing (DPFs) from 25 percent to 40 percent. The paper proposes a funding model that rewards countries undertaking significant climate reforms as global public goods. Two financing options are outlined: topping up dedicated DPFs with bilateral climate </w:t>
      </w:r>
      <w:proofErr w:type="gramStart"/>
      <w:r>
        <w:t>finance, and</w:t>
      </w:r>
      <w:proofErr w:type="gramEnd"/>
      <w:r>
        <w:t xml:space="preserve"> establishing a global mechanism to augment any DPF featuring agreed-upon transformational policy actions. Both models aim to integrate climate policy into macro-financial frameworks, reinforcing the World Bank Group’s role as a facilitator of global solutions while aligning climate finance with broader developmental goals. The paper also includes a draft list of transformational climate policy reforms backed by EFI Global Practice programs.</w:t>
      </w:r>
    </w:p>
    <w:p w14:paraId="2E3334A3" w14:textId="77777777" w:rsidR="00FD1CDA" w:rsidRDefault="00000000">
      <w:pPr>
        <w:pStyle w:val="Heading3"/>
      </w:pPr>
      <w:bookmarkStart w:id="24" w:name="_Toc241674714"/>
      <w:r>
        <w:lastRenderedPageBreak/>
        <w:t>Paper 7. Mobilizing Private Finance for the Climate Agenda: Introducing Sustainability-Linked Intermediated Debt Instruments</w:t>
      </w:r>
      <w:bookmarkEnd w:id="24"/>
    </w:p>
    <w:p w14:paraId="7D772043" w14:textId="77777777" w:rsidR="00FD1CDA" w:rsidRDefault="00000000">
      <w:pPr>
        <w:spacing w:before="100" w:after="160" w:line="276" w:lineRule="auto"/>
      </w:pPr>
      <w:r>
        <w:rPr>
          <w:b/>
          <w:bCs/>
        </w:rPr>
        <w:t xml:space="preserve">Authors: </w:t>
      </w:r>
      <w:r>
        <w:t>Marcello Estevão, Stephen Stretton and Nils Zimmermann.</w:t>
      </w:r>
    </w:p>
    <w:p w14:paraId="5E1D9C61" w14:textId="77777777" w:rsidR="00FD1CDA" w:rsidRDefault="00000000">
      <w:pPr>
        <w:spacing w:before="100" w:after="160" w:line="276" w:lineRule="auto"/>
      </w:pPr>
      <w:r>
        <w:rPr>
          <w:b/>
          <w:bCs/>
        </w:rPr>
        <w:t xml:space="preserve">Abstract: </w:t>
      </w:r>
      <w:r>
        <w:t>The Sustainability-Linked Intermediated Debt Instrument (SLIDI) proposal seeks to address the limitations of existing sustainability-linked bonds (SLBs), which have seen a decline in issuance since their peak in 2021. Like SLBs, SLIDIs offer reduced interest rates or rebates to borrowers that achieve specific sustainability-linked Key Performance Indicators (KPIs). However, SLIDIs differ by raising funds through bonds with fixed coupon payments, eliminating the rate-of-return uncertainty faced by SLBs. In this model, interest payment rebates are provided to borrowers upon meeting KPI targets, but these rebates are funded by a third party, such as the World Bank through results-based payments or a donor-supported trust fund.</w:t>
      </w:r>
    </w:p>
    <w:p w14:paraId="310520C3" w14:textId="77777777" w:rsidR="00FD1CDA" w:rsidRDefault="00000000">
      <w:pPr>
        <w:pStyle w:val="Heading4"/>
      </w:pPr>
      <w:r>
        <w:t>How it would work</w:t>
      </w:r>
    </w:p>
    <w:p w14:paraId="2CC6A56B" w14:textId="77777777" w:rsidR="00FD1CDA" w:rsidRDefault="00000000">
      <w:pPr>
        <w:spacing w:before="100" w:after="160" w:line="276" w:lineRule="auto"/>
      </w:pPr>
      <w:r>
        <w:t>SLIDIs are a form of Key Performance Indicator bond, and an alternative to sustainability-linked bonds. KPI bonds would de-risk cashflows for institutional investors in climate-related bonds issued to raise money for clean infrastructure buildout in EMDCs. Countries that meet specified KPIs through the implementation of enabling measures — infrastructure, regulation</w:t>
      </w:r>
      <w:proofErr w:type="gramStart"/>
      <w:r>
        <w:t>, financial guarantees —</w:t>
      </w:r>
      <w:proofErr w:type="gramEnd"/>
      <w:r>
        <w:t xml:space="preserve"> would pay lower interest rates on KPI bonds than countries that fail to meet those KPIs. The first version of this paper has been written and published </w:t>
      </w:r>
      <w:hyperlink r:id="rId18" w:history="1">
        <w:r>
          <w:rPr>
            <w:rStyle w:val="Hyperlink"/>
          </w:rPr>
          <w:t>here</w:t>
        </w:r>
      </w:hyperlink>
      <w:r>
        <w:t>.</w:t>
      </w:r>
    </w:p>
    <w:p w14:paraId="5BC4C5C6" w14:textId="77777777" w:rsidR="00FD1CDA" w:rsidRDefault="00000000">
      <w:pPr>
        <w:pStyle w:val="Heading4"/>
      </w:pPr>
      <w:r>
        <w:t>Access</w:t>
      </w:r>
    </w:p>
    <w:p w14:paraId="26E416D8" w14:textId="77777777" w:rsidR="00FD1CDA" w:rsidRDefault="00000000">
      <w:pPr>
        <w:pStyle w:val="ListParagraph"/>
        <w:numPr>
          <w:ilvl w:val="0"/>
          <w:numId w:val="1"/>
        </w:numPr>
        <w:spacing w:before="40" w:after="100" w:line="276" w:lineRule="auto"/>
      </w:pPr>
      <w:hyperlink r:id="rId19" w:history="1">
        <w:r>
          <w:rPr>
            <w:rStyle w:val="Hyperlink"/>
          </w:rPr>
          <w:t>Briefing Paper</w:t>
        </w:r>
      </w:hyperlink>
      <w:r>
        <w:rPr>
          <w:color w:val="595959"/>
        </w:rPr>
        <w:t xml:space="preserve"> (Canva)</w:t>
      </w:r>
    </w:p>
    <w:p w14:paraId="174D351D" w14:textId="77777777" w:rsidR="00FD1CDA" w:rsidRDefault="00000000">
      <w:pPr>
        <w:pStyle w:val="ListParagraph"/>
        <w:numPr>
          <w:ilvl w:val="0"/>
          <w:numId w:val="1"/>
        </w:numPr>
        <w:spacing w:before="40" w:after="100" w:line="276" w:lineRule="auto"/>
      </w:pPr>
      <w:hyperlink r:id="rId20" w:history="1">
        <w:r>
          <w:rPr>
            <w:rStyle w:val="Hyperlink"/>
          </w:rPr>
          <w:t>Long-Form Technical Paper</w:t>
        </w:r>
      </w:hyperlink>
      <w:r>
        <w:rPr>
          <w:color w:val="595959"/>
        </w:rPr>
        <w:t xml:space="preserve"> (Google Drive)</w:t>
      </w:r>
    </w:p>
    <w:p w14:paraId="07FB4872" w14:textId="77777777" w:rsidR="00FD1CDA" w:rsidRDefault="00000000">
      <w:pPr>
        <w:pStyle w:val="ListParagraph"/>
        <w:numPr>
          <w:ilvl w:val="0"/>
          <w:numId w:val="1"/>
        </w:numPr>
        <w:spacing w:before="40" w:after="100" w:line="276" w:lineRule="auto"/>
      </w:pPr>
      <w:hyperlink r:id="rId21" w:history="1">
        <w:r>
          <w:rPr>
            <w:rStyle w:val="Hyperlink"/>
          </w:rPr>
          <w:t>Published article</w:t>
        </w:r>
      </w:hyperlink>
      <w:r>
        <w:rPr>
          <w:color w:val="595959"/>
        </w:rPr>
        <w:t xml:space="preserve"> (IFC Review)</w:t>
      </w:r>
    </w:p>
    <w:p w14:paraId="4E16E5A6" w14:textId="77777777" w:rsidR="00FD1CDA" w:rsidRDefault="00000000">
      <w:pPr>
        <w:pStyle w:val="ListParagraph"/>
        <w:numPr>
          <w:ilvl w:val="0"/>
          <w:numId w:val="1"/>
        </w:numPr>
        <w:spacing w:before="40" w:after="100" w:line="276" w:lineRule="auto"/>
      </w:pPr>
      <w:r>
        <w:rPr>
          <w:color w:val="595959"/>
        </w:rPr>
        <w:t>Presentation (OneDrive).</w:t>
      </w:r>
    </w:p>
    <w:p w14:paraId="5F74FFE6" w14:textId="77777777" w:rsidR="00FD1CDA" w:rsidRDefault="00000000">
      <w:pPr>
        <w:pStyle w:val="Heading3"/>
      </w:pPr>
      <w:bookmarkStart w:id="25" w:name="_Toc241674715"/>
      <w:r>
        <w:t>Paper 8. MDB Reform and Incentives for Paris Agreement Compliance</w:t>
      </w:r>
      <w:bookmarkEnd w:id="25"/>
    </w:p>
    <w:p w14:paraId="2689F84B" w14:textId="77777777" w:rsidR="00FD1CDA" w:rsidRDefault="00000000">
      <w:pPr>
        <w:spacing w:before="100" w:after="160" w:line="276" w:lineRule="auto"/>
      </w:pPr>
      <w:r>
        <w:rPr>
          <w:b/>
          <w:bCs/>
        </w:rPr>
        <w:t xml:space="preserve">Author: </w:t>
      </w:r>
      <w:r>
        <w:t>Stephen Stretton.</w:t>
      </w:r>
    </w:p>
    <w:p w14:paraId="160711A4" w14:textId="77777777" w:rsidR="00FD1CDA" w:rsidRDefault="00000000">
      <w:pPr>
        <w:spacing w:before="100" w:after="160" w:line="276" w:lineRule="auto"/>
      </w:pPr>
      <w:r>
        <w:rPr>
          <w:b/>
          <w:bCs/>
        </w:rPr>
        <w:t xml:space="preserve">Abstract: </w:t>
      </w:r>
      <w:r>
        <w:t xml:space="preserve">This paper examines the various roles MDBs, and particularly the World Bank Group, could and should assume to scale climate action. It explores the dual role of MDBs as financial institutions and policy influencers, with a focus on the World Bank Group’s unique ability to provide both investment lending and policy-transforming support. It also addresses the Group’s involvement in the development of critical carbon market instruments. The paper identifies two key issues — scalability and policy incentives — that must be addressed to enhance the effectiveness of MDBs in achieving the goals of the Paris Agreement. The analysis spans several dimensions: the World Bank Group’s mission, its financing products, the challenges and opportunities for scaling its efforts, and the critical role it plays in creating dynamic policy incentives. We argue that the Group, given its scale and leadership position, should expand its mandate to prioritize nature protection and significantly </w:t>
      </w:r>
      <w:r>
        <w:lastRenderedPageBreak/>
        <w:t>increase climate mitigation financing. By addressing these core issues, MDBs can more effectively catalyze the global green transition and drive meaningful progress toward climate goals.</w:t>
      </w:r>
    </w:p>
    <w:p w14:paraId="283C837E" w14:textId="77777777" w:rsidR="00FD1CDA" w:rsidRDefault="00000000">
      <w:pPr>
        <w:pStyle w:val="Heading4"/>
      </w:pPr>
      <w:r>
        <w:t>Access</w:t>
      </w:r>
    </w:p>
    <w:p w14:paraId="348D341E" w14:textId="77777777" w:rsidR="00FD1CDA" w:rsidRDefault="00000000">
      <w:pPr>
        <w:pStyle w:val="ListParagraph"/>
        <w:numPr>
          <w:ilvl w:val="0"/>
          <w:numId w:val="1"/>
        </w:numPr>
        <w:spacing w:before="40" w:after="100" w:line="276" w:lineRule="auto"/>
      </w:pPr>
      <w:hyperlink r:id="rId22" w:history="1">
        <w:r>
          <w:rPr>
            <w:rStyle w:val="Hyperlink"/>
          </w:rPr>
          <w:t>Briefing Paper</w:t>
        </w:r>
      </w:hyperlink>
      <w:r>
        <w:rPr>
          <w:color w:val="595959"/>
        </w:rPr>
        <w:t xml:space="preserve"> (Canva)</w:t>
      </w:r>
    </w:p>
    <w:p w14:paraId="28153758" w14:textId="77777777" w:rsidR="00FD1CDA" w:rsidRDefault="00000000">
      <w:pPr>
        <w:pStyle w:val="ListParagraph"/>
        <w:numPr>
          <w:ilvl w:val="0"/>
          <w:numId w:val="1"/>
        </w:numPr>
        <w:spacing w:before="40" w:after="100" w:line="276" w:lineRule="auto"/>
      </w:pPr>
      <w:hyperlink r:id="rId23" w:history="1">
        <w:r>
          <w:rPr>
            <w:rStyle w:val="Hyperlink"/>
          </w:rPr>
          <w:t>Long-Form Technical Paper</w:t>
        </w:r>
      </w:hyperlink>
      <w:r>
        <w:rPr>
          <w:color w:val="595959"/>
        </w:rPr>
        <w:t xml:space="preserve"> (Google Drive)</w:t>
      </w:r>
    </w:p>
    <w:p w14:paraId="7085B2C9" w14:textId="238CFEF6" w:rsidR="00906002" w:rsidRDefault="00906002" w:rsidP="00906002">
      <w:pPr>
        <w:pStyle w:val="Heading3"/>
      </w:pPr>
      <w:bookmarkStart w:id="26" w:name="_Toc241674716"/>
      <w:r>
        <w:t xml:space="preserve">Paper </w:t>
      </w:r>
      <w:r>
        <w:t>9</w:t>
      </w:r>
      <w:r>
        <w:t>. Multi-Tiered Sustainable Infrastructure Project Portfolio Loan Guarantee System</w:t>
      </w:r>
      <w:bookmarkEnd w:id="26"/>
    </w:p>
    <w:p w14:paraId="5428CE9E" w14:textId="77777777" w:rsidR="00906002" w:rsidRDefault="00906002" w:rsidP="00906002">
      <w:pPr>
        <w:spacing w:before="100" w:after="160" w:line="276" w:lineRule="auto"/>
      </w:pPr>
      <w:r>
        <w:t>A system of multi-tiered risk protection for loan guarantees, such that the World Bank — or another multilateral institution backed by safe HDC sovereigns — can be the guarantor of last resort on loans to approved sustainable infrastructure project developers, or co-guarantor of cash flows from renewable energy Power Purchase Agreements, where those projects qualify to participate in a portfolio of sustainable infrastructure projects in participating EMDCs.</w:t>
      </w:r>
    </w:p>
    <w:p w14:paraId="3C8B5825" w14:textId="77777777" w:rsidR="00906002" w:rsidRDefault="00906002" w:rsidP="00906002">
      <w:pPr>
        <w:spacing w:before="100" w:after="160" w:line="276" w:lineRule="auto"/>
      </w:pPr>
      <w:r>
        <w:t>This system of guarantees will achieve low financing rates for sustainable infrastructure projects, with the HDC sovereigns providing only the third and last tier of loan guarantee, without being subject to first- or second-line risk. It can be achieved by a system of triple guarantees:</w:t>
      </w:r>
    </w:p>
    <w:p w14:paraId="48C147A0" w14:textId="77777777" w:rsidR="00906002" w:rsidRDefault="00906002" w:rsidP="00906002">
      <w:pPr>
        <w:pStyle w:val="ListParagraph"/>
        <w:numPr>
          <w:ilvl w:val="0"/>
          <w:numId w:val="1"/>
        </w:numPr>
        <w:spacing w:before="40" w:after="100" w:line="276" w:lineRule="auto"/>
      </w:pPr>
      <w:r>
        <w:rPr>
          <w:b/>
          <w:bCs/>
        </w:rPr>
        <w:t xml:space="preserve">First line. </w:t>
      </w:r>
      <w:r>
        <w:t>The loan guarantee is provided by the EMDC host government where the infrastructure project is located. If the project developer whose project has been approved for inclusion in the portfolio defaults on a loan, the EMDC or LDC beneficiary country government guarantees to hold lenders harmless — either directly, or by agreeing to add any defaults on loans by sustainable infrastructure projects to the country’s debt with the World Bank.</w:t>
      </w:r>
    </w:p>
    <w:p w14:paraId="39E5AA34" w14:textId="77777777" w:rsidR="00906002" w:rsidRDefault="00906002" w:rsidP="00906002">
      <w:pPr>
        <w:pStyle w:val="ListParagraph"/>
        <w:numPr>
          <w:ilvl w:val="0"/>
          <w:numId w:val="1"/>
        </w:numPr>
        <w:spacing w:before="40" w:after="100" w:line="276" w:lineRule="auto"/>
      </w:pPr>
      <w:r>
        <w:rPr>
          <w:b/>
          <w:bCs/>
        </w:rPr>
        <w:t xml:space="preserve">Second line. </w:t>
      </w:r>
      <w:r>
        <w:t>A buffer account allocated to that country within the Climate Incentives Trust (see Paper 5), with the funds in the country’s CIT account supplied from sources to be determined — for example, net income generated by equity participation in a global sustainable infrastructure portfolio, a trust fund topped up by HDC carbon taxes, the IMF’s Resilience and Sustainability Trust, or contributions from wealthy sovereigns.</w:t>
      </w:r>
    </w:p>
    <w:p w14:paraId="3ABF6801" w14:textId="77777777" w:rsidR="00906002" w:rsidRDefault="00906002" w:rsidP="00906002">
      <w:pPr>
        <w:pStyle w:val="ListParagraph"/>
        <w:numPr>
          <w:ilvl w:val="0"/>
          <w:numId w:val="1"/>
        </w:numPr>
        <w:spacing w:before="40" w:after="100" w:line="276" w:lineRule="auto"/>
      </w:pPr>
      <w:r>
        <w:rPr>
          <w:b/>
          <w:bCs/>
        </w:rPr>
        <w:t xml:space="preserve">Third line. </w:t>
      </w:r>
      <w:r>
        <w:t xml:space="preserve">Only if that buffer also fails will the World Bank, or another designated HDC-backed multilateral institution, step in to hold lenders to a defaulting portfolio project </w:t>
      </w:r>
      <w:proofErr w:type="gramStart"/>
      <w:r>
        <w:t>harmless</w:t>
      </w:r>
      <w:proofErr w:type="gramEnd"/>
      <w:r>
        <w:t>.</w:t>
      </w:r>
    </w:p>
    <w:p w14:paraId="5C05C368" w14:textId="77777777" w:rsidR="00906002" w:rsidRDefault="00906002" w:rsidP="00906002">
      <w:pPr>
        <w:spacing w:before="100" w:after="160" w:line="276" w:lineRule="auto"/>
      </w:pPr>
      <w:r>
        <w:t xml:space="preserve">In that way, the World Bank or HDC sovereigns can mobilize their AAA ratings as a third line of defense, leading to lower capital costs for participating project developers, even as HDC sovereigns remain well protected against exposure to defaults. The World Bank or rich sovereigns would only be subject to a final </w:t>
      </w:r>
      <w:proofErr w:type="gramStart"/>
      <w:r>
        <w:t>tier</w:t>
      </w:r>
      <w:proofErr w:type="gramEnd"/>
      <w:r>
        <w:t xml:space="preserve"> of financial risk if the first and second buffers were exhausted.</w:t>
      </w:r>
    </w:p>
    <w:p w14:paraId="3D1D5F50" w14:textId="77777777" w:rsidR="00906002" w:rsidRDefault="00906002">
      <w:pPr>
        <w:rPr>
          <w:b/>
          <w:bCs/>
          <w:sz w:val="23"/>
          <w:szCs w:val="23"/>
        </w:rPr>
      </w:pPr>
      <w:r>
        <w:rPr>
          <w:sz w:val="23"/>
          <w:szCs w:val="23"/>
        </w:rPr>
        <w:br w:type="page"/>
      </w:r>
    </w:p>
    <w:p w14:paraId="64264CD6" w14:textId="2507F3B6" w:rsidR="00906002" w:rsidRPr="00906002" w:rsidRDefault="00906002" w:rsidP="00B50FDE">
      <w:pPr>
        <w:pStyle w:val="Heading3"/>
      </w:pPr>
      <w:bookmarkStart w:id="27" w:name="_Toc241674717"/>
      <w:r w:rsidRPr="00906002">
        <w:lastRenderedPageBreak/>
        <w:t xml:space="preserve">Paper </w:t>
      </w:r>
      <w:r w:rsidRPr="00906002">
        <w:t>10</w:t>
      </w:r>
      <w:r w:rsidRPr="00906002">
        <w:t>. 100 Percent Clean Energy Transition Program Assistance</w:t>
      </w:r>
      <w:bookmarkEnd w:id="27"/>
    </w:p>
    <w:p w14:paraId="2C5EA8B3" w14:textId="77777777" w:rsidR="00906002" w:rsidRDefault="00906002" w:rsidP="00906002">
      <w:pPr>
        <w:spacing w:before="100" w:after="160" w:line="276" w:lineRule="auto"/>
      </w:pPr>
      <w:r>
        <w:t>We will consider whether the World Bank, working with other international institutions such as the International Renewable Energy Agency (IRENA) and the International Solar Alliance (ISA), could make a standard offer of comprehensive assistance to any country willing to embark on a rapid transition to a nearly 100 percent clean energy economy and low-cost energy abundance — or even beyond that, to clean energy abundance and net negative CO₂ emissions, in the context of future mid-century global demand for several billion tons per year of carbon dioxide removal to offset residual fossil fuel use.</w:t>
      </w:r>
    </w:p>
    <w:p w14:paraId="467AB7A3" w14:textId="77777777" w:rsidR="00906002" w:rsidRDefault="00906002" w:rsidP="00906002">
      <w:pPr>
        <w:spacing w:before="100" w:after="160" w:line="276" w:lineRule="auto"/>
      </w:pPr>
      <w:r>
        <w:t xml:space="preserve">This paper will survey effective </w:t>
      </w:r>
      <w:r>
        <w:rPr>
          <w:i/>
          <w:iCs/>
        </w:rPr>
        <w:t>pathways</w:t>
      </w:r>
      <w:r>
        <w:t xml:space="preserve"> and the physical, regulatory, and financial </w:t>
      </w:r>
      <w:r>
        <w:rPr>
          <w:i/>
          <w:iCs/>
        </w:rPr>
        <w:t>enabling conditions</w:t>
      </w:r>
      <w:r>
        <w:t xml:space="preserve"> for organizing and financing the green infrastructure supply chain in developing countries. Country-scale clean energy transitions will entail providing concessional financing in exchange for EMDCs’ adoption of enabling conditions for clean energy buildout and fossil energy ramp-down. These enabling conditions include:</w:t>
      </w:r>
    </w:p>
    <w:p w14:paraId="6CE3D588" w14:textId="77777777" w:rsidR="00906002" w:rsidRDefault="00906002" w:rsidP="00906002">
      <w:pPr>
        <w:pStyle w:val="ListParagraph"/>
        <w:numPr>
          <w:ilvl w:val="0"/>
          <w:numId w:val="1"/>
        </w:numPr>
        <w:spacing w:before="40" w:after="100" w:line="276" w:lineRule="auto"/>
      </w:pPr>
      <w:r>
        <w:rPr>
          <w:b/>
          <w:bCs/>
        </w:rPr>
        <w:t xml:space="preserve">Physical infrastructure </w:t>
      </w:r>
      <w:r>
        <w:t>— for example, power transmission and distribution network expansion.</w:t>
      </w:r>
    </w:p>
    <w:p w14:paraId="7B83C321" w14:textId="77777777" w:rsidR="00906002" w:rsidRDefault="00906002" w:rsidP="00906002">
      <w:pPr>
        <w:pStyle w:val="ListParagraph"/>
        <w:numPr>
          <w:ilvl w:val="0"/>
          <w:numId w:val="1"/>
        </w:numPr>
        <w:spacing w:before="40" w:after="100" w:line="276" w:lineRule="auto"/>
      </w:pPr>
      <w:r>
        <w:rPr>
          <w:b/>
          <w:bCs/>
        </w:rPr>
        <w:t xml:space="preserve">Enabling regulations </w:t>
      </w:r>
      <w:r>
        <w:t>— for example, power purchase agreement frameworks and renewable energy feed-in tariffs, speedy project approval processes, and rules governing land availability for utility-scale solar power projects.</w:t>
      </w:r>
    </w:p>
    <w:p w14:paraId="08E1CB98" w14:textId="77777777" w:rsidR="00906002" w:rsidRDefault="00906002" w:rsidP="00906002">
      <w:pPr>
        <w:pStyle w:val="ListParagraph"/>
        <w:numPr>
          <w:ilvl w:val="0"/>
          <w:numId w:val="1"/>
        </w:numPr>
        <w:spacing w:before="40" w:after="100" w:line="276" w:lineRule="auto"/>
      </w:pPr>
      <w:r>
        <w:rPr>
          <w:b/>
          <w:bCs/>
        </w:rPr>
        <w:t xml:space="preserve">Financial incentives </w:t>
      </w:r>
      <w:r>
        <w:t>— for example, tax breaks, carbon taxes, and low-cost financing of clean energy and other sustainable infrastructure projects via national development banks.</w:t>
      </w:r>
    </w:p>
    <w:p w14:paraId="594C2A68" w14:textId="77777777" w:rsidR="00906002" w:rsidRDefault="00906002" w:rsidP="00906002">
      <w:pPr>
        <w:spacing w:before="100" w:after="160" w:line="276" w:lineRule="auto"/>
      </w:pPr>
      <w:r>
        <w:t>The World Bank’s Energy Sector Management Assistance Program (ESMAP) is already engaged in advising EMDCs along these lines, albeit not yet in the development of comprehensive country-scale transitions to post-fossil-fuel energy abundance, or of net carbon dioxide removal operations. ESMAP’s remit could be expanded to encompass advising countries on such comprehensive transitions.</w:t>
      </w:r>
    </w:p>
    <w:p w14:paraId="50F8F9A5" w14:textId="173FAAA7" w:rsidR="00FD1CDA" w:rsidRDefault="00FD1CDA"/>
    <w:sectPr w:rsidR="00FD1CDA">
      <w:footerReference w:type="even" r:id="rId24"/>
      <w:footerReference w:type="default" r:id="rId25"/>
      <w:footerReference w:type="first" r:id="rId26"/>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3FFAA" w14:textId="77777777" w:rsidR="00D720E3" w:rsidRDefault="00D720E3">
      <w:r>
        <w:separator/>
      </w:r>
    </w:p>
  </w:endnote>
  <w:endnote w:type="continuationSeparator" w:id="0">
    <w:p w14:paraId="21C911C3" w14:textId="77777777" w:rsidR="00D720E3" w:rsidRDefault="00D720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2BBDF" w14:textId="29B644A8" w:rsidR="00906002" w:rsidRDefault="00906002">
    <w:pPr>
      <w:pStyle w:val="Footer"/>
    </w:pPr>
    <w:r>
      <w:rPr>
        <w:noProof/>
      </w:rPr>
      <mc:AlternateContent>
        <mc:Choice Requires="wps">
          <w:drawing>
            <wp:anchor distT="0" distB="0" distL="0" distR="0" simplePos="0" relativeHeight="251659264" behindDoc="0" locked="0" layoutInCell="1" allowOverlap="1" wp14:anchorId="5074BD31" wp14:editId="5D5340D1">
              <wp:simplePos x="635" y="635"/>
              <wp:positionH relativeFrom="page">
                <wp:align>right</wp:align>
              </wp:positionH>
              <wp:positionV relativeFrom="page">
                <wp:align>bottom</wp:align>
              </wp:positionV>
              <wp:extent cx="1172210" cy="345440"/>
              <wp:effectExtent l="0" t="0" r="0" b="0"/>
              <wp:wrapNone/>
              <wp:docPr id="227413887"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7A7DD03D" w14:textId="47AAAC32"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074BD31" id="_x0000_t202" coordsize="21600,21600" o:spt="202" path="m,l,21600r21600,l21600,xe">
              <v:stroke joinstyle="miter"/>
              <v:path gradientshapeok="t" o:connecttype="rect"/>
            </v:shapetype>
            <v:shape id="Text Box 2" o:spid="_x0000_s1026" type="#_x0000_t202" alt="Official Use Only" style="position:absolute;margin-left:41.1pt;margin-top:0;width:92.3pt;height:27.2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" filled="f" stroked="f">
              <v:fill o:detectmouseclick="t"/>
              <v:textbox style="mso-fit-shape-to-text:t" inset="0,0,20pt,15pt">
                <w:txbxContent>
                  <w:p w14:paraId="7A7DD03D" w14:textId="47AAAC32"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1CFA5" w14:textId="09DB1A56" w:rsidR="00FD1CDA" w:rsidRDefault="00906002">
    <w:pPr>
      <w:jc w:val="center"/>
    </w:pPr>
    <w:r>
      <w:rPr>
        <w:noProof/>
        <w:color w:val="808080"/>
        <w:sz w:val="18"/>
        <w:szCs w:val="18"/>
      </w:rPr>
      <mc:AlternateContent>
        <mc:Choice Requires="wps">
          <w:drawing>
            <wp:anchor distT="0" distB="0" distL="0" distR="0" simplePos="0" relativeHeight="251660288" behindDoc="0" locked="0" layoutInCell="1" allowOverlap="1" wp14:anchorId="358E1C80" wp14:editId="0638B408">
              <wp:simplePos x="1009650" y="9467850"/>
              <wp:positionH relativeFrom="page">
                <wp:align>right</wp:align>
              </wp:positionH>
              <wp:positionV relativeFrom="page">
                <wp:align>bottom</wp:align>
              </wp:positionV>
              <wp:extent cx="1172210" cy="345440"/>
              <wp:effectExtent l="0" t="0" r="0" b="0"/>
              <wp:wrapNone/>
              <wp:docPr id="194956296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0F1DDCBA" w14:textId="07A98E56"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58E1C80"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7.2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" filled="f" stroked="f">
              <v:fill o:detectmouseclick="t"/>
              <v:textbox style="mso-fit-shape-to-text:t" inset="0,0,20pt,15pt">
                <w:txbxContent>
                  <w:p w14:paraId="0F1DDCBA" w14:textId="07A98E56"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r w:rsidR="00000000">
      <w:rPr>
        <w:color w:val="808080"/>
        <w:sz w:val="18"/>
        <w:szCs w:val="18"/>
      </w:rPr>
      <w:fldChar w:fldCharType="begin"/>
    </w:r>
    <w:r w:rsidR="00000000">
      <w:rPr>
        <w:color w:val="808080"/>
        <w:sz w:val="18"/>
        <w:szCs w:val="18"/>
      </w:rPr>
      <w:instrText>PAGE</w:instrText>
    </w:r>
    <w:r w:rsidR="00000000">
      <w:rPr>
        <w:color w:val="808080"/>
        <w:sz w:val="18"/>
        <w:szCs w:val="18"/>
      </w:rPr>
      <w:fldChar w:fldCharType="separate"/>
    </w:r>
    <w:r w:rsidR="00AA3378">
      <w:rPr>
        <w:noProof/>
        <w:color w:val="808080"/>
        <w:sz w:val="18"/>
        <w:szCs w:val="18"/>
      </w:rPr>
      <w:t>1</w:t>
    </w:r>
    <w:r w:rsidR="00000000">
      <w:rPr>
        <w:color w:val="8080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9187C" w14:textId="79318ACC" w:rsidR="00906002" w:rsidRDefault="00906002">
    <w:pPr>
      <w:pStyle w:val="Footer"/>
    </w:pPr>
    <w:r>
      <w:rPr>
        <w:noProof/>
      </w:rPr>
      <mc:AlternateContent>
        <mc:Choice Requires="wps">
          <w:drawing>
            <wp:anchor distT="0" distB="0" distL="0" distR="0" simplePos="0" relativeHeight="251658240" behindDoc="0" locked="0" layoutInCell="1" allowOverlap="1" wp14:anchorId="7CA6B821" wp14:editId="72971480">
              <wp:simplePos x="635" y="635"/>
              <wp:positionH relativeFrom="page">
                <wp:align>right</wp:align>
              </wp:positionH>
              <wp:positionV relativeFrom="page">
                <wp:align>bottom</wp:align>
              </wp:positionV>
              <wp:extent cx="1172210" cy="345440"/>
              <wp:effectExtent l="0" t="0" r="0" b="0"/>
              <wp:wrapNone/>
              <wp:docPr id="105955919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45440"/>
                      </a:xfrm>
                      <a:prstGeom prst="rect">
                        <a:avLst/>
                      </a:prstGeom>
                      <a:noFill/>
                      <a:ln>
                        <a:noFill/>
                      </a:ln>
                    </wps:spPr>
                    <wps:txbx>
                      <w:txbxContent>
                        <w:p w14:paraId="6500EF27" w14:textId="6FE3A61F"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CA6B821" id="_x0000_t202" coordsize="21600,21600" o:spt="202" path="m,l,21600r21600,l21600,xe">
              <v:stroke joinstyle="miter"/>
              <v:path gradientshapeok="t" o:connecttype="rect"/>
            </v:shapetype>
            <v:shape id="Text Box 1" o:spid="_x0000_s1028" type="#_x0000_t202" alt="Official Use Only" style="position:absolute;margin-left:41.1pt;margin-top:0;width:92.3pt;height:27.2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" filled="f" stroked="f">
              <v:fill o:detectmouseclick="t"/>
              <v:textbox style="mso-fit-shape-to-text:t" inset="0,0,20pt,15pt">
                <w:txbxContent>
                  <w:p w14:paraId="6500EF27" w14:textId="6FE3A61F" w:rsidR="00906002" w:rsidRPr="00906002" w:rsidRDefault="00906002" w:rsidP="00906002">
                    <w:pPr>
                      <w:rPr>
                        <w:rFonts w:ascii="Aptos" w:eastAsia="Aptos" w:hAnsi="Aptos" w:cs="Aptos"/>
                        <w:noProof/>
                        <w:color w:val="000000"/>
                        <w:sz w:val="20"/>
                        <w:szCs w:val="20"/>
                      </w:rPr>
                    </w:pPr>
                    <w:r w:rsidRPr="00906002">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A417BB" w14:textId="77777777" w:rsidR="00D720E3" w:rsidRDefault="00D720E3">
      <w:r>
        <w:separator/>
      </w:r>
    </w:p>
  </w:footnote>
  <w:footnote w:type="continuationSeparator" w:id="0">
    <w:p w14:paraId="04B7C68D" w14:textId="77777777" w:rsidR="00D720E3" w:rsidRDefault="00D720E3">
      <w:r>
        <w:continuationSeparator/>
      </w:r>
    </w:p>
  </w:footnote>
  <w:footnote w:id="1">
    <w:p w14:paraId="37727693" w14:textId="77777777" w:rsidR="00FD1CDA" w:rsidRDefault="00000000">
      <w:r>
        <w:rPr>
          <w:rStyle w:val="FootnoteReference"/>
        </w:rPr>
        <w:footnoteRef/>
      </w:r>
      <w:r>
        <w:t>SECI is a specialized Indian federal government agency which plays a multi-faceted role in driving development of renewable energy projects throughout India. Among other roles, SECI, whose ultimate financial backer is the Government of India, acts as an intermediary between renewable energy providers (e.g., private or state-owned companies operating utility-scale solar photovoltaic power plants and associated energy storage capacity) and wholesale electricity purchasers (in India’s case, electricity distribution companies, or "Discoms").</w:t>
      </w:r>
    </w:p>
  </w:footnote>
  <w:footnote w:id="2">
    <w:p w14:paraId="3D3BB820" w14:textId="77777777" w:rsidR="00FD1CDA" w:rsidRDefault="00000000">
      <w:r>
        <w:rPr>
          <w:rStyle w:val="FootnoteReference"/>
        </w:rPr>
        <w:footnoteRef/>
      </w:r>
      <w:r>
        <w:t xml:space="preserve">This relates to the idea of a ‘climate </w:t>
      </w:r>
      <w:proofErr w:type="gramStart"/>
      <w:r>
        <w:t>club’.</w:t>
      </w:r>
      <w:proofErr w:type="gramEnd"/>
    </w:p>
  </w:footnote>
  <w:footnote w:id="3">
    <w:p w14:paraId="37136B7B" w14:textId="77777777" w:rsidR="00FD1CDA" w:rsidRDefault="00000000">
      <w:r>
        <w:rPr>
          <w:rStyle w:val="FootnoteReference"/>
        </w:rPr>
        <w:footnoteRef/>
      </w:r>
      <w:r>
        <w:t>There would be some contingent liabilities created, but these would be limited and of the form of countries indemnifying their own policy commitments.</w:t>
      </w:r>
    </w:p>
  </w:footnote>
  <w:footnote w:id="4">
    <w:p w14:paraId="7F0F2EF0" w14:textId="77777777" w:rsidR="00FD1CDA" w:rsidRDefault="00000000">
      <w:r>
        <w:rPr>
          <w:rStyle w:val="FootnoteReference"/>
        </w:rPr>
        <w:footnoteRef/>
      </w:r>
      <w:r>
        <w:t>The associated proposal for comprehensive country-scale transition assistance is set out in full in Appendix B.</w:t>
      </w:r>
    </w:p>
  </w:footnote>
  <w:footnote w:id="5">
    <w:p w14:paraId="0488A48D" w14:textId="77777777" w:rsidR="00FD1CDA" w:rsidRDefault="00000000">
      <w:r>
        <w:rPr>
          <w:rStyle w:val="FootnoteReference"/>
        </w:rPr>
        <w:footnoteRef/>
      </w:r>
      <w:r>
        <w:t>The three-tier guarantee structure is set out in full in Appendix 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219F0"/>
    <w:multiLevelType w:val="multilevel"/>
    <w:tmpl w:val="8FA2A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12D02"/>
    <w:multiLevelType w:val="hybridMultilevel"/>
    <w:tmpl w:val="DD2C6DA8"/>
    <w:lvl w:ilvl="0" w:tplc="5F583F8C">
      <w:start w:val="1"/>
      <w:numFmt w:val="decimal"/>
      <w:lvlText w:val="%1)"/>
      <w:lvlJc w:val="left"/>
      <w:pPr>
        <w:ind w:left="576" w:hanging="360"/>
      </w:pPr>
    </w:lvl>
    <w:lvl w:ilvl="1" w:tplc="275EB17A">
      <w:numFmt w:val="decimal"/>
      <w:lvlText w:val=""/>
      <w:lvlJc w:val="left"/>
    </w:lvl>
    <w:lvl w:ilvl="2" w:tplc="4C58618C">
      <w:numFmt w:val="decimal"/>
      <w:lvlText w:val=""/>
      <w:lvlJc w:val="left"/>
    </w:lvl>
    <w:lvl w:ilvl="3" w:tplc="9B3E35B0">
      <w:numFmt w:val="decimal"/>
      <w:lvlText w:val=""/>
      <w:lvlJc w:val="left"/>
    </w:lvl>
    <w:lvl w:ilvl="4" w:tplc="0C965022">
      <w:numFmt w:val="decimal"/>
      <w:lvlText w:val=""/>
      <w:lvlJc w:val="left"/>
    </w:lvl>
    <w:lvl w:ilvl="5" w:tplc="B47ECE2C">
      <w:numFmt w:val="decimal"/>
      <w:lvlText w:val=""/>
      <w:lvlJc w:val="left"/>
    </w:lvl>
    <w:lvl w:ilvl="6" w:tplc="FA6470BA">
      <w:numFmt w:val="decimal"/>
      <w:lvlText w:val=""/>
      <w:lvlJc w:val="left"/>
    </w:lvl>
    <w:lvl w:ilvl="7" w:tplc="F42E5408">
      <w:numFmt w:val="decimal"/>
      <w:lvlText w:val=""/>
      <w:lvlJc w:val="left"/>
    </w:lvl>
    <w:lvl w:ilvl="8" w:tplc="0C2692B6">
      <w:numFmt w:val="decimal"/>
      <w:lvlText w:val=""/>
      <w:lvlJc w:val="left"/>
    </w:lvl>
  </w:abstractNum>
  <w:abstractNum w:abstractNumId="2" w15:restartNumberingAfterBreak="0">
    <w:nsid w:val="0E237E59"/>
    <w:multiLevelType w:val="multilevel"/>
    <w:tmpl w:val="DDD61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8C331D"/>
    <w:multiLevelType w:val="hybridMultilevel"/>
    <w:tmpl w:val="25A82316"/>
    <w:lvl w:ilvl="0" w:tplc="5A7259DE">
      <w:start w:val="1"/>
      <w:numFmt w:val="lowerLetter"/>
      <w:lvlText w:val="%1)"/>
      <w:lvlJc w:val="left"/>
      <w:pPr>
        <w:ind w:left="576" w:hanging="360"/>
      </w:pPr>
    </w:lvl>
    <w:lvl w:ilvl="1" w:tplc="26EC948E">
      <w:numFmt w:val="decimal"/>
      <w:lvlText w:val=""/>
      <w:lvlJc w:val="left"/>
    </w:lvl>
    <w:lvl w:ilvl="2" w:tplc="B03EA76A">
      <w:numFmt w:val="decimal"/>
      <w:lvlText w:val=""/>
      <w:lvlJc w:val="left"/>
    </w:lvl>
    <w:lvl w:ilvl="3" w:tplc="1F54410E">
      <w:numFmt w:val="decimal"/>
      <w:lvlText w:val=""/>
      <w:lvlJc w:val="left"/>
    </w:lvl>
    <w:lvl w:ilvl="4" w:tplc="0DFE4C66">
      <w:numFmt w:val="decimal"/>
      <w:lvlText w:val=""/>
      <w:lvlJc w:val="left"/>
    </w:lvl>
    <w:lvl w:ilvl="5" w:tplc="37CE2D22">
      <w:numFmt w:val="decimal"/>
      <w:lvlText w:val=""/>
      <w:lvlJc w:val="left"/>
    </w:lvl>
    <w:lvl w:ilvl="6" w:tplc="C2C6DEBA">
      <w:numFmt w:val="decimal"/>
      <w:lvlText w:val=""/>
      <w:lvlJc w:val="left"/>
    </w:lvl>
    <w:lvl w:ilvl="7" w:tplc="1AF6C258">
      <w:numFmt w:val="decimal"/>
      <w:lvlText w:val=""/>
      <w:lvlJc w:val="left"/>
    </w:lvl>
    <w:lvl w:ilvl="8" w:tplc="4BC8CC72">
      <w:numFmt w:val="decimal"/>
      <w:lvlText w:val=""/>
      <w:lvlJc w:val="left"/>
    </w:lvl>
  </w:abstractNum>
  <w:abstractNum w:abstractNumId="4" w15:restartNumberingAfterBreak="0">
    <w:nsid w:val="24C54DD1"/>
    <w:multiLevelType w:val="multilevel"/>
    <w:tmpl w:val="11CAB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E26614"/>
    <w:multiLevelType w:val="multilevel"/>
    <w:tmpl w:val="A82E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F048C"/>
    <w:multiLevelType w:val="multilevel"/>
    <w:tmpl w:val="256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866043"/>
    <w:multiLevelType w:val="multilevel"/>
    <w:tmpl w:val="57BE9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5632E"/>
    <w:multiLevelType w:val="multilevel"/>
    <w:tmpl w:val="44B6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458BD"/>
    <w:multiLevelType w:val="hybridMultilevel"/>
    <w:tmpl w:val="4766786E"/>
    <w:lvl w:ilvl="0" w:tplc="7A2C901C">
      <w:start w:val="1"/>
      <w:numFmt w:val="decimal"/>
      <w:lvlText w:val="%1."/>
      <w:lvlJc w:val="left"/>
      <w:pPr>
        <w:ind w:left="576" w:hanging="360"/>
      </w:pPr>
    </w:lvl>
    <w:lvl w:ilvl="1" w:tplc="07F479E8">
      <w:numFmt w:val="decimal"/>
      <w:lvlText w:val=""/>
      <w:lvlJc w:val="left"/>
    </w:lvl>
    <w:lvl w:ilvl="2" w:tplc="21DEA87A">
      <w:numFmt w:val="decimal"/>
      <w:lvlText w:val=""/>
      <w:lvlJc w:val="left"/>
    </w:lvl>
    <w:lvl w:ilvl="3" w:tplc="E71252AC">
      <w:numFmt w:val="decimal"/>
      <w:lvlText w:val=""/>
      <w:lvlJc w:val="left"/>
    </w:lvl>
    <w:lvl w:ilvl="4" w:tplc="E0D4C1D4">
      <w:numFmt w:val="decimal"/>
      <w:lvlText w:val=""/>
      <w:lvlJc w:val="left"/>
    </w:lvl>
    <w:lvl w:ilvl="5" w:tplc="72F23366">
      <w:numFmt w:val="decimal"/>
      <w:lvlText w:val=""/>
      <w:lvlJc w:val="left"/>
    </w:lvl>
    <w:lvl w:ilvl="6" w:tplc="25440D7A">
      <w:numFmt w:val="decimal"/>
      <w:lvlText w:val=""/>
      <w:lvlJc w:val="left"/>
    </w:lvl>
    <w:lvl w:ilvl="7" w:tplc="49FE16BA">
      <w:numFmt w:val="decimal"/>
      <w:lvlText w:val=""/>
      <w:lvlJc w:val="left"/>
    </w:lvl>
    <w:lvl w:ilvl="8" w:tplc="4B6E519E">
      <w:numFmt w:val="decimal"/>
      <w:lvlText w:val=""/>
      <w:lvlJc w:val="left"/>
    </w:lvl>
  </w:abstractNum>
  <w:abstractNum w:abstractNumId="10" w15:restartNumberingAfterBreak="0">
    <w:nsid w:val="68CB7906"/>
    <w:multiLevelType w:val="multilevel"/>
    <w:tmpl w:val="3C72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CF74FD"/>
    <w:multiLevelType w:val="hybridMultilevel"/>
    <w:tmpl w:val="B13E485E"/>
    <w:lvl w:ilvl="0" w:tplc="9950FB4C">
      <w:start w:val="1"/>
      <w:numFmt w:val="decimal"/>
      <w:lvlText w:val="%1."/>
      <w:lvlJc w:val="left"/>
      <w:pPr>
        <w:ind w:left="576" w:hanging="360"/>
      </w:pPr>
    </w:lvl>
    <w:lvl w:ilvl="1" w:tplc="5F829A72">
      <w:numFmt w:val="decimal"/>
      <w:lvlText w:val=""/>
      <w:lvlJc w:val="left"/>
    </w:lvl>
    <w:lvl w:ilvl="2" w:tplc="B2D05790">
      <w:numFmt w:val="decimal"/>
      <w:lvlText w:val=""/>
      <w:lvlJc w:val="left"/>
    </w:lvl>
    <w:lvl w:ilvl="3" w:tplc="AD46E8B8">
      <w:numFmt w:val="decimal"/>
      <w:lvlText w:val=""/>
      <w:lvlJc w:val="left"/>
    </w:lvl>
    <w:lvl w:ilvl="4" w:tplc="940E59AA">
      <w:numFmt w:val="decimal"/>
      <w:lvlText w:val=""/>
      <w:lvlJc w:val="left"/>
    </w:lvl>
    <w:lvl w:ilvl="5" w:tplc="518AAC12">
      <w:numFmt w:val="decimal"/>
      <w:lvlText w:val=""/>
      <w:lvlJc w:val="left"/>
    </w:lvl>
    <w:lvl w:ilvl="6" w:tplc="B538A0B0">
      <w:numFmt w:val="decimal"/>
      <w:lvlText w:val=""/>
      <w:lvlJc w:val="left"/>
    </w:lvl>
    <w:lvl w:ilvl="7" w:tplc="03DEADCA">
      <w:numFmt w:val="decimal"/>
      <w:lvlText w:val=""/>
      <w:lvlJc w:val="left"/>
    </w:lvl>
    <w:lvl w:ilvl="8" w:tplc="B3BCE5E6">
      <w:numFmt w:val="decimal"/>
      <w:lvlText w:val=""/>
      <w:lvlJc w:val="left"/>
    </w:lvl>
  </w:abstractNum>
  <w:abstractNum w:abstractNumId="12" w15:restartNumberingAfterBreak="0">
    <w:nsid w:val="77943407"/>
    <w:multiLevelType w:val="hybridMultilevel"/>
    <w:tmpl w:val="3B047EDC"/>
    <w:lvl w:ilvl="0" w:tplc="54F2424C">
      <w:start w:val="1"/>
      <w:numFmt w:val="bullet"/>
      <w:lvlText w:val="●"/>
      <w:lvlJc w:val="left"/>
      <w:pPr>
        <w:ind w:left="720" w:hanging="360"/>
      </w:pPr>
    </w:lvl>
    <w:lvl w:ilvl="1" w:tplc="C3F4FA10">
      <w:start w:val="1"/>
      <w:numFmt w:val="bullet"/>
      <w:lvlText w:val="○"/>
      <w:lvlJc w:val="left"/>
      <w:pPr>
        <w:ind w:left="1440" w:hanging="360"/>
      </w:pPr>
    </w:lvl>
    <w:lvl w:ilvl="2" w:tplc="E22091A0">
      <w:start w:val="1"/>
      <w:numFmt w:val="bullet"/>
      <w:lvlText w:val="■"/>
      <w:lvlJc w:val="left"/>
      <w:pPr>
        <w:ind w:left="2160" w:hanging="360"/>
      </w:pPr>
    </w:lvl>
    <w:lvl w:ilvl="3" w:tplc="52A4F1C4">
      <w:start w:val="1"/>
      <w:numFmt w:val="bullet"/>
      <w:lvlText w:val="●"/>
      <w:lvlJc w:val="left"/>
      <w:pPr>
        <w:ind w:left="2880" w:hanging="360"/>
      </w:pPr>
    </w:lvl>
    <w:lvl w:ilvl="4" w:tplc="832C96BA">
      <w:start w:val="1"/>
      <w:numFmt w:val="bullet"/>
      <w:lvlText w:val="○"/>
      <w:lvlJc w:val="left"/>
      <w:pPr>
        <w:ind w:left="3600" w:hanging="360"/>
      </w:pPr>
    </w:lvl>
    <w:lvl w:ilvl="5" w:tplc="FD926084">
      <w:start w:val="1"/>
      <w:numFmt w:val="bullet"/>
      <w:lvlText w:val="■"/>
      <w:lvlJc w:val="left"/>
      <w:pPr>
        <w:ind w:left="4320" w:hanging="360"/>
      </w:pPr>
    </w:lvl>
    <w:lvl w:ilvl="6" w:tplc="3A5E7D92">
      <w:start w:val="1"/>
      <w:numFmt w:val="bullet"/>
      <w:lvlText w:val="●"/>
      <w:lvlJc w:val="left"/>
      <w:pPr>
        <w:ind w:left="5040" w:hanging="360"/>
      </w:pPr>
    </w:lvl>
    <w:lvl w:ilvl="7" w:tplc="BD52A358">
      <w:start w:val="1"/>
      <w:numFmt w:val="bullet"/>
      <w:lvlText w:val="●"/>
      <w:lvlJc w:val="left"/>
      <w:pPr>
        <w:ind w:left="5760" w:hanging="360"/>
      </w:pPr>
    </w:lvl>
    <w:lvl w:ilvl="8" w:tplc="16F62448">
      <w:start w:val="1"/>
      <w:numFmt w:val="bullet"/>
      <w:lvlText w:val="●"/>
      <w:lvlJc w:val="left"/>
      <w:pPr>
        <w:ind w:left="6480" w:hanging="360"/>
      </w:pPr>
    </w:lvl>
  </w:abstractNum>
  <w:abstractNum w:abstractNumId="13" w15:restartNumberingAfterBreak="0">
    <w:nsid w:val="7863477E"/>
    <w:multiLevelType w:val="multilevel"/>
    <w:tmpl w:val="F550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144992">
    <w:abstractNumId w:val="12"/>
    <w:lvlOverride w:ilvl="0">
      <w:startOverride w:val="1"/>
    </w:lvlOverride>
  </w:num>
  <w:num w:numId="2" w16cid:durableId="69157853">
    <w:abstractNumId w:val="3"/>
    <w:lvlOverride w:ilvl="0">
      <w:startOverride w:val="1"/>
    </w:lvlOverride>
  </w:num>
  <w:num w:numId="3" w16cid:durableId="597249065">
    <w:abstractNumId w:val="1"/>
    <w:lvlOverride w:ilvl="0">
      <w:startOverride w:val="1"/>
    </w:lvlOverride>
  </w:num>
  <w:num w:numId="4" w16cid:durableId="642274129">
    <w:abstractNumId w:val="9"/>
    <w:lvlOverride w:ilvl="0">
      <w:startOverride w:val="1"/>
    </w:lvlOverride>
  </w:num>
  <w:num w:numId="5" w16cid:durableId="1929848029">
    <w:abstractNumId w:val="11"/>
    <w:lvlOverride w:ilvl="0">
      <w:startOverride w:val="1"/>
    </w:lvlOverride>
  </w:num>
  <w:num w:numId="6" w16cid:durableId="339087277">
    <w:abstractNumId w:val="10"/>
  </w:num>
  <w:num w:numId="7" w16cid:durableId="1840924828">
    <w:abstractNumId w:val="4"/>
  </w:num>
  <w:num w:numId="8" w16cid:durableId="131288711">
    <w:abstractNumId w:val="8"/>
  </w:num>
  <w:num w:numId="9" w16cid:durableId="643313575">
    <w:abstractNumId w:val="6"/>
  </w:num>
  <w:num w:numId="10" w16cid:durableId="1031877915">
    <w:abstractNumId w:val="7"/>
  </w:num>
  <w:num w:numId="11" w16cid:durableId="1280262271">
    <w:abstractNumId w:val="0"/>
  </w:num>
  <w:num w:numId="12" w16cid:durableId="622155421">
    <w:abstractNumId w:val="13"/>
  </w:num>
  <w:num w:numId="13" w16cid:durableId="1866749882">
    <w:abstractNumId w:val="2"/>
  </w:num>
  <w:num w:numId="14" w16cid:durableId="20813202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1CDA"/>
    <w:rsid w:val="00906002"/>
    <w:rsid w:val="00A45799"/>
    <w:rsid w:val="00AA3378"/>
    <w:rsid w:val="00B34E76"/>
    <w:rsid w:val="00B50FDE"/>
    <w:rsid w:val="00BD0C27"/>
    <w:rsid w:val="00D720E3"/>
    <w:rsid w:val="00FD1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62401"/>
  <w15:docId w15:val="{C90DC564-0FE3-4B15-B8E4-6EE1E3323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20" w:after="160"/>
      <w:outlineLvl w:val="1"/>
    </w:pPr>
    <w:rPr>
      <w:b/>
      <w:bCs/>
      <w:color w:val="2E5496"/>
      <w:sz w:val="26"/>
      <w:szCs w:val="26"/>
    </w:rPr>
  </w:style>
  <w:style w:type="paragraph" w:styleId="Heading3">
    <w:name w:val="heading 3"/>
    <w:uiPriority w:val="9"/>
    <w:unhideWhenUsed/>
    <w:qFormat/>
    <w:pPr>
      <w:spacing w:before="280" w:after="140"/>
      <w:outlineLvl w:val="2"/>
    </w:pPr>
    <w:rPr>
      <w:b/>
      <w:bCs/>
      <w:sz w:val="23"/>
      <w:szCs w:val="23"/>
    </w:rPr>
  </w:style>
  <w:style w:type="paragraph" w:styleId="Heading4">
    <w:name w:val="heading 4"/>
    <w:uiPriority w:val="9"/>
    <w:unhideWhenUsed/>
    <w:qFormat/>
    <w:pPr>
      <w:spacing w:before="240" w:after="120"/>
      <w:outlineLvl w:val="3"/>
    </w:pPr>
    <w:rPr>
      <w:b/>
      <w:bCs/>
      <w:i/>
      <w:iCs/>
      <w:color w:val="40404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DocTitle">
    <w:name w:val="Doc Title"/>
    <w:qFormat/>
    <w:pPr>
      <w:spacing w:after="120"/>
    </w:pPr>
    <w:rPr>
      <w:b/>
      <w:bCs/>
      <w:color w:val="1F3864"/>
      <w:sz w:val="48"/>
      <w:szCs w:val="48"/>
    </w:rPr>
  </w:style>
  <w:style w:type="paragraph" w:customStyle="1" w:styleId="DocSubtitle">
    <w:name w:val="Doc Subtitle"/>
    <w:qFormat/>
    <w:pPr>
      <w:spacing w:after="240"/>
    </w:pPr>
    <w:rPr>
      <w:color w:val="2E5496"/>
      <w:sz w:val="26"/>
      <w:szCs w:val="26"/>
    </w:rPr>
  </w:style>
  <w:style w:type="paragraph" w:styleId="TOC1">
    <w:name w:val="toc 1"/>
    <w:basedOn w:val="Normal"/>
    <w:next w:val="Normal"/>
    <w:autoRedefine/>
    <w:uiPriority w:val="39"/>
    <w:unhideWhenUsed/>
    <w:rsid w:val="00AA3378"/>
    <w:pPr>
      <w:spacing w:after="100"/>
    </w:pPr>
  </w:style>
  <w:style w:type="paragraph" w:styleId="TOC2">
    <w:name w:val="toc 2"/>
    <w:basedOn w:val="Normal"/>
    <w:next w:val="Normal"/>
    <w:autoRedefine/>
    <w:uiPriority w:val="39"/>
    <w:unhideWhenUsed/>
    <w:rsid w:val="00AA3378"/>
    <w:pPr>
      <w:spacing w:after="100"/>
      <w:ind w:left="220"/>
    </w:pPr>
  </w:style>
  <w:style w:type="paragraph" w:styleId="TOC3">
    <w:name w:val="toc 3"/>
    <w:basedOn w:val="Normal"/>
    <w:next w:val="Normal"/>
    <w:autoRedefine/>
    <w:uiPriority w:val="39"/>
    <w:unhideWhenUsed/>
    <w:rsid w:val="00AA3378"/>
    <w:pPr>
      <w:spacing w:after="100"/>
      <w:ind w:left="440"/>
    </w:pPr>
  </w:style>
  <w:style w:type="paragraph" w:styleId="Footer">
    <w:name w:val="footer"/>
    <w:basedOn w:val="Normal"/>
    <w:link w:val="FooterChar"/>
    <w:uiPriority w:val="99"/>
    <w:unhideWhenUsed/>
    <w:rsid w:val="00906002"/>
    <w:pPr>
      <w:tabs>
        <w:tab w:val="center" w:pos="4680"/>
        <w:tab w:val="right" w:pos="9360"/>
      </w:tabs>
    </w:pPr>
  </w:style>
  <w:style w:type="character" w:customStyle="1" w:styleId="FooterChar">
    <w:name w:val="Footer Char"/>
    <w:basedOn w:val="DefaultParagraphFont"/>
    <w:link w:val="Footer"/>
    <w:uiPriority w:val="99"/>
    <w:rsid w:val="009060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p4A3UKCcHTztTSBXTQ043xGK9BwfpQ0_/edit?usp=sharing&amp;ouid=108769401394786307900&amp;rtpof=true&amp;sd=true" TargetMode="External"/><Relationship Id="rId13" Type="http://schemas.openxmlformats.org/officeDocument/2006/relationships/hyperlink" Target="https://docs.google.com/document/d/1gIkGk9ztvOgxkRvxdksbpviC_9M5Jmj6/edit?rtpof=true&amp;sd=true&amp;tab=t.0" TargetMode="External"/><Relationship Id="rId18" Type="http://schemas.openxmlformats.org/officeDocument/2006/relationships/hyperlink" Target="https://www.ifcreview.com/articles/2024/january/trusted-intermediaries-can-channel-concessional-finance-for-lmic-green-development/" TargetMode="External"/><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yperlink" Target="https://www.ifcreview.com/articles/2024/january/trusted-intermediaries-can-channel-concessional-finance-for-lmic-green-development/" TargetMode="External"/><Relationship Id="rId7" Type="http://schemas.openxmlformats.org/officeDocument/2006/relationships/hyperlink" Target="https://www.canva.com/design/DAGTBie5QeE/KuoD5zMi2ySWySMNyhILxA/view?utm_content=DAGTBie5QeE&amp;utm_campaign=designshare&amp;utm_medium=link&amp;utm_source=editor" TargetMode="External"/><Relationship Id="rId12" Type="http://schemas.openxmlformats.org/officeDocument/2006/relationships/hyperlink" Target="https://www.canva.com/design/DAGTJa_9XKY/e-n7uCRMlNKnm-6lxEk1BQ/view?utm_content=DAGTJa_9XKY&amp;utm_campaign=designshare&amp;utm_medium=link&amp;utm_source=editor" TargetMode="External"/><Relationship Id="rId17" Type="http://schemas.openxmlformats.org/officeDocument/2006/relationships/hyperlink" Target="https://www.ifcreview.com/articles/2024/january/trusted-intermediaries-can-channel-concessional-finance-for-lmic-green-development/"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docs.google.com/document/d/1JmErrkg0YiYpUm3AjsqjRxD7q5qjEyOJ/edit?usp=sharing&amp;ouid=108769401394786307900&amp;rtpof=true&amp;sd=true" TargetMode="External"/><Relationship Id="rId20" Type="http://schemas.openxmlformats.org/officeDocument/2006/relationships/hyperlink" Target="https://docs.google.com/document/d/1Rnh3smHEm4rMPjcuOm69xqqhC_zuPDWG/edit?usp=sharing&amp;ouid=108769401394786307900&amp;rtpof=true&amp;sd=tru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google.com/document/d/1U6m5-AjKGLl18d-dHkDj_IgR9mi5101G/edit?usp=sharing&amp;ouid=108769401394786307900&amp;rtpof=true&amp;sd=true"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ocs.google.com/document/d/1hr43bVQu1vsuop_2VBpJsTxLVBFcgS5Y/edit?usp=sharing&amp;ouid=108769401394786307900&amp;rtpof=true&amp;sd=true" TargetMode="External"/><Relationship Id="rId23" Type="http://schemas.openxmlformats.org/officeDocument/2006/relationships/hyperlink" Target="https://docs.google.com/document/d/1fvHEj_PzSgms3US9OA6cnyzXuOcUbE5z/edit?usp=sharing&amp;ouid=108769401394786307900&amp;rtpof=true&amp;sd=true" TargetMode="External"/><Relationship Id="rId28" Type="http://schemas.openxmlformats.org/officeDocument/2006/relationships/theme" Target="theme/theme1.xml"/><Relationship Id="rId10" Type="http://schemas.openxmlformats.org/officeDocument/2006/relationships/hyperlink" Target="https://docs.google.com/document/d/1jYr2K745-W-7A6XuYYVSYgfbEmkLvvbh/edit?usp=sharing&amp;ouid=108769401394786307900&amp;rtpof=true&amp;sd=true" TargetMode="External"/><Relationship Id="rId19" Type="http://schemas.openxmlformats.org/officeDocument/2006/relationships/hyperlink" Target="https://www.canva.com/design/DAGS3kKr_pY/bytPR2gBNg2kqEXLlMbsfw/view?utm_content=DAGS3kKr_pY&amp;utm_campaign=designshare&amp;utm_medium=link&amp;utm_source=editor" TargetMode="External"/><Relationship Id="rId4" Type="http://schemas.openxmlformats.org/officeDocument/2006/relationships/webSettings" Target="webSettings.xml"/><Relationship Id="rId9" Type="http://schemas.openxmlformats.org/officeDocument/2006/relationships/hyperlink" Target="https://www.canva.com/design/DAGTK2pYRl8/bf2sB8QaT-ttJShJbNfU3A/view?utm_content=DAGTK2pYRl8&amp;utm_campaign=designshare&amp;utm_medium=link&amp;utm_source=editor" TargetMode="External"/><Relationship Id="rId14" Type="http://schemas.openxmlformats.org/officeDocument/2006/relationships/hyperlink" Target="https://www.canva.com/design/DAGS2_bCZqQ/U3yffG5Ww5o1lP17yoYgrw/view?utm_content=DAGS2_bCZqQ&amp;utm_campaign=designshare&amp;utm_medium=link&amp;utm_source=editor" TargetMode="External"/><Relationship Id="rId22" Type="http://schemas.openxmlformats.org/officeDocument/2006/relationships/hyperlink" Target="https://www.canva.com/design/DAGTCNvfzd8/qUShunRXt39HXyPbxBDO9g/view?utm_content=DAGTCNvfzd8&amp;utm_campaign=designshare&amp;utm_medium=link&amp;utm_source=editor"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16</Pages>
  <Words>5916</Words>
  <Characters>33726</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Mobilizing Private Capital for the Climate and Clean Energy Agenda</vt:lpstr>
    </vt:vector>
  </TitlesOfParts>
  <Company>WBG</Company>
  <LinksUpToDate>false</LinksUpToDate>
  <CharactersWithSpaces>39563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Mobilizing Private Capital for the Climate and Clean Energy Agenda</dc:title>
  <dc:creator>Working Paper Series Team</dc:creator>
  <dc:description>Consolidated overview of the Climate Financial Innovation Working Paper Series</dc:description>
  <cp:lastModifiedBy>Stephen John Stretton</cp:lastModifiedBy>
  <cp:revision>4</cp:revision>
  <dcterms:created xsi:type="dcterms:W3CDTF">2026-09-04T20:43:00Z</dcterms:created>
  <dcterms:modified xsi:type="dcterms:W3CDTF">2026-09-30T19:37:00Z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3f279716,d8e0f7f,7433f850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2026-09-30T19:29:24Z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b378b24b-38c4-4334-82c8-ba3e0bd74e2a</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