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274C5C" w14:textId="77777777" w:rsidR="00240ECD" w:rsidRDefault="00240ECD" w:rsidP="00240ECD">
      <w:pPr>
        <w:pStyle w:val="Heading2"/>
        <w:rPr>
          <w:rFonts w:ascii="Times New Roman" w:eastAsia="Times New Roman" w:hAnsi="Times New Roman" w:cs="Times New Roman"/>
        </w:rPr>
      </w:pPr>
      <w:r>
        <w:rPr>
          <w:rFonts w:ascii="Times New Roman" w:eastAsia="Times New Roman" w:hAnsi="Times New Roman" w:cs="Times New Roman"/>
        </w:rPr>
        <w:t>Phasing Down Coal: PPA Reform is Critical</w:t>
      </w:r>
    </w:p>
    <w:p w14:paraId="0CD032DD" w14:textId="4E8B7416" w:rsidR="00240ECD" w:rsidRPr="00240ECD" w:rsidRDefault="00240ECD" w:rsidP="00240ECD">
      <w:pPr>
        <w:rPr>
          <w:b/>
          <w:bCs/>
        </w:rPr>
      </w:pPr>
      <w:r w:rsidRPr="00240ECD">
        <w:rPr>
          <w:rFonts w:ascii="Times New Roman" w:eastAsia="Times New Roman" w:hAnsi="Times New Roman"/>
          <w:b/>
          <w:bCs/>
          <w:color w:val="000000"/>
        </w:rPr>
        <w:t>Key point: it’s important to transform legacy coal power purchase agreements (PPAs) to equivalent financial contracts satisfiable by any power source, including solar-plus-storage.</w:t>
      </w:r>
    </w:p>
    <w:p w14:paraId="22A958D0" w14:textId="77777777" w:rsidR="00240ECD" w:rsidRDefault="00240ECD" w:rsidP="00240ECD">
      <w:pPr>
        <w:pStyle w:val="Heading3"/>
        <w:rPr>
          <w:rFonts w:ascii="Times New Roman" w:eastAsia="Times New Roman" w:hAnsi="Times New Roman" w:cs="Times New Roman"/>
        </w:rPr>
      </w:pPr>
      <w:r>
        <w:rPr>
          <w:rFonts w:ascii="Times New Roman" w:eastAsia="Times New Roman" w:hAnsi="Times New Roman" w:cs="Times New Roman"/>
        </w:rPr>
        <w:t>Economically Stranded!</w:t>
      </w:r>
    </w:p>
    <w:p w14:paraId="55C0F2E9" w14:textId="77777777" w:rsidR="00240ECD" w:rsidRDefault="00240ECD" w:rsidP="00240ECD">
      <w:pPr>
        <w:rPr>
          <w:rFonts w:ascii="Times New Roman" w:eastAsia="Times New Roman" w:hAnsi="Times New Roman"/>
          <w:color w:val="000000"/>
        </w:rPr>
      </w:pPr>
      <w:r>
        <w:rPr>
          <w:rFonts w:ascii="Times New Roman" w:eastAsia="Times New Roman" w:hAnsi="Times New Roman"/>
          <w:color w:val="000000"/>
        </w:rPr>
        <w:t xml:space="preserve">Phasing out coal in India would entail substantial economic and health benefits (Lim et al., 2012). However, concerns about job losses concentrated in </w:t>
      </w:r>
      <w:proofErr w:type="gramStart"/>
      <w:r>
        <w:rPr>
          <w:rFonts w:ascii="Times New Roman" w:eastAsia="Times New Roman" w:hAnsi="Times New Roman"/>
          <w:color w:val="000000"/>
        </w:rPr>
        <w:t>economically disadvantaged</w:t>
      </w:r>
      <w:proofErr w:type="gramEnd"/>
      <w:r>
        <w:rPr>
          <w:rFonts w:ascii="Times New Roman" w:eastAsia="Times New Roman" w:hAnsi="Times New Roman"/>
          <w:color w:val="000000"/>
        </w:rPr>
        <w:t xml:space="preserve"> regions, revenue losses from coal transport by the Indian Railways, and the prospect of bad loans granted to coal-fired power plants jeopardizing the financial system's stability make policymakers hesitant to curb coal use. A coal mine or power station would become a stranded asset if, under the new policy or economic situation, it ceases to be economical and needs to be closed before the end of its planned life. 22% of India’s power generation capacity has already been classified as non-performing assets, NPAs, according to </w:t>
      </w:r>
      <w:hyperlink r:id="rId4">
        <w:r>
          <w:rPr>
            <w:rFonts w:ascii="Times New Roman" w:eastAsia="Times New Roman" w:hAnsi="Times New Roman"/>
            <w:color w:val="0563C1"/>
            <w:u w:val="single"/>
          </w:rPr>
          <w:t>Bais (2022)</w:t>
        </w:r>
      </w:hyperlink>
      <w:r>
        <w:rPr>
          <w:rFonts w:ascii="Times New Roman" w:eastAsia="Times New Roman" w:hAnsi="Times New Roman"/>
          <w:color w:val="000000"/>
        </w:rPr>
        <w:t>, valued at $40 to 60 billion.</w:t>
      </w:r>
    </w:p>
    <w:p w14:paraId="6633BC32" w14:textId="77777777" w:rsidR="00240ECD" w:rsidRDefault="00240ECD" w:rsidP="00240ECD">
      <w:pPr>
        <w:rPr>
          <w:rFonts w:ascii="Times New Roman" w:eastAsia="Times New Roman" w:hAnsi="Times New Roman"/>
          <w:color w:val="000000"/>
        </w:rPr>
      </w:pPr>
      <w:r>
        <w:rPr>
          <w:rFonts w:ascii="Times New Roman" w:eastAsia="Times New Roman" w:hAnsi="Times New Roman"/>
          <w:color w:val="000000"/>
        </w:rPr>
        <w:t>Stranded asset risk is potentially a risk to the banking sector. Banks finance coal generation and mining assets; if those assets are no longer economical, then there may arise non-performing assets on the balance sheets of the respective banks.</w:t>
      </w:r>
    </w:p>
    <w:p w14:paraId="69C7A50D" w14:textId="77777777" w:rsidR="00240ECD" w:rsidRDefault="00240ECD" w:rsidP="00240ECD">
      <w:pPr>
        <w:rPr>
          <w:rFonts w:ascii="Times New Roman" w:eastAsia="Times New Roman" w:hAnsi="Times New Roman"/>
          <w:color w:val="000000"/>
        </w:rPr>
      </w:pPr>
      <w:r>
        <w:rPr>
          <w:rFonts w:ascii="Times New Roman" w:eastAsia="Times New Roman" w:hAnsi="Times New Roman"/>
          <w:color w:val="000000"/>
        </w:rPr>
        <w:t>The stranded asset risk exists for two distinct reasons: first, future global or Indian climate policy could be more stringent than it is now. Second, coal might become economically stranded as it is increasingly overtaken by renewable energy. Indeed, that is already starting to happen, with new solar power cheaper than new coal power. The second, cost-related coal dynamic is arising earlier than the climate-driven phase-out of coal. This has implications for optimal policy.</w:t>
      </w:r>
    </w:p>
    <w:p w14:paraId="2B13CA3A" w14:textId="77777777" w:rsidR="00240ECD" w:rsidRDefault="00240ECD" w:rsidP="00240ECD">
      <w:pPr>
        <w:pStyle w:val="Heading3"/>
        <w:rPr>
          <w:rFonts w:ascii="Times New Roman" w:eastAsia="Times New Roman" w:hAnsi="Times New Roman" w:cs="Times New Roman"/>
        </w:rPr>
      </w:pPr>
      <w:r>
        <w:rPr>
          <w:rFonts w:ascii="Times New Roman" w:eastAsia="Times New Roman" w:hAnsi="Times New Roman" w:cs="Times New Roman"/>
        </w:rPr>
        <w:t>PPA Reform</w:t>
      </w:r>
    </w:p>
    <w:p w14:paraId="3141D921" w14:textId="77777777" w:rsidR="00240ECD" w:rsidRDefault="00240ECD" w:rsidP="00240ECD">
      <w:pPr>
        <w:rPr>
          <w:rFonts w:ascii="Times New Roman" w:eastAsia="Times New Roman" w:hAnsi="Times New Roman"/>
          <w:color w:val="000000"/>
        </w:rPr>
      </w:pPr>
      <w:r>
        <w:rPr>
          <w:rFonts w:ascii="Times New Roman" w:eastAsia="Times New Roman" w:hAnsi="Times New Roman"/>
          <w:color w:val="000000"/>
        </w:rPr>
        <w:t xml:space="preserve">Given that most coal assets have power purchase agreements (PPA) associated with them, they are still guaranteed a market. If those PPAs could be redeployed (re-assigned) from coal power delivery to renewables (including needed storage), economic stranding allows for a </w:t>
      </w:r>
      <w:r>
        <w:rPr>
          <w:rFonts w:ascii="Times New Roman" w:eastAsia="Times New Roman" w:hAnsi="Times New Roman"/>
          <w:i/>
          <w:color w:val="000000"/>
        </w:rPr>
        <w:t xml:space="preserve">cost-saving </w:t>
      </w:r>
      <w:r>
        <w:rPr>
          <w:rFonts w:ascii="Times New Roman" w:eastAsia="Times New Roman" w:hAnsi="Times New Roman"/>
          <w:color w:val="000000"/>
        </w:rPr>
        <w:t>shift from coal to renewables. Fortunately, India’s historical PPA coal tariffs have a two-part structure: a variable cost part, representing the cost of buying coal and operating the power plant, and a sunk cost part, representing principally the sunk investment cost. This structure makes planning for transition easier. We can analyze whether solar energy with necessary storage is cheaper or more expensive than legacy coal power – and save money if it is cheaper; and then, if necessary, any remaining part of the fixed-cost tariff (which represents a sunk cost) can be refinanced (see Shrimali).</w:t>
      </w:r>
    </w:p>
    <w:p w14:paraId="2E6B2656" w14:textId="6A7945B6" w:rsidR="00A90552" w:rsidRPr="00FD347F" w:rsidRDefault="00240ECD">
      <w:pPr>
        <w:rPr>
          <w:rFonts w:ascii="Times New Roman" w:eastAsia="Times New Roman" w:hAnsi="Times New Roman"/>
          <w:color w:val="000000"/>
        </w:rPr>
      </w:pPr>
      <w:r>
        <w:rPr>
          <w:rFonts w:ascii="Times New Roman" w:eastAsia="Times New Roman" w:hAnsi="Times New Roman"/>
          <w:b/>
          <w:color w:val="000000"/>
        </w:rPr>
        <w:t>Also, and importantly, contracted power can be substituted</w:t>
      </w:r>
      <w:r>
        <w:rPr>
          <w:rFonts w:ascii="Times New Roman" w:eastAsia="Times New Roman" w:hAnsi="Times New Roman"/>
          <w:color w:val="000000"/>
        </w:rPr>
        <w:t xml:space="preserve"> – i.e. shifted away from thermal plants and supplied, instead, by renewable power generators. As of November 2021, Ministry of Power has </w:t>
      </w:r>
      <w:hyperlink r:id="rId5">
        <w:r>
          <w:rPr>
            <w:rFonts w:ascii="Times New Roman" w:eastAsia="Times New Roman" w:hAnsi="Times New Roman"/>
            <w:color w:val="0563C1"/>
            <w:u w:val="single"/>
          </w:rPr>
          <w:t>issued a scheme</w:t>
        </w:r>
      </w:hyperlink>
      <w:r>
        <w:rPr>
          <w:rFonts w:ascii="Times New Roman" w:eastAsia="Times New Roman" w:hAnsi="Times New Roman"/>
          <w:color w:val="0563C1"/>
          <w:u w:val="single"/>
        </w:rPr>
        <w:t xml:space="preserve"> </w:t>
      </w:r>
      <w:r>
        <w:rPr>
          <w:rFonts w:ascii="Times New Roman" w:eastAsia="Times New Roman" w:hAnsi="Times New Roman"/>
          <w:color w:val="000000"/>
        </w:rPr>
        <w:t xml:space="preserve"> </w:t>
      </w:r>
      <w:r>
        <w:rPr>
          <w:rFonts w:ascii="Times New Roman" w:eastAsia="Times New Roman" w:hAnsi="Times New Roman"/>
        </w:rPr>
        <w:t>(</w:t>
      </w:r>
      <w:proofErr w:type="spellStart"/>
      <w:r>
        <w:rPr>
          <w:rFonts w:ascii="Times New Roman" w:eastAsia="Times New Roman" w:hAnsi="Times New Roman"/>
        </w:rPr>
        <w:t>Shram</w:t>
      </w:r>
      <w:proofErr w:type="spellEnd"/>
      <w:r>
        <w:rPr>
          <w:rFonts w:ascii="Times New Roman" w:eastAsia="Times New Roman" w:hAnsi="Times New Roman"/>
        </w:rPr>
        <w:t xml:space="preserve"> Shakti Bhawan &amp; Rafi Marg, 2021)</w:t>
      </w:r>
      <w:r>
        <w:rPr>
          <w:rFonts w:ascii="Times New Roman" w:eastAsia="Times New Roman" w:hAnsi="Times New Roman"/>
          <w:color w:val="000000"/>
        </w:rPr>
        <w:t xml:space="preserve"> which allows for flexibility in generation and scheduling of Thermal and Hydro power stations through bundling with renewable power within the existing contracted capacity agreed in their PPAs.</w:t>
      </w:r>
    </w:p>
    <w:sectPr w:rsidR="00A90552" w:rsidRPr="00FD347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0ECD"/>
    <w:rsid w:val="00240ECD"/>
    <w:rsid w:val="00A90552"/>
    <w:rsid w:val="00FD34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67E730"/>
  <w15:chartTrackingRefBased/>
  <w15:docId w15:val="{164E990F-E0CC-4DE5-84B2-6EE3BF06FF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0ECD"/>
    <w:pPr>
      <w:spacing w:after="120" w:line="276" w:lineRule="auto"/>
      <w:jc w:val="both"/>
    </w:pPr>
    <w:rPr>
      <w:rFonts w:ascii="Georgia" w:eastAsiaTheme="majorEastAsia" w:hAnsi="Georgia" w:cs="Times New Roman"/>
      <w:kern w:val="0"/>
      <w:sz w:val="24"/>
      <w:szCs w:val="24"/>
      <w:lang w:eastAsia="de-DE"/>
      <w14:ligatures w14:val="none"/>
    </w:rPr>
  </w:style>
  <w:style w:type="paragraph" w:styleId="Heading2">
    <w:name w:val="heading 2"/>
    <w:basedOn w:val="Normal"/>
    <w:next w:val="Normal"/>
    <w:link w:val="Heading2Char"/>
    <w:uiPriority w:val="9"/>
    <w:unhideWhenUsed/>
    <w:qFormat/>
    <w:rsid w:val="00240ECD"/>
    <w:pPr>
      <w:keepNext/>
      <w:spacing w:before="240"/>
      <w:outlineLvl w:val="1"/>
    </w:pPr>
    <w:rPr>
      <w:rFonts w:cstheme="majorBidi"/>
      <w:color w:val="2F5496" w:themeColor="accent1" w:themeShade="BF"/>
      <w:sz w:val="32"/>
      <w:szCs w:val="26"/>
    </w:rPr>
  </w:style>
  <w:style w:type="paragraph" w:styleId="Heading3">
    <w:name w:val="heading 3"/>
    <w:basedOn w:val="Heading2"/>
    <w:next w:val="Normal"/>
    <w:link w:val="Heading3Char"/>
    <w:uiPriority w:val="9"/>
    <w:unhideWhenUsed/>
    <w:qFormat/>
    <w:rsid w:val="00240ECD"/>
    <w:pPr>
      <w:outlineLvl w:val="2"/>
    </w:pPr>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40ECD"/>
    <w:rPr>
      <w:rFonts w:ascii="Georgia" w:eastAsiaTheme="majorEastAsia" w:hAnsi="Georgia" w:cstheme="majorBidi"/>
      <w:color w:val="2F5496" w:themeColor="accent1" w:themeShade="BF"/>
      <w:kern w:val="0"/>
      <w:sz w:val="32"/>
      <w:szCs w:val="26"/>
      <w:lang w:eastAsia="de-DE"/>
      <w14:ligatures w14:val="none"/>
    </w:rPr>
  </w:style>
  <w:style w:type="character" w:customStyle="1" w:styleId="Heading3Char">
    <w:name w:val="Heading 3 Char"/>
    <w:basedOn w:val="DefaultParagraphFont"/>
    <w:link w:val="Heading3"/>
    <w:uiPriority w:val="9"/>
    <w:rsid w:val="00240ECD"/>
    <w:rPr>
      <w:rFonts w:ascii="Georgia" w:eastAsiaTheme="majorEastAsia" w:hAnsi="Georgia" w:cstheme="majorBidi"/>
      <w:color w:val="2F5496" w:themeColor="accent1" w:themeShade="BF"/>
      <w:kern w:val="0"/>
      <w:sz w:val="24"/>
      <w:szCs w:val="24"/>
      <w:lang w:eastAsia="de-D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powermin.gov.in/sites/default/files/Scheme_for_Flexibility_in_Generation_and_Scheduling_of_Thermal_Hydro_Power_Stations_through_bundling_with_Renewable_Energy_and_Storage_Power.pdf" TargetMode="External"/><Relationship Id="rId4" Type="http://schemas.openxmlformats.org/officeDocument/2006/relationships/hyperlink" Target="https://papers.ssrn.com/sol3/papers.cfm?abstract_id=401107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500</Words>
  <Characters>2850</Characters>
  <Application>Microsoft Office Word</Application>
  <DocSecurity>0</DocSecurity>
  <Lines>23</Lines>
  <Paragraphs>6</Paragraphs>
  <ScaleCrop>false</ScaleCrop>
  <Company>WBG</Company>
  <LinksUpToDate>false</LinksUpToDate>
  <CharactersWithSpaces>3344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Stephen John Stretton</dc:creator>
  <cp:keywords/>
  <dc:description/>
  <cp:lastModifiedBy>Stephen John Stretton</cp:lastModifiedBy>
  <cp:revision>2</cp:revision>
  <dcterms:created xsi:type="dcterms:W3CDTF">2024-07-22T17:09:00Z</dcterms:created>
  <dcterms:modified xsi:type="dcterms:W3CDTF">2024-09-07T16:52:00Z</dcterms:modified>
</cp:coreProperties>
</file>