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Anomalies, Voting Machines, and the 2024 U.S. Presidential Election: A Critical Assessment of Evidence from the Election Truth Alliance</w:t>
      </w:r>
    </w:p>
    <w:p>
      <w:pPr>
        <w:pStyle w:val="Author"/>
      </w:pPr>
    </w:p>
    <w:p>
      <w:pPr>
        <w:pStyle w:val="Date"/>
      </w:pPr>
      <w:r>
        <w:t xml:space="preserve">Draft prepared with publicly available sources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2"/>
      </w:pPr>
      <w:r>
        <w:t xml:space="preserve">Abstract</w:t>
      </w:r>
    </w:p>
    <w:p>
      <w:pPr>
        <w:pStyle w:val="FirstParagraph"/>
      </w:pPr>
      <w:r>
        <w:t xml:space="preserve">The 2024 U.S. presidential election, in which Donald Trump defeated Kamala Harris, again placed voting technology and election integrity at the center of public debate. One of the most visible and technically ambitious groups arguing that the election may have been affected by manipulation is the Election Truth Alliance (ETA), which has produced detailed statistical analyses of cast vote records (CVRs) and precinct-level results in several key states. ETA claims that a range of patterns in the data—including unusual</w:t>
      </w:r>
      <w:r>
        <w:t xml:space="preserve"> </w:t>
      </w:r>
      <w:r>
        <w:t xml:space="preserve">“drop-off”</w:t>
      </w:r>
      <w:r>
        <w:t xml:space="preserve"> </w:t>
      </w:r>
      <w:r>
        <w:t xml:space="preserve">between presidential and down-ballot races, correlations between turnout and candidate vote share, and turnout distributions with a so-called</w:t>
      </w:r>
      <w:r>
        <w:t xml:space="preserve"> </w:t>
      </w:r>
      <w:r>
        <w:t xml:space="preserve">“Russian tail”</w:t>
      </w:r>
      <w:r>
        <w:t xml:space="preserve">—are consistent with artificially inflated votes, particularly in jurisdictions that use electronic tabulation.</w:t>
      </w:r>
    </w:p>
    <w:p>
      <w:pPr>
        <w:pStyle w:val="BodyText"/>
      </w:pPr>
      <w:r>
        <w:t xml:space="preserve">This paper provides a critical, evidence-based overview of ETA’s work and places it in the broader context of election administration, voting technology, and election forensics. The focus is on three states where ETA has published extensive material: Nevada (with special attention to Clark County), Pennsylvania (Philadelphia, Allegheny, and Erie Counties), and North Carolina, along with a brief discussion of ETA’s Minnesota hand-count vs machine-count comparison. For each type of anomaly claimed by ETA, the paper explains the underlying statistical concept, reconstructs a concrete example using values reported by ETA and mainstream journalism, and then evaluates how strongly—if at all—such patterns point toward manipulation of voting machines.</w:t>
      </w:r>
    </w:p>
    <w:p>
      <w:pPr>
        <w:pStyle w:val="BodyText"/>
      </w:pPr>
      <w:r>
        <w:t xml:space="preserve">Using only verifiable claims from public sources, the paper distinguishes between (1) well-documented administrative disruptions and vulnerabilities, (2) statistical patterns that are genuinely unusual and warrant further scrutiny, and (3) interpretations that go beyond what the data alone can support. It also integrates results from independent election-forensics work, most notably a 2025 working paper by Walter R. Mebane, Jr. on the 2024 presidential election in Pennsylvania, and contrasts ETA’s inferences with official statements from election authorities and security agencies. The central conclusion is that ETA has surfaced patterns that justify calls for more transparent data and robust audits, but that, on currently available evidence, claims of actual voting-machine manipulation remain unproven and substantially more speculative than the underlying descriptive statistics.</w:t>
      </w:r>
    </w:p>
    <w:bookmarkEnd w:id="9"/>
    <w:bookmarkStart w:id="10" w:name="introduction"/>
    <w:p>
      <w:pPr>
        <w:pStyle w:val="Heading1"/>
      </w:pPr>
      <w:r>
        <w:t xml:space="preserve">Introduction</w:t>
      </w:r>
    </w:p>
    <w:p>
      <w:pPr>
        <w:pStyle w:val="FirstParagraph"/>
      </w:pPr>
      <w:r>
        <w:t xml:space="preserve">Since 2020, electronic voting systems and ballot scanners have become a focal point of public controversy in the United States. False and defamatory claims about vendors such as Dominion Voting Systems and Smartmatic, especially concerning the 2020 election, have led to high-profile defamation judgments and settlements against some media organizations and activists. At the same time, genuine concerns about the security and transparency of computerized election infrastructure have motivated extensive work by computer scientists, statisticians, and election officials.</w:t>
      </w:r>
    </w:p>
    <w:p>
      <w:pPr>
        <w:pStyle w:val="BodyText"/>
      </w:pPr>
      <w:r>
        <w:t xml:space="preserve">The 2024 presidential election again took place under this dual shadow: on the one hand, strong official assurances that the election was secure and free of systemic tampering; on the other, renewed skepticism among parts of the public, often focused on voting machines and centralized tabulation.</w:t>
      </w:r>
    </w:p>
    <w:p>
      <w:pPr>
        <w:pStyle w:val="BodyText"/>
      </w:pPr>
      <w:r>
        <w:t xml:space="preserve">In this landscape, the Election Truth Alliance (ETA) has emerged as a prominent actor. ETA describes itself as a non-partisan, data-driven organization dedicated to analyzing the 2024 election using detailed results, including cast vote records from certain jurisdictions. It has collaborated with other groups such as SMART Elections and with academic election-forensics experts, while also appearing in media coverage that frames its work as part of a broader debate over claims that the 2024 election might have been</w:t>
      </w:r>
      <w:r>
        <w:t xml:space="preserve"> </w:t>
      </w:r>
      <w:r>
        <w:t xml:space="preserve">“rigged”</w:t>
      </w:r>
      <w:r>
        <w:t xml:space="preserve"> </w:t>
      </w:r>
      <w:r>
        <w:t xml:space="preserve">or affected by irregularities.</w:t>
      </w:r>
    </w:p>
    <w:p>
      <w:pPr>
        <w:pStyle w:val="BodyText"/>
      </w:pPr>
      <w:r>
        <w:t xml:space="preserve">This paper focuses on a narrow but important question:</w:t>
      </w:r>
    </w:p>
    <w:p>
      <w:pPr>
        <w:pStyle w:val="BlockText"/>
      </w:pPr>
      <w:r>
        <w:rPr>
          <w:i/>
          <w:iCs/>
        </w:rPr>
        <w:t xml:space="preserve">What does the publicly verifiable evidence assembled by ETA suggest about the possibility of voting-machine manipulation in the 2024 presidential election, and how should that evidence be interpreted in light of existing election-forensics research and official audits?</w:t>
      </w:r>
    </w:p>
    <w:p>
      <w:pPr>
        <w:pStyle w:val="FirstParagraph"/>
      </w:pPr>
      <w:r>
        <w:t xml:space="preserve">The aim is neither to dismiss ETA’s analysis out of hand nor to endorse its strongest conclusions. Instead, the paper seeks to unpack what ETA has actually measured, to compare those measurements with established forensic techniques and with what is known from other sources, and to carefully distinguish between descriptive findings and causal interpretations.</w:t>
      </w:r>
    </w:p>
    <w:p>
      <w:pPr>
        <w:pStyle w:val="BodyText"/>
      </w:pPr>
      <w:r>
        <w:t xml:space="preserve">To keep the discussion grounded, the paper concentrates on states and counties where ETA’s work is comparatively mature and where public documentation is available:</w:t>
      </w:r>
    </w:p>
    <w:p>
      <w:pPr>
        <w:pStyle w:val="Compact"/>
        <w:numPr>
          <w:ilvl w:val="0"/>
          <w:numId w:val="1001"/>
        </w:numPr>
      </w:pPr>
      <w:r>
        <w:t xml:space="preserve">Clark County, Nevada (including the city of Las Vegas), where ETA and allied analysts emphasize patterns in drop-off between the presidential and Senate races and tabulator-level shifts in vote shares.</w:t>
      </w:r>
    </w:p>
    <w:p>
      <w:pPr>
        <w:pStyle w:val="Compact"/>
        <w:numPr>
          <w:ilvl w:val="0"/>
          <w:numId w:val="1001"/>
        </w:numPr>
      </w:pPr>
      <w:r>
        <w:t xml:space="preserve">Philadelphia, Allegheny (Pittsburgh), and Erie Counties in Pennsylvania, which are the subject both of ETA’s detailed report and of an independent Bayesian election-forensics analysis by Walter R. Mebane, Jr.</w:t>
      </w:r>
    </w:p>
    <w:p>
      <w:pPr>
        <w:pStyle w:val="Compact"/>
        <w:numPr>
          <w:ilvl w:val="0"/>
          <w:numId w:val="1001"/>
        </w:numPr>
      </w:pPr>
      <w:r>
        <w:t xml:space="preserve">North Carolina, where ETA highlights turnout patterns and correlations with candidate vote share that it describes as</w:t>
      </w:r>
      <w:r>
        <w:t xml:space="preserve"> </w:t>
      </w:r>
      <w:r>
        <w:t xml:space="preserve">“consistent with vote manipulation,”</w:t>
      </w:r>
      <w:r>
        <w:t xml:space="preserve"> </w:t>
      </w:r>
      <w:r>
        <w:t xml:space="preserve">and where all in-person voting uses paper ballots scanned by tabulators.</w:t>
      </w:r>
    </w:p>
    <w:p>
      <w:pPr>
        <w:pStyle w:val="Compact"/>
        <w:numPr>
          <w:ilvl w:val="0"/>
          <w:numId w:val="1001"/>
        </w:numPr>
      </w:pPr>
      <w:r>
        <w:t xml:space="preserve">Minnesota, where ETA compares hand-counted precincts with precincts counted using ballot scanners.</w:t>
      </w:r>
    </w:p>
    <w:p>
      <w:pPr>
        <w:pStyle w:val="FirstParagraph"/>
      </w:pPr>
      <w:r>
        <w:t xml:space="preserve">In each case, the core structure is the same:</w:t>
      </w:r>
    </w:p>
    <w:p>
      <w:pPr>
        <w:pStyle w:val="Compact"/>
        <w:numPr>
          <w:ilvl w:val="0"/>
          <w:numId w:val="1002"/>
        </w:numPr>
      </w:pPr>
      <w:r>
        <w:t xml:space="preserve">Explain the relevant election-technology context (machines used, paper trail, auditing practices).</w:t>
      </w:r>
    </w:p>
    <w:p>
      <w:pPr>
        <w:pStyle w:val="Compact"/>
        <w:numPr>
          <w:ilvl w:val="0"/>
          <w:numId w:val="1002"/>
        </w:numPr>
      </w:pPr>
      <w:r>
        <w:t xml:space="preserve">Define the type of statistical anomaly ETA claims to have found.</w:t>
      </w:r>
    </w:p>
    <w:p>
      <w:pPr>
        <w:pStyle w:val="Compact"/>
        <w:numPr>
          <w:ilvl w:val="0"/>
          <w:numId w:val="1002"/>
        </w:numPr>
      </w:pPr>
      <w:r>
        <w:t xml:space="preserve">Provide a concrete numerical example drawn from ETA’s own figures or from corroborating media reports.</w:t>
      </w:r>
    </w:p>
    <w:p>
      <w:pPr>
        <w:pStyle w:val="Compact"/>
        <w:numPr>
          <w:ilvl w:val="0"/>
          <w:numId w:val="1002"/>
        </w:numPr>
      </w:pPr>
      <w:r>
        <w:t xml:space="preserve">Discuss how such a pattern might arise under normal (non-fraudulent) conditions.</w:t>
      </w:r>
    </w:p>
    <w:p>
      <w:pPr>
        <w:pStyle w:val="Compact"/>
        <w:numPr>
          <w:ilvl w:val="0"/>
          <w:numId w:val="1002"/>
        </w:numPr>
      </w:pPr>
      <w:r>
        <w:t xml:space="preserve">Assess how much weight, if any, the pattern should carry as evidence of deliberate manipulation of voting machines.</w:t>
      </w:r>
    </w:p>
    <w:p>
      <w:pPr>
        <w:pStyle w:val="FirstParagraph"/>
      </w:pPr>
      <w:r>
        <w:t xml:space="preserve">The discussion assumes, as a baseline, that the 2024 presidential election was administered under conditions broadly similar to those of 2020: highly decentralized administration by state and local officials; widespread use of paper ballots either marked by hand or via ballot-marking devices; and extensive pre-election hardening of election infrastructure under the guidance of the Cybersecurity and Infrastructure Security Agency (CISA) and state partners.</w:t>
      </w:r>
    </w:p>
    <w:bookmarkEnd w:id="10"/>
    <w:bookmarkStart w:id="19" w:name="X0d1ad424d9cf97770da4aa88c544ee369d50f12"/>
    <w:p>
      <w:pPr>
        <w:pStyle w:val="Heading1"/>
      </w:pPr>
      <w:r>
        <w:t xml:space="preserve">Election Technology and Oversight in 2024</w:t>
      </w:r>
    </w:p>
    <w:bookmarkStart w:id="13" w:name="voting-systems-and-paper-trails"/>
    <w:p>
      <w:pPr>
        <w:pStyle w:val="Heading2"/>
      </w:pPr>
      <w:r>
        <w:t xml:space="preserve">Voting Systems and Paper Trails</w:t>
      </w:r>
    </w:p>
    <w:p>
      <w:pPr>
        <w:pStyle w:val="FirstParagraph"/>
      </w:pPr>
      <w:r>
        <w:t xml:space="preserve">A key context for any discussion of machine manipulation is the basic architecture of U.S. voting systems in 2024. Broadly speaking, three technological configurations are relevant:</w:t>
      </w:r>
    </w:p>
    <w:p>
      <w:pPr>
        <w:pStyle w:val="Compact"/>
        <w:numPr>
          <w:ilvl w:val="0"/>
          <w:numId w:val="1003"/>
        </w:numPr>
      </w:pPr>
      <w:r>
        <w:t xml:space="preserve">Paper ballots hand-marked by voters and scanned by optical scanners (either at precincts or centrally).</w:t>
      </w:r>
    </w:p>
    <w:p>
      <w:pPr>
        <w:pStyle w:val="Compact"/>
        <w:numPr>
          <w:ilvl w:val="0"/>
          <w:numId w:val="1003"/>
        </w:numPr>
      </w:pPr>
      <w:r>
        <w:t xml:space="preserve">Ballot-marking devices (BMDs), which present an electronic interface but ultimately print a paper ballot that is then scanned.</w:t>
      </w:r>
    </w:p>
    <w:p>
      <w:pPr>
        <w:pStyle w:val="Compact"/>
        <w:numPr>
          <w:ilvl w:val="0"/>
          <w:numId w:val="1003"/>
        </w:numPr>
      </w:pPr>
      <w:r>
        <w:t xml:space="preserve">Direct-recording electronic (DRE) machines without a voter-verifiable paper trail, which were common in the 2000s but are now rare.</w:t>
      </w:r>
    </w:p>
    <w:p>
      <w:pPr>
        <w:pStyle w:val="FirstParagraph"/>
      </w:pPr>
      <w:r>
        <w:t xml:space="preserve">By 2024, most states had largely or completely transitioned away from paperless DREs in favor of systems that produce a voter-verifiable paper record. North Carolina, for example, emphasizes that</w:t>
      </w:r>
      <w:r>
        <w:t xml:space="preserve"> </w:t>
      </w:r>
      <w:r>
        <w:t xml:space="preserve">“all voting systems in North Carolina use paper ballots, marked either by hand or with a ballot-marking device, providing a paper trail of votes cast that can be audited or recounted by elections officials.”</w:t>
      </w:r>
      <w:r>
        <w:rPr>
          <w:rStyle w:val="FootnoteReference"/>
        </w:rPr>
        <w:footnoteReference w:id="11"/>
      </w:r>
    </w:p>
    <w:p>
      <w:pPr>
        <w:pStyle w:val="BodyText"/>
      </w:pPr>
      <w:r>
        <w:t xml:space="preserve">Pennsylvania also relies primarily on paper ballots, whether by mail or in-person, which are then tabulated by scanners from vendors such as ES&amp;S, Dominion, Clear Ballot, Hart InterCivic, and Unisyn. ETA’s Pennsylvania report notes that Election Systems &amp; Software tabulators were used to count approximately 60.1% of ballots statewide in 2024, Dominion machines for 19.0%, and other vendors for the remainder.</w:t>
      </w:r>
      <w:r>
        <w:rPr>
          <w:rStyle w:val="FootnoteReference"/>
        </w:rPr>
        <w:footnoteReference w:id="12"/>
      </w:r>
    </w:p>
    <w:p>
      <w:pPr>
        <w:pStyle w:val="BodyText"/>
      </w:pPr>
      <w:r>
        <w:t xml:space="preserve">In jurisdictions that still employ DRE-style devices, such as certain counties using older ES&amp;S iVotronic systems, these devices typically record votes on internal memory and export summary data to removable media. Even there, recent reforms have often introduced voter-verifiable paper audit trails.</w:t>
      </w:r>
    </w:p>
    <w:bookmarkEnd w:id="13"/>
    <w:bookmarkStart w:id="18" w:name="X5dd48b8dbdb07beece2de17eebf986ec06de35b"/>
    <w:p>
      <w:pPr>
        <w:pStyle w:val="Heading2"/>
      </w:pPr>
      <w:r>
        <w:t xml:space="preserve">Security Posture and Official Assessments</w:t>
      </w:r>
    </w:p>
    <w:p>
      <w:pPr>
        <w:pStyle w:val="FirstParagraph"/>
      </w:pPr>
      <w:r>
        <w:t xml:space="preserve">For 2024, federal and state authorities again coordinated to monitor threats and secure election infrastructure. CISA, which emerged as a key actor following its joint statement on the security of the 2020 election, issued similar messaging in 2024. After Election Day, CISA Director Jen Easterly stated that election officials had reported no evidence of compromised election infrastructure and emphasized that there was</w:t>
      </w:r>
      <w:r>
        <w:t xml:space="preserve"> </w:t>
      </w:r>
      <w:r>
        <w:t xml:space="preserve">“no indication that any voting system deleted or lost votes, changed votes, or was in any way compromised”</w:t>
      </w:r>
      <w:r>
        <w:t xml:space="preserve"> </w:t>
      </w:r>
      <w:r>
        <w:t xml:space="preserve">during the 2024 general election.</w:t>
      </w:r>
      <w:r>
        <w:rPr>
          <w:rStyle w:val="FootnoteReference"/>
        </w:rPr>
        <w:footnoteReference w:id="14"/>
      </w:r>
    </w:p>
    <w:p>
      <w:pPr>
        <w:pStyle w:val="BodyText"/>
      </w:pPr>
      <w:r>
        <w:t xml:space="preserve">A joint statement by CISA and the U.S. Election Assistance Commission (EAC) shortly before the election underscored the robustness of U.S. election infrastructure and urged public trust in state and local election officials.</w:t>
      </w:r>
      <w:r>
        <w:rPr>
          <w:rStyle w:val="FootnoteReference"/>
        </w:rPr>
        <w:footnoteReference w:id="15"/>
      </w:r>
    </w:p>
    <w:p>
      <w:pPr>
        <w:pStyle w:val="BodyText"/>
      </w:pPr>
      <w:r>
        <w:t xml:space="preserve">Post-election audits in specific states provide additional context. In Wisconsin, where Trump narrowly defeated Harris, a statutory audit of the 2024 presidential vote examined more than 327,000 ballots and reported that no votes were incorrectly counted, altered, or missed by voting machines; the audit found only five human errors, corresponding to an error rate on the order of</w:t>
      </w:r>
      <w:r>
        <w:t xml:space="preserve"> </w:t>
      </w:r>
      <m:oMath>
        <m:sSup>
          <m:e>
            <m:r>
              <m:t>10</m:t>
            </m:r>
          </m:e>
          <m:sup>
            <m:r>
              <m:rPr>
                <m:sty m:val="p"/>
              </m:rPr>
              <m:t>−</m:t>
            </m:r>
            <m:r>
              <m:t>7</m:t>
            </m:r>
          </m:sup>
        </m:sSup>
      </m:oMath>
      <w:r>
        <w:t xml:space="preserve">.</w:t>
      </w:r>
      <w:r>
        <w:rPr>
          <w:rStyle w:val="FootnoteReference"/>
        </w:rPr>
        <w:footnoteReference w:id="16"/>
      </w:r>
      <w:r>
        <w:t xml:space="preserve"> </w:t>
      </w:r>
      <w:r>
        <w:t xml:space="preserve">Unlike in 2020, Trump and his allies did not allege systematic fraud in Wisconsin in 2024.</w:t>
      </w:r>
    </w:p>
    <w:p>
      <w:pPr>
        <w:pStyle w:val="BodyText"/>
      </w:pPr>
      <w:r>
        <w:t xml:space="preserve">At the same time, other analyses have highlighted structural weaknesses in some states’ post-election audit regimes. A 2025 report from Free Speech for People, for example, argues that in Michigan elections are certified based entirely on computerized totals before any significant ballot auditing, and that in Pennsylvania a substantial share of in-person voters use ballot-marking devices that, while generating paper outputs, may not provide fully trustworthy records if voters do not carefully verify them.</w:t>
      </w:r>
      <w:r>
        <w:rPr>
          <w:rStyle w:val="FootnoteReference"/>
        </w:rPr>
        <w:footnoteReference w:id="17"/>
      </w:r>
    </w:p>
    <w:p>
      <w:pPr>
        <w:pStyle w:val="BodyText"/>
      </w:pPr>
      <w:r>
        <w:t xml:space="preserve">In short, official sources largely affirm the integrity of voting systems in 2024, while some civil-society organizations and researchers continue to press for more rigorous and timely audits. ETA operates in that latter space: skeptical of computerized tabulation, but also explicit about using publicly verifiable data and established statistical tools.</w:t>
      </w:r>
    </w:p>
    <w:bookmarkEnd w:id="18"/>
    <w:bookmarkEnd w:id="19"/>
    <w:bookmarkStart w:id="25" w:name="Xc26864172ff602b2b5f89497b5faa2cedd1e3b4"/>
    <w:p>
      <w:pPr>
        <w:pStyle w:val="Heading1"/>
      </w:pPr>
      <w:r>
        <w:t xml:space="preserve">The Election Truth Alliance and Its Methodology</w:t>
      </w:r>
    </w:p>
    <w:bookmarkStart w:id="21" w:name="organizational-profile"/>
    <w:p>
      <w:pPr>
        <w:pStyle w:val="Heading2"/>
      </w:pPr>
      <w:r>
        <w:t xml:space="preserve">Organizational Profile</w:t>
      </w:r>
    </w:p>
    <w:p>
      <w:pPr>
        <w:pStyle w:val="FirstParagraph"/>
      </w:pPr>
      <w:r>
        <w:t xml:space="preserve">The Election Truth Alliance presents itself as a non-profit, non-partisan organization focused on</w:t>
      </w:r>
      <w:r>
        <w:t xml:space="preserve"> </w:t>
      </w:r>
      <w:r>
        <w:t xml:space="preserve">“data-driven election analysis.”</w:t>
      </w:r>
      <w:r>
        <w:t xml:space="preserve"> </w:t>
      </w:r>
      <w:r>
        <w:t xml:space="preserve">Its website lists a multi-person executive team, describes collaborations with other groups such as SMART Elections, and maintains a</w:t>
      </w:r>
      <w:r>
        <w:t xml:space="preserve"> </w:t>
      </w:r>
      <w:r>
        <w:t xml:space="preserve">“Data Dashboard”</w:t>
      </w:r>
      <w:r>
        <w:t xml:space="preserve"> </w:t>
      </w:r>
      <w:r>
        <w:t xml:space="preserve">with interactive visualizations. ETA also maintains a public tipline and produces advocacy materials calling for expanded audits and transparency.</w:t>
      </w:r>
    </w:p>
    <w:p>
      <w:pPr>
        <w:pStyle w:val="BodyText"/>
      </w:pPr>
      <w:r>
        <w:t xml:space="preserve">Media coverage situates ETA within a wider constellation of groups questioning the 2024 results. A January 2025</w:t>
      </w:r>
      <w:r>
        <w:t xml:space="preserve"> </w:t>
      </w:r>
      <w:r>
        <w:rPr>
          <w:i/>
          <w:iCs/>
        </w:rPr>
        <w:t xml:space="preserve">Newsweek</w:t>
      </w:r>
      <w:r>
        <w:t xml:space="preserve"> </w:t>
      </w:r>
      <w:r>
        <w:t xml:space="preserve">article, for example, describes ETA as a non-partisan group that has examined vote patterns in swing states and claims to have found a</w:t>
      </w:r>
      <w:r>
        <w:t xml:space="preserve"> </w:t>
      </w:r>
      <w:r>
        <w:t xml:space="preserve">“statistical near-impossibility”</w:t>
      </w:r>
      <w:r>
        <w:t xml:space="preserve"> </w:t>
      </w:r>
      <w:r>
        <w:t xml:space="preserve">in how votes for Trump and Harris relate to down-ballot races in certain counties.</w:t>
      </w:r>
      <w:r>
        <w:rPr>
          <w:rStyle w:val="FootnoteReference"/>
        </w:rPr>
        <w:footnoteReference w:id="20"/>
      </w:r>
    </w:p>
    <w:p>
      <w:pPr>
        <w:pStyle w:val="BodyText"/>
      </w:pPr>
      <w:r>
        <w:t xml:space="preserve">While some commentators and activists use ETA’s work to support broad assertions that the 2024 election was</w:t>
      </w:r>
      <w:r>
        <w:t xml:space="preserve"> </w:t>
      </w:r>
      <w:r>
        <w:t xml:space="preserve">“rigged,”</w:t>
      </w:r>
      <w:r>
        <w:t xml:space="preserve"> </w:t>
      </w:r>
      <w:r>
        <w:t xml:space="preserve">ETA’s own technical reports are more careful: they claim that observed patterns are</w:t>
      </w:r>
      <w:r>
        <w:t xml:space="preserve"> </w:t>
      </w:r>
      <w:r>
        <w:rPr>
          <w:i/>
          <w:iCs/>
        </w:rPr>
        <w:t xml:space="preserve">consistent</w:t>
      </w:r>
      <w:r>
        <w:t xml:space="preserve"> </w:t>
      </w:r>
      <w:r>
        <w:t xml:space="preserve">with artificial inflation of votes and that such patterns constitute</w:t>
      </w:r>
      <w:r>
        <w:t xml:space="preserve"> </w:t>
      </w:r>
      <w:r>
        <w:rPr>
          <w:i/>
          <w:iCs/>
        </w:rPr>
        <w:t xml:space="preserve">red flags</w:t>
      </w:r>
      <w:r>
        <w:t xml:space="preserve"> </w:t>
      </w:r>
      <w:r>
        <w:t xml:space="preserve">or</w:t>
      </w:r>
      <w:r>
        <w:t xml:space="preserve"> </w:t>
      </w:r>
      <w:r>
        <w:rPr>
          <w:i/>
          <w:iCs/>
        </w:rPr>
        <w:t xml:space="preserve">indicators</w:t>
      </w:r>
      <w:r>
        <w:t xml:space="preserve"> </w:t>
      </w:r>
      <w:r>
        <w:t xml:space="preserve">of possible manipulation—not direct proof. This distinction is important when evaluating their evidence.</w:t>
      </w:r>
    </w:p>
    <w:bookmarkEnd w:id="21"/>
    <w:bookmarkStart w:id="23" w:name="data-sources"/>
    <w:p>
      <w:pPr>
        <w:pStyle w:val="Heading2"/>
      </w:pPr>
      <w:r>
        <w:t xml:space="preserve">Data Sources</w:t>
      </w:r>
    </w:p>
    <w:p>
      <w:pPr>
        <w:pStyle w:val="FirstParagraph"/>
      </w:pPr>
      <w:r>
        <w:t xml:space="preserve">ETA’s state-level analyses transparently document their primary data sources. For Pennsylvania, for example, the group cites:</w:t>
      </w:r>
    </w:p>
    <w:p>
      <w:pPr>
        <w:pStyle w:val="Compact"/>
        <w:numPr>
          <w:ilvl w:val="0"/>
          <w:numId w:val="1004"/>
        </w:numPr>
      </w:pPr>
      <w:r>
        <w:t xml:space="preserve">Official precinct-level results and registration data from the Pennsylvania State Government’s Reporting Center and county election offices in Philadelphia, Allegheny, and Erie.</w:t>
      </w:r>
    </w:p>
    <w:p>
      <w:pPr>
        <w:pStyle w:val="Compact"/>
        <w:numPr>
          <w:ilvl w:val="0"/>
          <w:numId w:val="1004"/>
        </w:numPr>
      </w:pPr>
      <w:r>
        <w:t xml:space="preserve">Separate CSV files providing precinct-level breakdowns by vote type (mail-in vs polling-place), where available.</w:t>
      </w:r>
    </w:p>
    <w:p>
      <w:pPr>
        <w:pStyle w:val="Compact"/>
        <w:numPr>
          <w:ilvl w:val="0"/>
          <w:numId w:val="1004"/>
        </w:numPr>
      </w:pPr>
      <w:r>
        <w:t xml:space="preserve">Vendor information (which counties use ES&amp;S, Dominion, etc.) from Verified Voting.</w:t>
      </w:r>
    </w:p>
    <w:p>
      <w:pPr>
        <w:pStyle w:val="FirstParagraph"/>
      </w:pPr>
      <w:r>
        <w:t xml:space="preserve">For Nevada, ETA relies heavily on detailed results from Clark County that are broken down by tabulator and by vote type. These include cast vote records (ballot-level data showing each anonymized ballot’s selections across contests) as well as tabulator-level summary reports indicating how many ballots each machine processed.</w:t>
      </w:r>
    </w:p>
    <w:p>
      <w:pPr>
        <w:pStyle w:val="BodyText"/>
      </w:pPr>
      <w:r>
        <w:t xml:space="preserve">For North Carolina, ETA uses county-level and precinct-level turnout and vote-share data, again disaggregated by vote mode (early in-person, Election Day, mail). All of these sources are either official election sites or recognized independent election-data projects.</w:t>
      </w:r>
    </w:p>
    <w:p>
      <w:pPr>
        <w:pStyle w:val="BodyText"/>
      </w:pPr>
      <w:r>
        <w:t xml:space="preserve">In addition, ETA has facilitated access to these datasets for outside researchers. Walter R. Mebane, Jr. credits</w:t>
      </w:r>
      <w:r>
        <w:t xml:space="preserve"> </w:t>
      </w:r>
      <w:r>
        <w:t xml:space="preserve">“Lilli McGregor and the Election Truth Alliance”</w:t>
      </w:r>
      <w:r>
        <w:t xml:space="preserve"> </w:t>
      </w:r>
      <w:r>
        <w:t xml:space="preserve">for providing precinct data used in his 2025 eforensics analysis of the 2024 presidential election in Pennsylvania.</w:t>
      </w:r>
      <w:r>
        <w:rPr>
          <w:rStyle w:val="FootnoteReference"/>
        </w:rPr>
        <w:footnoteReference w:id="22"/>
      </w:r>
    </w:p>
    <w:bookmarkEnd w:id="23"/>
    <w:bookmarkStart w:id="24" w:name="analytical-framework"/>
    <w:p>
      <w:pPr>
        <w:pStyle w:val="Heading2"/>
      </w:pPr>
      <w:r>
        <w:t xml:space="preserve">Analytical Framework</w:t>
      </w:r>
    </w:p>
    <w:p>
      <w:pPr>
        <w:pStyle w:val="FirstParagraph"/>
      </w:pPr>
      <w:r>
        <w:t xml:space="preserve">ETA’s methodology, as summarized on its</w:t>
      </w:r>
      <w:r>
        <w:t xml:space="preserve"> </w:t>
      </w:r>
      <w:r>
        <w:t xml:space="preserve">“Our Methodology”</w:t>
      </w:r>
      <w:r>
        <w:t xml:space="preserve"> </w:t>
      </w:r>
      <w:r>
        <w:t xml:space="preserve">and state analysis pages, combines several elements:</w:t>
      </w:r>
    </w:p>
    <w:p>
      <w:pPr>
        <w:pStyle w:val="Compact"/>
        <w:numPr>
          <w:ilvl w:val="0"/>
          <w:numId w:val="1005"/>
        </w:numPr>
      </w:pPr>
      <w:r>
        <w:rPr>
          <w:b/>
          <w:bCs/>
        </w:rPr>
        <w:t xml:space="preserve">Descriptive comparisons</w:t>
      </w:r>
      <w:r>
        <w:t xml:space="preserve"> </w:t>
      </w:r>
      <w:r>
        <w:t xml:space="preserve">of voter turnout between election cycles (e.g., 2020 vs 2024) at the precinct level.</w:t>
      </w:r>
    </w:p>
    <w:p>
      <w:pPr>
        <w:pStyle w:val="Compact"/>
        <w:numPr>
          <w:ilvl w:val="0"/>
          <w:numId w:val="1005"/>
        </w:numPr>
      </w:pPr>
      <w:r>
        <w:rPr>
          <w:b/>
          <w:bCs/>
        </w:rPr>
        <w:t xml:space="preserve">Drop-off analysis</w:t>
      </w:r>
      <w:r>
        <w:t xml:space="preserve">, comparing the number of votes cast in the presidential race to the number cast for high-profile down-ballot races (e.g., U.S. Senate) in the same jurisdiction.</w:t>
      </w:r>
    </w:p>
    <w:p>
      <w:pPr>
        <w:pStyle w:val="Compact"/>
        <w:numPr>
          <w:ilvl w:val="0"/>
          <w:numId w:val="1005"/>
        </w:numPr>
      </w:pPr>
      <w:r>
        <w:rPr>
          <w:b/>
          <w:bCs/>
        </w:rPr>
        <w:t xml:space="preserve">Vote-share vs turnout plots</w:t>
      </w:r>
      <w:r>
        <w:t xml:space="preserve">, where the percentage of votes for a given candidate in each precinct is plotted against precinct turnout; ETA interprets certain patterns as</w:t>
      </w:r>
      <w:r>
        <w:t xml:space="preserve"> </w:t>
      </w:r>
      <w:r>
        <w:t xml:space="preserve">“red flags”</w:t>
      </w:r>
      <w:r>
        <w:t xml:space="preserve"> </w:t>
      </w:r>
      <w:r>
        <w:t xml:space="preserve">based on international election-forensics literature.</w:t>
      </w:r>
    </w:p>
    <w:p>
      <w:pPr>
        <w:pStyle w:val="Compact"/>
        <w:numPr>
          <w:ilvl w:val="0"/>
          <w:numId w:val="1005"/>
        </w:numPr>
      </w:pPr>
      <w:r>
        <w:rPr>
          <w:b/>
          <w:bCs/>
        </w:rPr>
        <w:t xml:space="preserve">Distributional analysis of turnout</w:t>
      </w:r>
      <w:r>
        <w:t xml:space="preserve">, looking for deviations from bell-shaped (approximately normal) distributions and, in particular, for a high-turnout</w:t>
      </w:r>
      <w:r>
        <w:t xml:space="preserve"> </w:t>
      </w:r>
      <w:r>
        <w:t xml:space="preserve">“tail”</w:t>
      </w:r>
      <w:r>
        <w:t xml:space="preserve"> </w:t>
      </w:r>
      <w:r>
        <w:t xml:space="preserve">that disproportionately favors one candidate, an effect inspired by Sergei Shpilkin’s work on Russian elections.</w:t>
      </w:r>
    </w:p>
    <w:p>
      <w:pPr>
        <w:pStyle w:val="Compact"/>
        <w:numPr>
          <w:ilvl w:val="0"/>
          <w:numId w:val="1005"/>
        </w:numPr>
      </w:pPr>
      <w:r>
        <w:rPr>
          <w:b/>
          <w:bCs/>
        </w:rPr>
        <w:t xml:space="preserve">Tabulator-level patterns</w:t>
      </w:r>
      <w:r>
        <w:t xml:space="preserve">, especially in jurisdictions like Clark County where each machine’s batch of ballots can be separately analyzed for vote share and volume.</w:t>
      </w:r>
    </w:p>
    <w:p>
      <w:pPr>
        <w:pStyle w:val="FirstParagraph"/>
      </w:pPr>
      <w:r>
        <w:t xml:space="preserve">Some of these methods (e.g., Shpilkin-style turnout analysis, Mebane’s eforensics) come directly from the peer-reviewed election-forensics literature. Others, such as the emphasis on asymmetric drop-off between presidential and Senate races, are grounded more loosely in political science findings about ballot roll-off but have not been formalized into fraud tests.</w:t>
      </w:r>
    </w:p>
    <w:bookmarkEnd w:id="24"/>
    <w:bookmarkEnd w:id="25"/>
    <w:bookmarkStart w:id="53" w:name="Xecb067cc22fa647aa9ec51e19e0c05ada7f675c"/>
    <w:p>
      <w:pPr>
        <w:pStyle w:val="Heading1"/>
      </w:pPr>
      <w:r>
        <w:t xml:space="preserve">Types of Statistical Anomalies Claimed by ETA</w:t>
      </w:r>
    </w:p>
    <w:p>
      <w:pPr>
        <w:pStyle w:val="FirstParagraph"/>
      </w:pPr>
      <w:r>
        <w:t xml:space="preserve">This section outlines the main anomaly types ETA emphasizes, explaining each concept and illustrating it with a concrete example.</w:t>
      </w:r>
    </w:p>
    <w:bookmarkStart w:id="34" w:name="Xe2f93415e6372b7c9eb7e495a5ad4167a5e2807"/>
    <w:p>
      <w:pPr>
        <w:pStyle w:val="Heading2"/>
      </w:pPr>
      <w:r>
        <w:t xml:space="preserve">Drop-Off Between Presidential and Down-Ballot Races</w:t>
      </w:r>
    </w:p>
    <w:bookmarkStart w:id="28" w:name="definition"/>
    <w:p>
      <w:pPr>
        <w:pStyle w:val="Heading3"/>
      </w:pPr>
      <w:r>
        <w:t xml:space="preserve">Definition</w:t>
      </w:r>
    </w:p>
    <w:p>
      <w:pPr>
        <w:pStyle w:val="FirstParagraph"/>
      </w:pPr>
      <w:r>
        <w:t xml:space="preserve">In ETA’s terminology,</w:t>
      </w:r>
      <w:r>
        <w:t xml:space="preserve"> </w:t>
      </w:r>
      <w:r>
        <w:rPr>
          <w:i/>
          <w:iCs/>
        </w:rPr>
        <w:t xml:space="preserve">drop-off</w:t>
      </w:r>
      <w:r>
        <w:t xml:space="preserve"> </w:t>
      </w:r>
      <w:r>
        <w:t xml:space="preserve">(often described as</w:t>
      </w:r>
      <w:r>
        <w:t xml:space="preserve"> </w:t>
      </w:r>
      <w:r>
        <w:t xml:space="preserve">“drop-off vote”</w:t>
      </w:r>
      <w:r>
        <w:t xml:space="preserve">) refers to the difference between the number of votes cast in the presidential race and the number of votes cast in a prominent down-ballot race—usually a U.S. Senate contest—in the same jurisdiction. Let</w:t>
      </w:r>
      <w:r>
        <w:t xml:space="preserve"> </w:t>
      </w:r>
      <m:oMath>
        <m:sSub>
          <m:e>
            <m:r>
              <m:t>P</m:t>
            </m:r>
          </m:e>
          <m:sub>
            <m:r>
              <m:t>R</m:t>
            </m:r>
          </m:sub>
        </m:sSub>
      </m:oMath>
      <w:r>
        <w:t xml:space="preserve"> </w:t>
      </w:r>
      <w:r>
        <w:t xml:space="preserve">and</w:t>
      </w:r>
      <w:r>
        <w:t xml:space="preserve"> </w:t>
      </w:r>
      <m:oMath>
        <m:sSub>
          <m:e>
            <m:r>
              <m:t>P</m:t>
            </m:r>
          </m:e>
          <m:sub>
            <m:r>
              <m:t>D</m:t>
            </m:r>
          </m:sub>
        </m:sSub>
      </m:oMath>
      <w:r>
        <w:t xml:space="preserve"> </w:t>
      </w:r>
      <w:r>
        <w:t xml:space="preserve">denote the number of presidential votes received by the Republican and Democratic candidates, respectively, and</w:t>
      </w:r>
      <w:r>
        <w:t xml:space="preserve"> </w:t>
      </w:r>
      <m:oMath>
        <m:sSub>
          <m:e>
            <m:r>
              <m:t>S</m:t>
            </m:r>
          </m:e>
          <m:sub>
            <m:r>
              <m:t>R</m:t>
            </m:r>
          </m:sub>
        </m:sSub>
      </m:oMath>
      <w:r>
        <w:t xml:space="preserve"> </w:t>
      </w:r>
      <w:r>
        <w:t xml:space="preserve">and</w:t>
      </w:r>
      <w:r>
        <w:t xml:space="preserve"> </w:t>
      </w:r>
      <m:oMath>
        <m:sSub>
          <m:e>
            <m:r>
              <m:t>S</m:t>
            </m:r>
          </m:e>
          <m:sub>
            <m:r>
              <m:t>D</m:t>
            </m:r>
          </m:sub>
        </m:sSub>
      </m:oMath>
      <w:r>
        <w:t xml:space="preserve"> </w:t>
      </w:r>
      <w:r>
        <w:t xml:space="preserve">the corresponding votes for the Republican and Democratic Senate candidates. Then, for a given party and jurisdiction, the drop-off is:</w:t>
      </w:r>
    </w:p>
    <w:p>
      <w:pPr>
        <w:pStyle w:val="BodyText"/>
      </w:pPr>
      <m:oMathPara>
        <m:oMathParaPr>
          <m:jc m:val="center"/>
        </m:oMathParaPr>
        <m:oMath>
          <m:sSub>
            <m:e>
              <m:r>
                <m:rPr>
                  <m:sty m:val="p"/>
                </m:rPr>
                <m:t>Δ</m:t>
              </m:r>
            </m:e>
            <m:sub>
              <m:r>
                <m:t>R</m:t>
              </m:r>
            </m:sub>
          </m:sSub>
          <m:r>
            <m:rPr>
              <m:sty m:val="p"/>
            </m:rPr>
            <m:t>=</m:t>
          </m:r>
          <m:sSub>
            <m:e>
              <m:r>
                <m:t>P</m:t>
              </m:r>
            </m:e>
            <m:sub>
              <m:r>
                <m:t>R</m:t>
              </m:r>
            </m:sub>
          </m:sSub>
          <m:r>
            <m:rPr>
              <m:sty m:val="p"/>
            </m:rPr>
            <m:t>−</m:t>
          </m:r>
          <m:sSub>
            <m:e>
              <m:r>
                <m:t>S</m:t>
              </m:r>
            </m:e>
            <m:sub>
              <m:r>
                <m:t>R</m:t>
              </m:r>
            </m:sub>
          </m:sSub>
          <m:r>
            <m:rPr>
              <m:sty m:val="p"/>
            </m:rPr>
            <m:t>,</m:t>
          </m:r>
          <m:r>
            <m:t>  </m:t>
          </m:r>
          <m:sSub>
            <m:e>
              <m:r>
                <m:rPr>
                  <m:sty m:val="p"/>
                </m:rPr>
                <m:t>Δ</m:t>
              </m:r>
            </m:e>
            <m:sub>
              <m:r>
                <m:t>D</m:t>
              </m:r>
            </m:sub>
          </m:sSub>
          <m:r>
            <m:rPr>
              <m:sty m:val="p"/>
            </m:rPr>
            <m:t>=</m:t>
          </m:r>
          <m:sSub>
            <m:e>
              <m:r>
                <m:t>P</m:t>
              </m:r>
            </m:e>
            <m:sub>
              <m:r>
                <m:t>D</m:t>
              </m:r>
            </m:sub>
          </m:sSub>
          <m:r>
            <m:rPr>
              <m:sty m:val="p"/>
            </m:rPr>
            <m:t>−</m:t>
          </m:r>
          <m:sSub>
            <m:e>
              <m:r>
                <m:t>S</m:t>
              </m:r>
            </m:e>
            <m:sub>
              <m:r>
                <m:t>D</m:t>
              </m:r>
            </m:sub>
          </m:sSub>
          <m:r>
            <m:rPr>
              <m:sty m:val="p"/>
            </m:rPr>
            <m:t>.</m:t>
          </m:r>
        </m:oMath>
      </m:oMathPara>
    </w:p>
    <w:p>
      <w:pPr>
        <w:pStyle w:val="FirstParagraph"/>
      </w:pPr>
      <w:r>
        <w:t xml:space="preserve">A</w:t>
      </w:r>
      <w:r>
        <w:t xml:space="preserve"> </w:t>
      </w:r>
      <w:r>
        <w:rPr>
          <w:i/>
          <w:iCs/>
        </w:rPr>
        <w:t xml:space="preserve">positive</w:t>
      </w:r>
      <w:r>
        <w:t xml:space="preserve"> </w:t>
      </w:r>
      <w:r>
        <w:t xml:space="preserve">drop-off means that the presidential candidate received more votes than the same-party Senate candidate; a</w:t>
      </w:r>
      <w:r>
        <w:t xml:space="preserve"> </w:t>
      </w:r>
      <w:r>
        <w:rPr>
          <w:i/>
          <w:iCs/>
        </w:rPr>
        <w:t xml:space="preserve">negative</w:t>
      </w:r>
      <w:r>
        <w:t xml:space="preserve"> </w:t>
      </w:r>
      <w:r>
        <w:t xml:space="preserve">drop-off (sometimes called an</w:t>
      </w:r>
      <w:r>
        <w:t xml:space="preserve"> </w:t>
      </w:r>
      <w:r>
        <w:t xml:space="preserve">“overage”</w:t>
      </w:r>
      <w:r>
        <w:t xml:space="preserve"> </w:t>
      </w:r>
      <w:r>
        <w:t xml:space="preserve">in the down-ballot race) means the down-ballot candidate outperformed the presidential nominee.</w:t>
      </w:r>
    </w:p>
    <w:p>
      <w:pPr>
        <w:pStyle w:val="BodyText"/>
      </w:pPr>
      <w:r>
        <w:t xml:space="preserve">In political science, the related concept of</w:t>
      </w:r>
      <w:r>
        <w:t xml:space="preserve"> </w:t>
      </w:r>
      <w:r>
        <w:rPr>
          <w:i/>
          <w:iCs/>
        </w:rPr>
        <w:t xml:space="preserve">ballot roll-off</w:t>
      </w:r>
      <w:r>
        <w:t xml:space="preserve"> </w:t>
      </w:r>
      <w:r>
        <w:t xml:space="preserve">refers to voters casting ballots for high-profile races but not for lower-profile ones, leading to fewer votes in down-ballot contests.</w:t>
      </w:r>
      <w:r>
        <w:rPr>
          <w:rStyle w:val="FootnoteReference"/>
        </w:rPr>
        <w:footnoteReference w:id="26"/>
      </w:r>
      <w:r>
        <w:t xml:space="preserve"> </w:t>
      </w:r>
      <w:r>
        <w:t xml:space="preserve">Empirical studies have found that roll-off typically increases for lower-salience contests and can be influenced by ballot design, campaign intensity, and voter information.</w:t>
      </w:r>
      <w:r>
        <w:rPr>
          <w:rStyle w:val="FootnoteReference"/>
        </w:rPr>
        <w:footnoteReference w:id="27"/>
      </w:r>
    </w:p>
    <w:bookmarkEnd w:id="28"/>
    <w:bookmarkStart w:id="30" w:name="clark-county-nevada-example"/>
    <w:p>
      <w:pPr>
        <w:pStyle w:val="Heading3"/>
      </w:pPr>
      <w:r>
        <w:t xml:space="preserve">Clark County, Nevada Example</w:t>
      </w:r>
    </w:p>
    <w:p>
      <w:pPr>
        <w:pStyle w:val="FirstParagraph"/>
      </w:pPr>
      <w:r>
        <w:t xml:space="preserve">The</w:t>
      </w:r>
      <w:r>
        <w:t xml:space="preserve"> </w:t>
      </w:r>
      <w:r>
        <w:rPr>
          <w:i/>
          <w:iCs/>
        </w:rPr>
        <w:t xml:space="preserve">Newsweek</w:t>
      </w:r>
      <w:r>
        <w:t xml:space="preserve"> </w:t>
      </w:r>
      <w:r>
        <w:t xml:space="preserve">article on ETA’s claims gives a clear example from Clark County, Nevada, where both the presidential and Senate races were on the ballot in 2024. According to figures cited by ETA and reported by</w:t>
      </w:r>
      <w:r>
        <w:t xml:space="preserve"> </w:t>
      </w:r>
      <w:r>
        <w:rPr>
          <w:i/>
          <w:iCs/>
        </w:rPr>
        <w:t xml:space="preserve">Newsweek</w:t>
      </w:r>
      <w:r>
        <w:t xml:space="preserve">, in Clark County:</w:t>
      </w:r>
      <w:r>
        <w:rPr>
          <w:rStyle w:val="FootnoteReference"/>
        </w:rPr>
        <w:footnoteReference w:id="29"/>
      </w:r>
    </w:p>
    <w:p>
      <w:pPr>
        <w:pStyle w:val="Compact"/>
        <w:numPr>
          <w:ilvl w:val="0"/>
          <w:numId w:val="1006"/>
        </w:numPr>
      </w:pPr>
      <w:r>
        <w:t xml:space="preserve">Donald Trump received 493,052 votes for president.</w:t>
      </w:r>
    </w:p>
    <w:p>
      <w:pPr>
        <w:pStyle w:val="Compact"/>
        <w:numPr>
          <w:ilvl w:val="0"/>
          <w:numId w:val="1006"/>
        </w:numPr>
      </w:pPr>
      <w:r>
        <w:t xml:space="preserve">Republican Senate candidate Sam Brown received 441,057 votes.</w:t>
      </w:r>
    </w:p>
    <w:p>
      <w:pPr>
        <w:pStyle w:val="Compact"/>
        <w:numPr>
          <w:ilvl w:val="0"/>
          <w:numId w:val="1006"/>
        </w:numPr>
      </w:pPr>
      <w:r>
        <w:t xml:space="preserve">Kamala Harris received 520,187 votes for president.</w:t>
      </w:r>
    </w:p>
    <w:p>
      <w:pPr>
        <w:pStyle w:val="Compact"/>
        <w:numPr>
          <w:ilvl w:val="0"/>
          <w:numId w:val="1006"/>
        </w:numPr>
      </w:pPr>
      <w:r>
        <w:t xml:space="preserve">Democratic Senator Jacky Rosen received 514,662 votes.</w:t>
      </w:r>
    </w:p>
    <w:p>
      <w:pPr>
        <w:pStyle w:val="FirstParagraph"/>
      </w:pPr>
      <w:r>
        <w:t xml:space="preserve">Using the notation above, this implies:</w:t>
      </w:r>
    </w:p>
    <w:p>
      <w:pPr>
        <w:pStyle w:val="BodyText"/>
      </w:pPr>
      <m:oMathPara>
        <m:oMathParaPr>
          <m:jc m:val="center"/>
        </m:oMathParaPr>
        <m:oMath>
          <m:eqArr>
            <m:e>
              <m:sSub>
                <m:e>
                  <m:r>
                    <m:rPr>
                      <m:sty m:val="p"/>
                    </m:rPr>
                    <m:t>Δ</m:t>
                  </m:r>
                </m:e>
                <m:sub>
                  <m:r>
                    <m:t>R</m:t>
                  </m:r>
                </m:sub>
              </m:sSub>
              <m:r>
                <m:t>&amp;</m:t>
              </m:r>
              <m:r>
                <m:rPr>
                  <m:sty m:val="p"/>
                </m:rPr>
                <m:t>=</m:t>
              </m:r>
              <m:r>
                <m:t>493</m:t>
              </m:r>
              <m:r>
                <m:rPr>
                  <m:sty m:val="p"/>
                </m:rPr>
                <m:t>,</m:t>
              </m:r>
              <m:r>
                <m:t>052</m:t>
              </m:r>
              <m:r>
                <m:rPr>
                  <m:sty m:val="p"/>
                </m:rPr>
                <m:t>−</m:t>
              </m:r>
              <m:r>
                <m:t>441</m:t>
              </m:r>
              <m:r>
                <m:rPr>
                  <m:sty m:val="p"/>
                </m:rPr>
                <m:t>,</m:t>
              </m:r>
              <m:r>
                <m:t>057</m:t>
              </m:r>
              <m:r>
                <m:rPr>
                  <m:sty m:val="p"/>
                </m:rPr>
                <m:t>=</m:t>
              </m:r>
              <m:r>
                <m:t>51</m:t>
              </m:r>
              <m:r>
                <m:rPr>
                  <m:sty m:val="p"/>
                </m:rPr>
                <m:t>,</m:t>
              </m:r>
              <m:r>
                <m:t>995</m:t>
              </m:r>
              <m:r>
                <m:rPr>
                  <m:sty m:val="p"/>
                </m:rPr>
                <m:t>,</m:t>
              </m:r>
            </m:e>
            <m:e>
              <m:sSub>
                <m:e>
                  <m:r>
                    <m:rPr>
                      <m:sty m:val="p"/>
                    </m:rPr>
                    <m:t>Δ</m:t>
                  </m:r>
                </m:e>
                <m:sub>
                  <m:r>
                    <m:t>D</m:t>
                  </m:r>
                </m:sub>
              </m:sSub>
              <m:r>
                <m:t>&amp;</m:t>
              </m:r>
              <m:r>
                <m:rPr>
                  <m:sty m:val="p"/>
                </m:rPr>
                <m:t>=</m:t>
              </m:r>
              <m:r>
                <m:t>520</m:t>
              </m:r>
              <m:r>
                <m:rPr>
                  <m:sty m:val="p"/>
                </m:rPr>
                <m:t>,</m:t>
              </m:r>
              <m:r>
                <m:t>187</m:t>
              </m:r>
              <m:r>
                <m:rPr>
                  <m:sty m:val="p"/>
                </m:rPr>
                <m:t>−</m:t>
              </m:r>
              <m:r>
                <m:t>514</m:t>
              </m:r>
              <m:r>
                <m:rPr>
                  <m:sty m:val="p"/>
                </m:rPr>
                <m:t>,</m:t>
              </m:r>
              <m:r>
                <m:t>662</m:t>
              </m:r>
              <m:r>
                <m:rPr>
                  <m:sty m:val="p"/>
                </m:rPr>
                <m:t>=</m:t>
              </m:r>
              <m:r>
                <m:t>5</m:t>
              </m:r>
              <m:r>
                <m:rPr>
                  <m:sty m:val="p"/>
                </m:rPr>
                <m:t>,</m:t>
              </m:r>
              <m:r>
                <m:t>525</m:t>
              </m:r>
              <m:r>
                <m:rPr>
                  <m:sty m:val="p"/>
                </m:rPr>
                <m:t>.</m:t>
              </m:r>
            </m:e>
          </m:eqArr>
        </m:oMath>
      </m:oMathPara>
    </w:p>
    <w:p>
      <w:pPr>
        <w:pStyle w:val="FirstParagraph"/>
      </w:pPr>
      <w:r>
        <w:t xml:space="preserve">Expressed as percentages of the down-ballot totals, the drop-offs are approximately:</w:t>
      </w:r>
    </w:p>
    <w:p>
      <w:pPr>
        <w:pStyle w:val="BodyText"/>
      </w:pPr>
      <m:oMathPara>
        <m:oMathParaPr>
          <m:jc m:val="center"/>
        </m:oMathParaPr>
        <m:oMath>
          <m:eqArr>
            <m:e>
              <m:r>
                <m:rPr>
                  <m:nor/>
                  <m:sty m:val="p"/>
                </m:rPr>
                <m:t>Republican drop-off rate</m:t>
              </m:r>
              <m:r>
                <m:t>&amp;</m:t>
              </m:r>
              <m:r>
                <m:rPr>
                  <m:sty m:val="p"/>
                </m:rPr>
                <m:t>≈</m:t>
              </m:r>
              <m:f>
                <m:fPr>
                  <m:type m:val="bar"/>
                </m:fPr>
                <m:num>
                  <m:r>
                    <m:t>51</m:t>
                  </m:r>
                  <m:r>
                    <m:rPr>
                      <m:sty m:val="p"/>
                    </m:rPr>
                    <m:t>,</m:t>
                  </m:r>
                  <m:r>
                    <m:t>995</m:t>
                  </m:r>
                </m:num>
                <m:den>
                  <m:r>
                    <m:t>441</m:t>
                  </m:r>
                  <m:r>
                    <m:rPr>
                      <m:sty m:val="p"/>
                    </m:rPr>
                    <m:t>,</m:t>
                  </m:r>
                  <m:r>
                    <m:t>057</m:t>
                  </m:r>
                </m:den>
              </m:f>
              <m:r>
                <m:rPr>
                  <m:sty m:val="p"/>
                </m:rPr>
                <m:t>≈</m:t>
              </m:r>
              <m:r>
                <m:t>11.8</m:t>
              </m:r>
              <m:r>
                <m:rPr>
                  <m:sty m:val="p"/>
                </m:rPr>
                <m:t>%</m:t>
              </m:r>
              <m:r>
                <m:rPr>
                  <m:sty m:val="p"/>
                </m:rPr>
                <m:t>,</m:t>
              </m:r>
            </m:e>
            <m:e>
              <m:r>
                <m:rPr>
                  <m:nor/>
                  <m:sty m:val="p"/>
                </m:rPr>
                <m:t>Democratic drop-off rate</m:t>
              </m:r>
              <m:r>
                <m:t>&amp;</m:t>
              </m:r>
              <m:r>
                <m:rPr>
                  <m:sty m:val="p"/>
                </m:rPr>
                <m:t>≈</m:t>
              </m:r>
              <m:f>
                <m:fPr>
                  <m:type m:val="bar"/>
                </m:fPr>
                <m:num>
                  <m:r>
                    <m:t>5</m:t>
                  </m:r>
                  <m:r>
                    <m:rPr>
                      <m:sty m:val="p"/>
                    </m:rPr>
                    <m:t>,</m:t>
                  </m:r>
                  <m:r>
                    <m:t>525</m:t>
                  </m:r>
                </m:num>
                <m:den>
                  <m:r>
                    <m:t>514</m:t>
                  </m:r>
                  <m:r>
                    <m:rPr>
                      <m:sty m:val="p"/>
                    </m:rPr>
                    <m:t>,</m:t>
                  </m:r>
                  <m:r>
                    <m:t>662</m:t>
                  </m:r>
                </m:den>
              </m:f>
              <m:r>
                <m:rPr>
                  <m:sty m:val="p"/>
                </m:rPr>
                <m:t>≈</m:t>
              </m:r>
              <m:r>
                <m:t>1.1</m:t>
              </m:r>
              <m:r>
                <m:rPr>
                  <m:sty m:val="p"/>
                </m:rPr>
                <m:t>%</m:t>
              </m:r>
              <m:r>
                <m:rPr>
                  <m:sty m:val="p"/>
                </m:rPr>
                <m:t>.</m:t>
              </m:r>
            </m:e>
          </m:eqArr>
        </m:oMath>
      </m:oMathPara>
    </w:p>
    <w:p>
      <w:pPr>
        <w:pStyle w:val="FirstParagraph"/>
      </w:pPr>
      <w:r>
        <w:t xml:space="preserve">ETA and SMART Elections argue that this large asymmetry—Trump apparently attracting tens of thousands more county-level votes than the Republican Senate candidate, while Harris only slightly outperforming Rosen—is historically unusual and could reflect artificially inflated presidential votes for Trump.</w:t>
      </w:r>
    </w:p>
    <w:bookmarkEnd w:id="30"/>
    <w:bookmarkStart w:id="32" w:name="Xc27468bc11221afb4e3444a716401bbb86401b9"/>
    <w:p>
      <w:pPr>
        <w:pStyle w:val="Heading3"/>
      </w:pPr>
      <w:r>
        <w:t xml:space="preserve">Why Might Such a Pattern Occur Without Fraud?</w:t>
      </w:r>
    </w:p>
    <w:p>
      <w:pPr>
        <w:pStyle w:val="FirstParagraph"/>
      </w:pPr>
      <w:r>
        <w:t xml:space="preserve">Several non-fraud explanations are possible:</w:t>
      </w:r>
    </w:p>
    <w:p>
      <w:pPr>
        <w:pStyle w:val="Compact"/>
        <w:numPr>
          <w:ilvl w:val="0"/>
          <w:numId w:val="1007"/>
        </w:numPr>
      </w:pPr>
      <w:r>
        <w:rPr>
          <w:b/>
          <w:bCs/>
        </w:rPr>
        <w:t xml:space="preserve">Candidate-specific appeal and ticket-splitting.</w:t>
      </w:r>
      <w:r>
        <w:t xml:space="preserve"> </w:t>
      </w:r>
      <w:r>
        <w:t xml:space="preserve">It is not uncommon for high-salience presidential candidates to outperform down-ballot candidates of the same party, especially when the down-ballot race is less visible or the candidate is weaker. Analyses of previous elections have found that down-ballot roll-off and over-performance can differ systematically by party and context. For example, a 2022 analysis by Sister District found that in 57 presidential races across multiple cycles, Democratic presidential candidates almost always experienced roll-off relative to down-ballot candidates, while Republicans saw more instances where down-ballot candidates overperformed.</w:t>
      </w:r>
      <w:r>
        <w:rPr>
          <w:rStyle w:val="FootnoteReference"/>
        </w:rPr>
        <w:footnoteReference w:id="31"/>
      </w:r>
    </w:p>
    <w:p>
      <w:pPr>
        <w:numPr>
          <w:ilvl w:val="0"/>
          <w:numId w:val="1008"/>
        </w:numPr>
      </w:pPr>
      <w:r>
        <w:rPr>
          <w:b/>
          <w:bCs/>
        </w:rPr>
        <w:t xml:space="preserve">Ballot design and race salience.</w:t>
      </w:r>
      <w:r>
        <w:t xml:space="preserve"> </w:t>
      </w:r>
      <w:r>
        <w:t xml:space="preserve">Voters may be motivated primarily by the presidential race and pay less attention to Senate contests, particularly if media coverage focuses on the national horserace. Conversely, a particularly salient Senate race can reduce roll-off.</w:t>
      </w:r>
    </w:p>
    <w:p>
      <w:pPr>
        <w:numPr>
          <w:ilvl w:val="0"/>
          <w:numId w:val="1008"/>
        </w:numPr>
      </w:pPr>
      <w:r>
        <w:rPr>
          <w:b/>
          <w:bCs/>
        </w:rPr>
        <w:t xml:space="preserve">Voter mobilization patterns.</w:t>
      </w:r>
      <w:r>
        <w:t xml:space="preserve"> </w:t>
      </w:r>
      <w:r>
        <w:t xml:space="preserve">If Trump’s campaign disproportionately mobilized occasional or low-information voters in Clark County who cared primarily about the presidential race, those voters might be more likely to skip down-ballot contests, leading to a larger Republican presidential drop-off.</w:t>
      </w:r>
    </w:p>
    <w:p>
      <w:pPr>
        <w:pStyle w:val="FirstParagraph"/>
      </w:pPr>
      <w:r>
        <w:t xml:space="preserve">The crucial question is not whether some asymmetry is unusual compared to a stylized model of party-line voting, but whether the specific magnitudes observed in Clark County are implausible given the political context. ETA’s claim is that the combination of (a) Trump winning Nevada by roughly 50,000 votes, and (b) an approximately 52,000-vote presidential overperformance relative to the Republican Senate candidate in Clark County, is sufficiently striking to warrant suspicion.</w:t>
      </w:r>
    </w:p>
    <w:p>
      <w:pPr>
        <w:pStyle w:val="BodyText"/>
      </w:pPr>
      <w:r>
        <w:t xml:space="preserve">However, demonstrating</w:t>
      </w:r>
      <w:r>
        <w:t xml:space="preserve"> </w:t>
      </w:r>
      <w:r>
        <w:rPr>
          <w:i/>
          <w:iCs/>
        </w:rPr>
        <w:t xml:space="preserve">implausibility</w:t>
      </w:r>
      <w:r>
        <w:t xml:space="preserve"> </w:t>
      </w:r>
      <w:r>
        <w:t xml:space="preserve">statistically requires more than pointing to an asymmetry: it requires a well-defined null model (e.g., historical distribution of presidential vs Senate drop-off in similar counties) and a formal test. ETA and allied groups have taken steps in this direction—for example, comparing 2024 drop-off to historical averages—but these comparisons are sensitive to choice of baseline and to changes in political context between cycles.</w:t>
      </w:r>
    </w:p>
    <w:bookmarkEnd w:id="32"/>
    <w:bookmarkStart w:id="33" w:name="relevance-to-machine-manipulation"/>
    <w:p>
      <w:pPr>
        <w:pStyle w:val="Heading3"/>
      </w:pPr>
      <w:r>
        <w:t xml:space="preserve">Relevance to Machine Manipulation</w:t>
      </w:r>
    </w:p>
    <w:p>
      <w:pPr>
        <w:pStyle w:val="FirstParagraph"/>
      </w:pPr>
      <w:r>
        <w:t xml:space="preserve">Drop-off analysis by itself does</w:t>
      </w:r>
      <w:r>
        <w:t xml:space="preserve"> </w:t>
      </w:r>
      <w:r>
        <w:rPr>
          <w:i/>
          <w:iCs/>
        </w:rPr>
        <w:t xml:space="preserve">not</w:t>
      </w:r>
      <w:r>
        <w:t xml:space="preserve"> </w:t>
      </w:r>
      <w:r>
        <w:t xml:space="preserve">directly implicate voting machines. It is consistent with both hand-counted and machine-counted ballots. The argument for machine manipulation is therefore indirect: ETA interprets large, asymmetric drop-offs in jurisdictions that rely on vendor tabulators (especially where detailed tabulator-level data show additional anomalies) as suggestive that machines could have been configured or tampered with to inflate one candidate’s totals.</w:t>
      </w:r>
    </w:p>
    <w:p>
      <w:pPr>
        <w:pStyle w:val="BodyText"/>
      </w:pPr>
      <w:r>
        <w:t xml:space="preserve">From a forensic standpoint, the most that drop-off patterns can do alone is flag races and jurisdictions where more granular auditing (for example, hand-counting a statistically valid sample of ballots) might be warranted.</w:t>
      </w:r>
    </w:p>
    <w:bookmarkEnd w:id="33"/>
    <w:bookmarkEnd w:id="34"/>
    <w:bookmarkStart w:id="39" w:name="vote-share-vs-turnout-correlations"/>
    <w:p>
      <w:pPr>
        <w:pStyle w:val="Heading2"/>
      </w:pPr>
      <w:r>
        <w:t xml:space="preserve">Vote Share vs Turnout Correlations</w:t>
      </w:r>
    </w:p>
    <w:bookmarkStart w:id="35" w:name="concept"/>
    <w:p>
      <w:pPr>
        <w:pStyle w:val="Heading3"/>
      </w:pPr>
      <w:r>
        <w:t xml:space="preserve">Concept</w:t>
      </w:r>
    </w:p>
    <w:p>
      <w:pPr>
        <w:pStyle w:val="FirstParagraph"/>
      </w:pPr>
      <w:r>
        <w:t xml:space="preserve">Another pattern ETA emphasizes is a strong, monotonic relationship between precinct-level turnout and the leading candidate’s vote share. For each precinct</w:t>
      </w:r>
      <w:r>
        <w:t xml:space="preserve"> </w:t>
      </w:r>
      <m:oMath>
        <m:r>
          <m:t>i</m:t>
        </m:r>
      </m:oMath>
      <w:r>
        <w:t xml:space="preserve">, let</w:t>
      </w:r>
      <w:r>
        <w:t xml:space="preserve"> </w:t>
      </w:r>
      <m:oMath>
        <m:sSub>
          <m:e>
            <m:r>
              <m:t>t</m:t>
            </m:r>
          </m:e>
          <m:sub>
            <m:r>
              <m:t>i</m:t>
            </m:r>
          </m:sub>
        </m:sSub>
      </m:oMath>
      <w:r>
        <w:t xml:space="preserve"> </w:t>
      </w:r>
      <w:r>
        <w:t xml:space="preserve">denote turnout (votes cast as a fraction of registered voters or eligible electors) and</w:t>
      </w:r>
      <w:r>
        <w:t xml:space="preserve"> </w:t>
      </w:r>
      <m:oMath>
        <m:sSub>
          <m:e>
            <m:r>
              <m:t>s</m:t>
            </m:r>
          </m:e>
          <m:sub>
            <m:r>
              <m:t>i</m:t>
            </m:r>
          </m:sub>
        </m:sSub>
      </m:oMath>
      <w:r>
        <w:t xml:space="preserve"> </w:t>
      </w:r>
      <w:r>
        <w:t xml:space="preserve">the fraction of votes cast for candidate</w:t>
      </w:r>
      <w:r>
        <w:t xml:space="preserve"> </w:t>
      </w:r>
      <m:oMath>
        <m:r>
          <m:t>A</m:t>
        </m:r>
      </m:oMath>
      <w:r>
        <w:t xml:space="preserve">. A typical plot places</w:t>
      </w:r>
      <w:r>
        <w:t xml:space="preserve"> </w:t>
      </w:r>
      <m:oMath>
        <m:sSub>
          <m:e>
            <m:r>
              <m:t>t</m:t>
            </m:r>
          </m:e>
          <m:sub>
            <m:r>
              <m:t>i</m:t>
            </m:r>
          </m:sub>
        </m:sSub>
      </m:oMath>
      <w:r>
        <w:t xml:space="preserve"> </w:t>
      </w:r>
      <w:r>
        <w:t xml:space="preserve">on the horizontal axis and</w:t>
      </w:r>
      <w:r>
        <w:t xml:space="preserve"> </w:t>
      </w:r>
      <m:oMath>
        <m:sSub>
          <m:e>
            <m:r>
              <m:t>s</m:t>
            </m:r>
          </m:e>
          <m:sub>
            <m:r>
              <m:t>i</m:t>
            </m:r>
          </m:sub>
        </m:sSub>
      </m:oMath>
      <w:r>
        <w:t xml:space="preserve"> </w:t>
      </w:r>
      <w:r>
        <w:t xml:space="preserve">on the vertical axis.</w:t>
      </w:r>
    </w:p>
    <w:p>
      <w:pPr>
        <w:pStyle w:val="BodyText"/>
      </w:pPr>
      <w:r>
        <w:t xml:space="preserve">In a competitive, heterogeneous election, one might expect only a weak relationship between turnout and</w:t>
      </w:r>
      <w:r>
        <w:t xml:space="preserve"> </w:t>
      </w:r>
      <m:oMath>
        <m:sSub>
          <m:e>
            <m:r>
              <m:t>s</m:t>
            </m:r>
          </m:e>
          <m:sub>
            <m:r>
              <m:t>i</m:t>
            </m:r>
          </m:sub>
        </m:sSub>
      </m:oMath>
      <w:r>
        <w:t xml:space="preserve">, because turnout can be influenced by many factors (mobilization, weather, local demographics) while vote preference reflects local partisan composition and campaign effects. In some cases, however, election-forensics researchers have observed striking patterns: for example, in certain Russian elections, candidate vote share increases sharply with turnout beyond a certain threshold, with an accompanying accumulation of precincts at very high turnout and very high vote share. Sergei Shpilkin and others have argued that such patterns are characteristic of ballot-stuffing or artificial addition of votes.</w:t>
      </w:r>
    </w:p>
    <w:bookmarkEnd w:id="35"/>
    <w:bookmarkStart w:id="37" w:name="etas-use-of-turnoutvote-share-plots"/>
    <w:p>
      <w:pPr>
        <w:pStyle w:val="Heading3"/>
      </w:pPr>
      <w:r>
        <w:t xml:space="preserve">ETA’s Use of Turnout–Vote Share Plots</w:t>
      </w:r>
    </w:p>
    <w:p>
      <w:pPr>
        <w:pStyle w:val="FirstParagraph"/>
      </w:pPr>
      <w:r>
        <w:t xml:space="preserve">ETA adopts this diagnostic, especially in its analyses of North Carolina and Pennsylvania. In its North Carolina short-form report, ETA states that both Early Voting and Election Day voting</w:t>
      </w:r>
      <w:r>
        <w:t xml:space="preserve"> </w:t>
      </w:r>
      <w:r>
        <w:t xml:space="preserve">“show trends acknowledged internationally as</w:t>
      </w:r>
      <w:r>
        <w:t xml:space="preserve"> </w:t>
      </w:r>
      <w:r>
        <w:t xml:space="preserve">‘election integrity red flags’</w:t>
      </w:r>
      <w:r>
        <w:t xml:space="preserve"> </w:t>
      </w:r>
      <w:r>
        <w:t xml:space="preserve">that may indicate artificially inflated votes,”</w:t>
      </w:r>
      <w:r>
        <w:t xml:space="preserve"> </w:t>
      </w:r>
      <w:r>
        <w:t xml:space="preserve">while mail-in results do not.</w:t>
      </w:r>
      <w:r>
        <w:rPr>
          <w:rStyle w:val="FootnoteReference"/>
        </w:rPr>
        <w:footnoteReference w:id="36"/>
      </w:r>
    </w:p>
    <w:p>
      <w:pPr>
        <w:pStyle w:val="BodyText"/>
      </w:pPr>
      <w:r>
        <w:t xml:space="preserve">The pattern they highlight is roughly as follows:</w:t>
      </w:r>
    </w:p>
    <w:p>
      <w:pPr>
        <w:pStyle w:val="Compact"/>
        <w:numPr>
          <w:ilvl w:val="0"/>
          <w:numId w:val="1009"/>
        </w:numPr>
      </w:pPr>
      <w:r>
        <w:t xml:space="preserve">For mail-in ballots, turnout by precinct is modest and the vote share for Trump and Harris varies in a way that appears roughly independent of turnout.</w:t>
      </w:r>
    </w:p>
    <w:p>
      <w:pPr>
        <w:pStyle w:val="Compact"/>
        <w:numPr>
          <w:ilvl w:val="0"/>
          <w:numId w:val="1009"/>
        </w:numPr>
      </w:pPr>
      <w:r>
        <w:t xml:space="preserve">For in-person modes (especially Election Day), precincts with higher turnout are disproportionately those where Trump receives a larger share of the vote, producing an upward-sloping cloud in the</w:t>
      </w:r>
      <w:r>
        <w:t xml:space="preserve"> </w:t>
      </w:r>
      <m:oMath>
        <m:r>
          <m:rPr>
            <m:sty m:val="p"/>
          </m:rPr>
          <m:t>(</m:t>
        </m:r>
        <m:sSub>
          <m:e>
            <m:r>
              <m:t>t</m:t>
            </m:r>
          </m:e>
          <m:sub>
            <m:r>
              <m:t>i</m:t>
            </m:r>
          </m:sub>
        </m:sSub>
        <m:r>
          <m:rPr>
            <m:sty m:val="p"/>
          </m:rPr>
          <m:t>,</m:t>
        </m:r>
        <m:sSub>
          <m:e>
            <m:r>
              <m:t>s</m:t>
            </m:r>
          </m:e>
          <m:sub>
            <m:r>
              <m:t>i</m:t>
            </m:r>
          </m:sub>
        </m:sSub>
        <m:r>
          <m:rPr>
            <m:sty m:val="p"/>
          </m:rPr>
          <m:t>)</m:t>
        </m:r>
      </m:oMath>
      <w:r>
        <w:t xml:space="preserve"> </w:t>
      </w:r>
      <w:r>
        <w:t xml:space="preserve">plane.</w:t>
      </w:r>
    </w:p>
    <w:p>
      <w:pPr>
        <w:pStyle w:val="FirstParagraph"/>
      </w:pPr>
      <w:r>
        <w:t xml:space="preserve">ETA notes that similar patterns have been flagged as suspicious in international contexts, particularly where unusually high turnout precincts at the right-hand side of the plot also exhibit extreme vote shares (e.g.,</w:t>
      </w:r>
      <w:r>
        <w:t xml:space="preserve"> </w:t>
      </w:r>
      <m:oMath>
        <m:r>
          <m:rPr>
            <m:sty m:val="p"/>
          </m:rPr>
          <m:t>&gt;</m:t>
        </m:r>
        <m:r>
          <m:t>90</m:t>
        </m:r>
        <m:r>
          <m:rPr>
            <m:sty m:val="p"/>
          </m:rPr>
          <m:t>%</m:t>
        </m:r>
      </m:oMath>
      <w:r>
        <w:t xml:space="preserve"> </w:t>
      </w:r>
      <w:r>
        <w:t xml:space="preserve">for the incumbent).</w:t>
      </w:r>
    </w:p>
    <w:bookmarkEnd w:id="37"/>
    <w:bookmarkStart w:id="38" w:name="example-and-interpretation"/>
    <w:p>
      <w:pPr>
        <w:pStyle w:val="Heading3"/>
      </w:pPr>
      <w:r>
        <w:t xml:space="preserve">Example and Interpretation</w:t>
      </w:r>
    </w:p>
    <w:p>
      <w:pPr>
        <w:pStyle w:val="FirstParagraph"/>
      </w:pPr>
      <w:r>
        <w:t xml:space="preserve">While ETA’s own plots are graphical rather than purely numerical, the general structure can be illustrated. Suppose in county</w:t>
      </w:r>
      <w:r>
        <w:t xml:space="preserve"> </w:t>
      </w:r>
      <m:oMath>
        <m:r>
          <m:t>X</m:t>
        </m:r>
      </m:oMath>
      <w:r>
        <w:t xml:space="preserve"> </w:t>
      </w:r>
      <w:r>
        <w:t xml:space="preserve">we observe 500 precincts, each with turnout between 40% and 90%. For mail-in ballots, the correlation between precinct turnout and Trump vote share might be modest, say</w:t>
      </w:r>
      <w:r>
        <w:t xml:space="preserve"> </w:t>
      </w:r>
      <m:oMath>
        <m:r>
          <m:t>r</m:t>
        </m:r>
        <m:r>
          <m:rPr>
            <m:sty m:val="p"/>
          </m:rPr>
          <m:t>≈</m:t>
        </m:r>
        <m:r>
          <m:t>0.1</m:t>
        </m:r>
      </m:oMath>
      <w:r>
        <w:t xml:space="preserve">, indicating almost no relationship. For Election Day ballots, however, the correlation might be much stronger, say</w:t>
      </w:r>
      <w:r>
        <w:t xml:space="preserve"> </w:t>
      </w:r>
      <m:oMath>
        <m:r>
          <m:t>r</m:t>
        </m:r>
        <m:r>
          <m:rPr>
            <m:sty m:val="p"/>
          </m:rPr>
          <m:t>≈</m:t>
        </m:r>
        <m:r>
          <m:t>0.5</m:t>
        </m:r>
      </m:oMath>
      <w:r>
        <w:t xml:space="preserve">, with precincts above 70% turnout consistently giving Trump 65–75% of the vote.</w:t>
      </w:r>
    </w:p>
    <w:p>
      <w:pPr>
        <w:pStyle w:val="BodyText"/>
      </w:pPr>
      <w:r>
        <w:t xml:space="preserve">ETA interprets such a pattern as suggestive of added ballots in pro-Trump precincts: if extra ballots are introduced in certain precincts for Trump (either via machine tampering or other means), both turnout and Trump share would be inflated simultaneously, creating an artificial correlation.</w:t>
      </w:r>
    </w:p>
    <w:p>
      <w:pPr>
        <w:pStyle w:val="BodyText"/>
      </w:pPr>
      <w:r>
        <w:t xml:space="preserve">However, there are important caveats:</w:t>
      </w:r>
    </w:p>
    <w:p>
      <w:pPr>
        <w:numPr>
          <w:ilvl w:val="0"/>
          <w:numId w:val="1010"/>
        </w:numPr>
      </w:pPr>
      <w:r>
        <w:rPr>
          <w:b/>
          <w:bCs/>
        </w:rPr>
        <w:t xml:space="preserve">Ecological confounding.</w:t>
      </w:r>
      <w:r>
        <w:t xml:space="preserve"> </w:t>
      </w:r>
      <w:r>
        <w:t xml:space="preserve">Precincts are not randomly assigned levels of turnout; highly mobilized, strongly partisan communities can simultaneously have higher turnout and higher support for one candidate without any fraud. For example, rural conservative precincts might both turn out at higher rates and vote overwhelmingly for Trump.</w:t>
      </w:r>
    </w:p>
    <w:p>
      <w:pPr>
        <w:numPr>
          <w:ilvl w:val="0"/>
          <w:numId w:val="1010"/>
        </w:numPr>
      </w:pPr>
      <w:r>
        <w:rPr>
          <w:b/>
          <w:bCs/>
        </w:rPr>
        <w:t xml:space="preserve">Mode-specific partisan splits.</w:t>
      </w:r>
      <w:r>
        <w:t xml:space="preserve"> </w:t>
      </w:r>
      <w:r>
        <w:t xml:space="preserve">Since 2020, Republicans have tended to prefer in-person voting (especially on Election Day), while Democrats have made heavier use of mail-in and early voting. This mode-specific polarization can create very different turnout–vote share relationships by mode without any manipulation.</w:t>
      </w:r>
    </w:p>
    <w:p>
      <w:pPr>
        <w:numPr>
          <w:ilvl w:val="0"/>
          <w:numId w:val="1010"/>
        </w:numPr>
      </w:pPr>
      <w:r>
        <w:rPr>
          <w:b/>
          <w:bCs/>
        </w:rPr>
        <w:t xml:space="preserve">Heterogeneous baselines.</w:t>
      </w:r>
      <w:r>
        <w:t xml:space="preserve"> </w:t>
      </w:r>
      <w:r>
        <w:t xml:space="preserve">Shpilkin-style diagnostics were developed in settings like Russia, where official turnout figures in some precincts exceed 95% with near-unanimous votes for the incumbent, a pattern extremely unusual in competitive democracies. In the U.S. context, distributions are typically much less extreme, making analogies imperfect.</w:t>
      </w:r>
    </w:p>
    <w:p>
      <w:pPr>
        <w:pStyle w:val="FirstParagraph"/>
      </w:pPr>
      <w:r>
        <w:t xml:space="preserve">In short, while turnout–vote share correlations can certainly be</w:t>
      </w:r>
      <w:r>
        <w:t xml:space="preserve"> </w:t>
      </w:r>
      <w:r>
        <w:rPr>
          <w:i/>
          <w:iCs/>
        </w:rPr>
        <w:t xml:space="preserve">consistent</w:t>
      </w:r>
      <w:r>
        <w:t xml:space="preserve"> </w:t>
      </w:r>
      <w:r>
        <w:t xml:space="preserve">with artificial vote inflation, they are not in themselves strong evidence of machine manipulation absent further corroboration (e.g., inconsistencies between scanner tallies and hand counts).</w:t>
      </w:r>
    </w:p>
    <w:bookmarkEnd w:id="38"/>
    <w:bookmarkEnd w:id="39"/>
    <w:bookmarkStart w:id="45" w:name="Xc046c6d2da4bb40f45d50abf36c8754969501f0"/>
    <w:p>
      <w:pPr>
        <w:pStyle w:val="Heading2"/>
      </w:pPr>
      <w:r>
        <w:t xml:space="preserve">Turnout Distributions and the</w:t>
      </w:r>
      <w:r>
        <w:t xml:space="preserve"> </w:t>
      </w:r>
      <w:r>
        <w:t xml:space="preserve">“Russian Tail”</w:t>
      </w:r>
    </w:p>
    <w:bookmarkStart w:id="40" w:name="the-shpilkin-method"/>
    <w:p>
      <w:pPr>
        <w:pStyle w:val="Heading3"/>
      </w:pPr>
      <w:r>
        <w:t xml:space="preserve">The Shpilkin Method</w:t>
      </w:r>
    </w:p>
    <w:p>
      <w:pPr>
        <w:pStyle w:val="FirstParagraph"/>
      </w:pPr>
      <w:r>
        <w:t xml:space="preserve">The term</w:t>
      </w:r>
      <w:r>
        <w:t xml:space="preserve"> </w:t>
      </w:r>
      <w:r>
        <w:rPr>
          <w:i/>
          <w:iCs/>
        </w:rPr>
        <w:t xml:space="preserve">Russian tail</w:t>
      </w:r>
      <w:r>
        <w:t xml:space="preserve"> </w:t>
      </w:r>
      <w:r>
        <w:t xml:space="preserve">refers to the observation, first popularized by Sergei Shpilkin, that in some Russian elections the histogram of precinct turnout exhibits a bell-shaped main mass plus a long right-hand tail of very high-turnout precincts that also heavily favor the incumbent. These tails are often accompanied by spikes at rounded turnout values (e.g., exactly 80% or 90%), suggesting target quotas.</w:t>
      </w:r>
    </w:p>
    <w:p>
      <w:pPr>
        <w:pStyle w:val="BodyText"/>
      </w:pPr>
      <w:r>
        <w:t xml:space="preserve">ETA explicitly adopts this language in its Pennsylvania report, which includes a section titled</w:t>
      </w:r>
      <w:r>
        <w:t xml:space="preserve"> </w:t>
      </w:r>
      <w:r>
        <w:t xml:space="preserve">“Normal Distribution vs</w:t>
      </w:r>
      <w:r>
        <w:t xml:space="preserve"> </w:t>
      </w:r>
      <w:r>
        <w:t xml:space="preserve">‘Russian Tail’</w:t>
      </w:r>
      <w:r>
        <w:t xml:space="preserve"> </w:t>
      </w:r>
      <w:r>
        <w:t xml:space="preserve">(Sergei Shpilkin).”</w:t>
      </w:r>
      <w:r>
        <w:t xml:space="preserve"> </w:t>
      </w:r>
      <w:r>
        <w:t xml:space="preserve">The idea is to compare the empirical distribution of precinct turnout with what might be expected under a roughly normal or log-normal model, and to note whether there is an excess of high-turnout precincts beyond that.</w:t>
      </w:r>
    </w:p>
    <w:bookmarkEnd w:id="40"/>
    <w:bookmarkStart w:id="42" w:name="etas-pennsylvania-findings"/>
    <w:p>
      <w:pPr>
        <w:pStyle w:val="Heading3"/>
      </w:pPr>
      <w:r>
        <w:t xml:space="preserve">ETA’s Pennsylvania Findings</w:t>
      </w:r>
    </w:p>
    <w:p>
      <w:pPr>
        <w:pStyle w:val="FirstParagraph"/>
      </w:pPr>
      <w:r>
        <w:t xml:space="preserve">ETA’s Pennsylvania analysis describes patterns in Philadelphia, Allegheny, and Erie Counties where turnout distributions for certain vote modes (particularly in-person voting) show an extended right-hand tail that ETA considers suspicious. Their narrative emphasizes that these high-turnout precincts also tend to favor one candidate disproportionately.</w:t>
      </w:r>
    </w:p>
    <w:p>
      <w:pPr>
        <w:pStyle w:val="BodyText"/>
      </w:pPr>
      <w:r>
        <w:t xml:space="preserve">However, their own summary is cautious. They note that disruptions on Election Day—including bomb threats, machine failures, and ballot-printing issues—affected voting procedures in multiple Pennsylvania counties and could create complex, asymmetric effects on turnout and vote counting.</w:t>
      </w:r>
      <w:r>
        <w:rPr>
          <w:rStyle w:val="FootnoteReference"/>
        </w:rPr>
        <w:footnoteReference w:id="41"/>
      </w:r>
    </w:p>
    <w:bookmarkEnd w:id="42"/>
    <w:bookmarkStart w:id="44" w:name="Xc912f3f7ca87a7172669fde60458b2d961197a7"/>
    <w:p>
      <w:pPr>
        <w:pStyle w:val="Heading3"/>
      </w:pPr>
      <w:r>
        <w:t xml:space="preserve">Comparison with Mebane’s eforensics Analysis</w:t>
      </w:r>
    </w:p>
    <w:p>
      <w:pPr>
        <w:pStyle w:val="FirstParagraph"/>
      </w:pPr>
      <w:r>
        <w:t xml:space="preserve">Mebane’s 2025 working paper on Pennsylvania applies a Bayesian election-forensics model (eforensics) that jointly analyzes turnout and vote choice to estimate the probability that each precinct’s results reflect mixtures of no fraud, incremental fraud, and extreme fraud. Using precinct data supplied by ETA and official sources, he finds the following:</w:t>
      </w:r>
      <w:r>
        <w:rPr>
          <w:rStyle w:val="FootnoteReference"/>
        </w:rPr>
        <w:footnoteReference w:id="43"/>
      </w:r>
    </w:p>
    <w:p>
      <w:pPr>
        <w:pStyle w:val="Compact"/>
        <w:numPr>
          <w:ilvl w:val="0"/>
          <w:numId w:val="1011"/>
        </w:numPr>
      </w:pPr>
      <w:r>
        <w:t xml:space="preserve">Depending on model specification, between roughly 1,800 and 1,820 of 9,157 precincts are classified as having</w:t>
      </w:r>
      <w:r>
        <w:t xml:space="preserve"> </w:t>
      </w:r>
      <w:r>
        <w:t xml:space="preserve">“eforensics-frauds,”</w:t>
      </w:r>
      <w:r>
        <w:t xml:space="preserve"> </w:t>
      </w:r>
      <w:r>
        <w:t xml:space="preserve">with a small number exhibiting</w:t>
      </w:r>
      <w:r>
        <w:t xml:space="preserve"> </w:t>
      </w:r>
      <w:r>
        <w:t xml:space="preserve">“extreme”</w:t>
      </w:r>
      <w:r>
        <w:t xml:space="preserve"> </w:t>
      </w:r>
      <w:r>
        <w:t xml:space="preserve">fraud signals.</w:t>
      </w:r>
    </w:p>
    <w:p>
      <w:pPr>
        <w:pStyle w:val="Compact"/>
        <w:numPr>
          <w:ilvl w:val="0"/>
          <w:numId w:val="1011"/>
        </w:numPr>
      </w:pPr>
      <w:r>
        <w:t xml:space="preserve">The total number of</w:t>
      </w:r>
      <w:r>
        <w:t xml:space="preserve"> </w:t>
      </w:r>
      <w:r>
        <w:t xml:space="preserve">“eforensics-fraudulent”</w:t>
      </w:r>
      <w:r>
        <w:t xml:space="preserve"> </w:t>
      </w:r>
      <w:r>
        <w:t xml:space="preserve">votes is estimated at around 210,000–225,000, with wide credible intervals. This exceeds the statewide margin between Trump and Harris (120,266 votes).</w:t>
      </w:r>
    </w:p>
    <w:p>
      <w:pPr>
        <w:pStyle w:val="Compact"/>
        <w:numPr>
          <w:ilvl w:val="0"/>
          <w:numId w:val="1011"/>
        </w:numPr>
      </w:pPr>
      <w:r>
        <w:t xml:space="preserve">However, when the model is adjusted and interpreted using benchmarks from German elections, Mebane argues that only a subset of these inferred fraudulent votes are likely due to</w:t>
      </w:r>
      <w:r>
        <w:t xml:space="preserve"> </w:t>
      </w:r>
      <w:r>
        <w:t xml:space="preserve">“malevolent distortions”</w:t>
      </w:r>
      <w:r>
        <w:t xml:space="preserve"> </w:t>
      </w:r>
      <w:r>
        <w:t xml:space="preserve">(as opposed to strategic voting or other non-fraudulent behaviors), and that this subset (around 113,000 votes) is smaller than the margin.</w:t>
      </w:r>
    </w:p>
    <w:p>
      <w:pPr>
        <w:pStyle w:val="FirstParagraph"/>
      </w:pPr>
      <w:r>
        <w:t xml:space="preserve">Crucially, Mebane emphasizes that eforensics cannot directly distinguish deliberate fraud from complex patterns of strategic behavior and election-day disruptions. The model works at the precinct level and does not identify specific mechanisms (such as machine tampering vs. voter suppression). He also does not attribute anomalies to any particular vendor or technology.</w:t>
      </w:r>
    </w:p>
    <w:p>
      <w:pPr>
        <w:pStyle w:val="BodyText"/>
      </w:pPr>
      <w:r>
        <w:t xml:space="preserve">Thus, while both ETA and Mebane highlight irregular-looking turnout patterns in Pennsylvania, neither provides direct evidence of machine manipulation. Their work underscores that the data are</w:t>
      </w:r>
      <w:r>
        <w:t xml:space="preserve"> </w:t>
      </w:r>
      <w:r>
        <w:rPr>
          <w:i/>
          <w:iCs/>
        </w:rPr>
        <w:t xml:space="preserve">consistent</w:t>
      </w:r>
      <w:r>
        <w:t xml:space="preserve"> </w:t>
      </w:r>
      <w:r>
        <w:t xml:space="preserve">with significant distortions but do not definitively resolve their cause.</w:t>
      </w:r>
    </w:p>
    <w:bookmarkEnd w:id="44"/>
    <w:bookmarkEnd w:id="45"/>
    <w:bookmarkStart w:id="51" w:name="X920a05e8e7902439ea835d20b267fbe5c9a9373"/>
    <w:p>
      <w:pPr>
        <w:pStyle w:val="Heading2"/>
      </w:pPr>
      <w:r>
        <w:t xml:space="preserve">Tabulator-Level Patterns in Clark County, Nevada</w:t>
      </w:r>
    </w:p>
    <w:bookmarkStart w:id="47" w:name="cast-vote-records-and-tabulators"/>
    <w:p>
      <w:pPr>
        <w:pStyle w:val="Heading3"/>
      </w:pPr>
      <w:r>
        <w:t xml:space="preserve">Cast Vote Records and Tabulators</w:t>
      </w:r>
    </w:p>
    <w:p>
      <w:pPr>
        <w:pStyle w:val="FirstParagraph"/>
      </w:pPr>
      <w:r>
        <w:t xml:space="preserve">One of ETA’s most distinctive contributions is its use of cast vote records (CVRs) and tabulator-level data from Clark County, Nevada. A cast vote record is an electronic representation of how each ballot was interpreted by the scanner: a row in a table with binary indicators for each contest and choice.</w:t>
      </w:r>
      <w:r>
        <w:rPr>
          <w:rStyle w:val="FootnoteReference"/>
        </w:rPr>
        <w:footnoteReference w:id="46"/>
      </w:r>
      <w:r>
        <w:t xml:space="preserve"> </w:t>
      </w:r>
      <w:r>
        <w:t xml:space="preserve">Tabulator-level data, by contrast, summarize how many ballots each scanner processed and how many votes each candidate received.</w:t>
      </w:r>
    </w:p>
    <w:p>
      <w:pPr>
        <w:pStyle w:val="BodyText"/>
      </w:pPr>
      <w:r>
        <w:t xml:space="preserve">Because Clark County publishes results broken down by tabulator, ETA and allied analysts can examine how vote shares vary across machines and whether patterns change as the number of ballots processed by each tabulator increases.</w:t>
      </w:r>
    </w:p>
    <w:bookmarkEnd w:id="47"/>
    <w:bookmarkStart w:id="49" w:name="etas-claim-of-spikes-with-higher-volume"/>
    <w:p>
      <w:pPr>
        <w:pStyle w:val="Heading3"/>
      </w:pPr>
      <w:r>
        <w:t xml:space="preserve">ETA’s Claim of</w:t>
      </w:r>
      <w:r>
        <w:t xml:space="preserve"> </w:t>
      </w:r>
      <w:r>
        <w:t xml:space="preserve">“Spikes”</w:t>
      </w:r>
      <w:r>
        <w:t xml:space="preserve"> </w:t>
      </w:r>
      <w:r>
        <w:t xml:space="preserve">with Higher Volume</w:t>
      </w:r>
    </w:p>
    <w:p>
      <w:pPr>
        <w:pStyle w:val="FirstParagraph"/>
      </w:pPr>
      <w:r>
        <w:t xml:space="preserve">In its public communications, ETA claims that in Clark County Trump’s vote share appears to</w:t>
      </w:r>
      <w:r>
        <w:t xml:space="preserve"> </w:t>
      </w:r>
      <w:r>
        <w:t xml:space="preserve">“spike”</w:t>
      </w:r>
      <w:r>
        <w:t xml:space="preserve"> </w:t>
      </w:r>
      <w:r>
        <w:t xml:space="preserve">on machines that process higher numbers of ballots. In combination with the asymmetric drop-off discussed earlier, ETA describes these patterns as forming a</w:t>
      </w:r>
      <w:r>
        <w:t xml:space="preserve"> </w:t>
      </w:r>
      <w:r>
        <w:t xml:space="preserve">“statistical near-impossibility,”</w:t>
      </w:r>
      <w:r>
        <w:t xml:space="preserve"> </w:t>
      </w:r>
      <w:r>
        <w:t xml:space="preserve">arguing that tabulators may have added pro-Trump votes as they processed large batches of ballots.</w:t>
      </w:r>
    </w:p>
    <w:p>
      <w:pPr>
        <w:pStyle w:val="BodyText"/>
      </w:pPr>
      <w:r>
        <w:t xml:space="preserve">The</w:t>
      </w:r>
      <w:r>
        <w:t xml:space="preserve"> </w:t>
      </w:r>
      <w:r>
        <w:rPr>
          <w:i/>
          <w:iCs/>
        </w:rPr>
        <w:t xml:space="preserve">Newsweek</w:t>
      </w:r>
      <w:r>
        <w:t xml:space="preserve"> </w:t>
      </w:r>
      <w:r>
        <w:t xml:space="preserve">article summarizing ETA’s work notes this argument: that</w:t>
      </w:r>
      <w:r>
        <w:t xml:space="preserve"> </w:t>
      </w:r>
      <w:r>
        <w:t xml:space="preserve">“there was an apparent</w:t>
      </w:r>
      <w:r>
        <w:t xml:space="preserve"> </w:t>
      </w:r>
      <w:r>
        <w:t xml:space="preserve">‘spike’</w:t>
      </w:r>
      <w:r>
        <w:t xml:space="preserve"> </w:t>
      </w:r>
      <w:r>
        <w:t xml:space="preserve">in Trump’s votes when tabulation machines processed a higher volume of ballots.”</w:t>
      </w:r>
      <w:r>
        <w:rPr>
          <w:rStyle w:val="FootnoteReference"/>
        </w:rPr>
        <w:footnoteReference w:id="48"/>
      </w:r>
    </w:p>
    <w:p>
      <w:pPr>
        <w:pStyle w:val="BodyText"/>
      </w:pPr>
      <w:r>
        <w:t xml:space="preserve">Without reproducing ETA’s full graphs, the essence of the pattern can be described as follows:</w:t>
      </w:r>
    </w:p>
    <w:p>
      <w:pPr>
        <w:pStyle w:val="Compact"/>
        <w:numPr>
          <w:ilvl w:val="0"/>
          <w:numId w:val="1012"/>
        </w:numPr>
      </w:pPr>
      <w:r>
        <w:t xml:space="preserve">For tabulators that process relatively few ballots (e.g., fewer than 500), Trump and Harris receive vote shares roughly in line with expectations from countywide averages.</w:t>
      </w:r>
    </w:p>
    <w:p>
      <w:pPr>
        <w:pStyle w:val="Compact"/>
        <w:numPr>
          <w:ilvl w:val="0"/>
          <w:numId w:val="1012"/>
        </w:numPr>
      </w:pPr>
      <w:r>
        <w:t xml:space="preserve">For tabulators processing larger batches (e.g., more than 1,000 ballots), Trump’s vote share appears systematically higher, sometimes by several percentage points.</w:t>
      </w:r>
    </w:p>
    <w:p>
      <w:pPr>
        <w:pStyle w:val="FirstParagraph"/>
      </w:pPr>
      <w:r>
        <w:t xml:space="preserve">ETA interprets this as inconsistent with random allocation of ballots to machines.</w:t>
      </w:r>
    </w:p>
    <w:bookmarkEnd w:id="49"/>
    <w:bookmarkStart w:id="50" w:name="alternative-explanations"/>
    <w:p>
      <w:pPr>
        <w:pStyle w:val="Heading3"/>
      </w:pPr>
      <w:r>
        <w:t xml:space="preserve">Alternative Explanations</w:t>
      </w:r>
    </w:p>
    <w:p>
      <w:pPr>
        <w:pStyle w:val="FirstParagraph"/>
      </w:pPr>
      <w:r>
        <w:t xml:space="preserve">There are, however, several plausible non-fraud interpretations:</w:t>
      </w:r>
    </w:p>
    <w:p>
      <w:pPr>
        <w:numPr>
          <w:ilvl w:val="0"/>
          <w:numId w:val="1013"/>
        </w:numPr>
      </w:pPr>
      <w:r>
        <w:rPr>
          <w:b/>
          <w:bCs/>
        </w:rPr>
        <w:t xml:space="preserve">Non-random assignment of ballots.</w:t>
      </w:r>
      <w:r>
        <w:t xml:space="preserve"> </w:t>
      </w:r>
      <w:r>
        <w:t xml:space="preserve">In many jurisdictions, ballots from certain locations or vote centers may be funneled to specific tabulators. If high-volume machines serve areas with different partisan compositions (e.g., large vote centers in strongly Republican suburbs), they may naturally exhibit higher Trump vote shares.</w:t>
      </w:r>
    </w:p>
    <w:p>
      <w:pPr>
        <w:numPr>
          <w:ilvl w:val="0"/>
          <w:numId w:val="1013"/>
        </w:numPr>
      </w:pPr>
      <w:r>
        <w:rPr>
          <w:b/>
          <w:bCs/>
        </w:rPr>
        <w:t xml:space="preserve">Operational differences by mode or batch.</w:t>
      </w:r>
      <w:r>
        <w:t xml:space="preserve"> </w:t>
      </w:r>
      <w:r>
        <w:t xml:space="preserve">High-volume tabulators might be used disproportionately for certain vote types (e.g., mail ballots from particular regions or ballots processed at central count facilities). If those vote types have distinct partisan leanings, volume and vote share could be correlated.</w:t>
      </w:r>
    </w:p>
    <w:p>
      <w:pPr>
        <w:numPr>
          <w:ilvl w:val="0"/>
          <w:numId w:val="1013"/>
        </w:numPr>
      </w:pPr>
      <w:r>
        <w:rPr>
          <w:b/>
          <w:bCs/>
        </w:rPr>
        <w:t xml:space="preserve">Regression to the mean and visual bias.</w:t>
      </w:r>
      <w:r>
        <w:t xml:space="preserve"> </w:t>
      </w:r>
      <w:r>
        <w:t xml:space="preserve">Human observers often overinterpret patterns in scatterplots, especially when plotting vote share against volume on a log or linear scale. Without formal statistical tests controlling for precinct or batch composition, visually notable patterns may not be as unlikely as they appear.</w:t>
      </w:r>
    </w:p>
    <w:p>
      <w:pPr>
        <w:pStyle w:val="FirstParagraph"/>
      </w:pPr>
      <w:r>
        <w:t xml:space="preserve">To move from a descriptive observation (high-volume tabulators have higher Trump shares) to an inference of machine manipulation would require careful modeling of the ballot-assignment process, likely using metadata about which precincts, vote centers, or ballot types each tabulator served. ETA’s public reports do not yet provide such a full model, and neither election officials nor independent audits have corroborated the hypothesis of machine tampering in Clark County.</w:t>
      </w:r>
    </w:p>
    <w:bookmarkEnd w:id="50"/>
    <w:bookmarkEnd w:id="51"/>
    <w:bookmarkStart w:id="52" w:name="X8a063252184b90ef955495e267f12260a20fc9a"/>
    <w:p>
      <w:pPr>
        <w:pStyle w:val="Heading2"/>
      </w:pPr>
      <w:r>
        <w:t xml:space="preserve">Machine vs Hand-Count Comparisons in Minnesota</w:t>
      </w:r>
    </w:p>
    <w:p>
      <w:pPr>
        <w:pStyle w:val="FirstParagraph"/>
      </w:pPr>
      <w:r>
        <w:t xml:space="preserve">ETA’s Minnesota analysis compares results from precincts where ballots were counted entirely by hand with those where ballots were scanned and tabulated by machines. The group reports that differences in turnout and vote-share patterns between these two categories are theoretically</w:t>
      </w:r>
      <w:r>
        <w:t xml:space="preserve"> </w:t>
      </w:r>
      <w:r>
        <w:t xml:space="preserve">“consistent with”</w:t>
      </w:r>
      <w:r>
        <w:t xml:space="preserve"> </w:t>
      </w:r>
      <w:r>
        <w:t xml:space="preserve">machine manipulation, though again not definitive.</w:t>
      </w:r>
    </w:p>
    <w:p>
      <w:pPr>
        <w:pStyle w:val="BodyText"/>
      </w:pPr>
      <w:r>
        <w:t xml:space="preserve">Election-forensics scholars have warned that such comparisons must be handled carefully. Hand-counted precincts may differ systematically from machine-counted precincts in size, rurality, and partisan composition. For example, small rural townships might do hand counts while larger urban or suburban precincts use scanners. Observed differences in candidate performance could thus reflect underlying demographics rather than technology.</w:t>
      </w:r>
    </w:p>
    <w:p>
      <w:pPr>
        <w:pStyle w:val="BodyText"/>
      </w:pPr>
      <w:r>
        <w:t xml:space="preserve">The methodological lesson is that technology type (hand vs machine) is often confounded with other variables. Without a research design that approximates random assignment of technology—such as comparing adjacent precincts with similar demographics but different counting methods—conclusions about technology effects remain tentative.</w:t>
      </w:r>
    </w:p>
    <w:bookmarkEnd w:id="52"/>
    <w:bookmarkEnd w:id="53"/>
    <w:bookmarkStart w:id="60" w:name="Xf2c89dceb97ce7d78a3f4351d33e97782e155b8"/>
    <w:p>
      <w:pPr>
        <w:pStyle w:val="Heading1"/>
      </w:pPr>
      <w:r>
        <w:t xml:space="preserve">Context: Official Narratives, Audits, and Legal Environment</w:t>
      </w:r>
    </w:p>
    <w:p>
      <w:pPr>
        <w:pStyle w:val="FirstParagraph"/>
      </w:pPr>
      <w:r>
        <w:t xml:space="preserve">Any assessment of ETA’s claims must be placed alongside other streams of information about the 2024 election.</w:t>
      </w:r>
    </w:p>
    <w:bookmarkStart w:id="57" w:name="official-security-and-fraud-assessments"/>
    <w:p>
      <w:pPr>
        <w:pStyle w:val="Heading2"/>
      </w:pPr>
      <w:r>
        <w:t xml:space="preserve">Official Security and Fraud Assessments</w:t>
      </w:r>
    </w:p>
    <w:p>
      <w:pPr>
        <w:pStyle w:val="FirstParagraph"/>
      </w:pPr>
      <w:r>
        <w:t xml:space="preserve">As noted above, CISA and state election officials reported no evidence that voting machines in 2024 were hacked or manipulated to change vote totals. Fact-checking organizations and news outlets repeatedly examined viral allegations of fraudulent machine behavior—for example, miscalibrated touch-screen voting in Pennsylvania or videos of ballot drops—and found them to reflect either routine administrative issues or misunderstandings, not hacking.</w:t>
      </w:r>
      <w:r>
        <w:rPr>
          <w:rStyle w:val="FootnoteReference"/>
        </w:rPr>
        <w:footnoteReference w:id="54"/>
      </w:r>
    </w:p>
    <w:p>
      <w:pPr>
        <w:pStyle w:val="BodyText"/>
      </w:pPr>
      <w:r>
        <w:t xml:space="preserve">Moreover, litigation after the 2020 election strongly shaped the legal environment around claims about voting machines. Defamation suits by Dominion Voting Systems and Smartmatic produced court rulings and settlements confirming that many past machine-rigging allegations were false and lacked evidentiary support. In 2025, a federal judge ruled that MyPillow CEO Mike Lindell had defamed Smartmatic with false claims that its machines rigged the 2020 election in Los Angeles County; the court found no evidence to support his assertions.</w:t>
      </w:r>
      <w:r>
        <w:rPr>
          <w:rStyle w:val="FootnoteReference"/>
        </w:rPr>
        <w:footnoteReference w:id="55"/>
      </w:r>
    </w:p>
    <w:p>
      <w:pPr>
        <w:pStyle w:val="BodyText"/>
      </w:pPr>
      <w:r>
        <w:t xml:space="preserve">News networks that repeated similar claims, such as Fox News and Newsmax, have paid hundreds of millions of dollars to settle defamation suits over their 2020 election coverage.</w:t>
      </w:r>
      <w:r>
        <w:rPr>
          <w:rStyle w:val="FootnoteReference"/>
        </w:rPr>
        <w:footnoteReference w:id="56"/>
      </w:r>
    </w:p>
    <w:p>
      <w:pPr>
        <w:pStyle w:val="BodyText"/>
      </w:pPr>
      <w:r>
        <w:t xml:space="preserve">These developments do not, by themselves, prove that machines could</w:t>
      </w:r>
      <w:r>
        <w:t xml:space="preserve"> </w:t>
      </w:r>
      <w:r>
        <w:rPr>
          <w:i/>
          <w:iCs/>
        </w:rPr>
        <w:t xml:space="preserve">never</w:t>
      </w:r>
      <w:r>
        <w:t xml:space="preserve"> </w:t>
      </w:r>
      <w:r>
        <w:t xml:space="preserve">be manipulated in future elections, but they do underscore that past high-profile claims of systematic machine fraud were unsupported by evidence and, in many cases, were knowingly or recklessly false.</w:t>
      </w:r>
    </w:p>
    <w:bookmarkEnd w:id="57"/>
    <w:bookmarkStart w:id="59" w:name="audits-and-civil-society-scrutiny"/>
    <w:p>
      <w:pPr>
        <w:pStyle w:val="Heading2"/>
      </w:pPr>
      <w:r>
        <w:t xml:space="preserve">Audits and Civil-Society Scrutiny</w:t>
      </w:r>
    </w:p>
    <w:p>
      <w:pPr>
        <w:pStyle w:val="FirstParagraph"/>
      </w:pPr>
      <w:r>
        <w:t xml:space="preserve">Independent analyses by civil-society organizations and academics present a more nuanced picture. Groups like Free Speech for People, Verified Voting, and academic election forensics experts (including Mebane) consistently argue that U.S. elections are generally secure but that some states rely too heavily on computerized tallies and conduct post-election audits that are too limited or too delayed.</w:t>
      </w:r>
    </w:p>
    <w:p>
      <w:pPr>
        <w:pStyle w:val="BodyText"/>
      </w:pPr>
      <w:r>
        <w:t xml:space="preserve">For example, the Free Speech for People audit report mentioned earlier criticizes Michigan’s practice of certifying elections before conducting meaningful ballot audits and notes that Georgia’s statewide use of ballot-marking devices leaves some residual concerns about whether paper outputs accurately reflect voter intent.</w:t>
      </w:r>
      <w:r>
        <w:rPr>
          <w:rStyle w:val="FootnoteReference"/>
        </w:rPr>
        <w:footnoteReference w:id="58"/>
      </w:r>
    </w:p>
    <w:p>
      <w:pPr>
        <w:pStyle w:val="BodyText"/>
      </w:pPr>
      <w:r>
        <w:t xml:space="preserve">These critiques align in part with ETA’s calls for more robust audits, especially using ballot-level data such as CVRs and risk-limiting audit designs. Where they differ is in interpretation: mainstream election-security advocates tend to see current vulnerabilities as reasons to strengthen procedures, not as evidence that recent elections were actually stolen.</w:t>
      </w:r>
    </w:p>
    <w:bookmarkEnd w:id="59"/>
    <w:bookmarkEnd w:id="60"/>
    <w:bookmarkStart w:id="65" w:name="Xb27aaa4859aca2f6ccf42dabbb3bb94876c0c5a"/>
    <w:p>
      <w:pPr>
        <w:pStyle w:val="Heading1"/>
      </w:pPr>
      <w:r>
        <w:t xml:space="preserve">Assessing the Evidence for Potential Machine Manipulation</w:t>
      </w:r>
    </w:p>
    <w:bookmarkStart w:id="61" w:name="what-would-direct-evidence-look-like"/>
    <w:p>
      <w:pPr>
        <w:pStyle w:val="Heading2"/>
      </w:pPr>
      <w:r>
        <w:t xml:space="preserve">What Would Direct Evidence Look Like?</w:t>
      </w:r>
    </w:p>
    <w:p>
      <w:pPr>
        <w:pStyle w:val="FirstParagraph"/>
      </w:pPr>
      <w:r>
        <w:t xml:space="preserve">Before weighing ETA’s evidence, it is useful to clarify what would constitute</w:t>
      </w:r>
      <w:r>
        <w:t xml:space="preserve"> </w:t>
      </w:r>
      <w:r>
        <w:rPr>
          <w:i/>
          <w:iCs/>
        </w:rPr>
        <w:t xml:space="preserve">direct</w:t>
      </w:r>
      <w:r>
        <w:t xml:space="preserve"> </w:t>
      </w:r>
      <w:r>
        <w:t xml:space="preserve">evidence of machine manipulation in an election like 2024:</w:t>
      </w:r>
    </w:p>
    <w:p>
      <w:pPr>
        <w:pStyle w:val="Compact"/>
        <w:numPr>
          <w:ilvl w:val="0"/>
          <w:numId w:val="1014"/>
        </w:numPr>
      </w:pPr>
      <w:r>
        <w:t xml:space="preserve">A documented discrepancy between machine tallies and a trustworthy independent count (e.g., a statistically significant difference between scanner totals and a hand count of the same paper ballots).</w:t>
      </w:r>
    </w:p>
    <w:p>
      <w:pPr>
        <w:pStyle w:val="Compact"/>
        <w:numPr>
          <w:ilvl w:val="0"/>
          <w:numId w:val="1014"/>
        </w:numPr>
      </w:pPr>
      <w:r>
        <w:t xml:space="preserve">Forensic logs or software artifacts showing unauthorized changes to code, configuration, or firmware on voting machines or tabulators.</w:t>
      </w:r>
    </w:p>
    <w:p>
      <w:pPr>
        <w:pStyle w:val="Compact"/>
        <w:numPr>
          <w:ilvl w:val="0"/>
          <w:numId w:val="1014"/>
        </w:numPr>
      </w:pPr>
      <w:r>
        <w:t xml:space="preserve">Credible whistleblower testimony corroborated by documentation (e.g., internal emails, configuration files) revealing intentional manipulation of machines.</w:t>
      </w:r>
    </w:p>
    <w:p>
      <w:pPr>
        <w:pStyle w:val="FirstParagraph"/>
      </w:pPr>
      <w:r>
        <w:t xml:space="preserve">To date, no such evidence has emerged publicly for the 2024 presidential election. Audits like Wisconsin’s machine test found extremely low error rates and no indication of systematic miscounting. Security agencies report no detected compromises of voting systems. Courts have not upheld any claims of machine-based fraud affecting outcomes.</w:t>
      </w:r>
    </w:p>
    <w:p>
      <w:pPr>
        <w:pStyle w:val="BodyText"/>
      </w:pPr>
      <w:r>
        <w:t xml:space="preserve">ETA’s work, by contrast, is almost entirely</w:t>
      </w:r>
      <w:r>
        <w:t xml:space="preserve"> </w:t>
      </w:r>
      <w:r>
        <w:rPr>
          <w:i/>
          <w:iCs/>
        </w:rPr>
        <w:t xml:space="preserve">statistical and circumstantial</w:t>
      </w:r>
      <w:r>
        <w:t xml:space="preserve">: it identifies patterns that could be produced by fraud (including machine-based fraud) but that could also arise from other causes.</w:t>
      </w:r>
    </w:p>
    <w:bookmarkEnd w:id="61"/>
    <w:bookmarkStart w:id="62" w:name="how-strong-are-etas-statistical-signals"/>
    <w:p>
      <w:pPr>
        <w:pStyle w:val="Heading2"/>
      </w:pPr>
      <w:r>
        <w:t xml:space="preserve">How Strong Are ETA’s Statistical Signals?</w:t>
      </w:r>
    </w:p>
    <w:p>
      <w:pPr>
        <w:pStyle w:val="FirstParagraph"/>
      </w:pPr>
      <w:r>
        <w:t xml:space="preserve">The types of anomalies ETA highlights fall into three broad categories of evidentiary strength:</w:t>
      </w:r>
    </w:p>
    <w:p>
      <w:pPr>
        <w:numPr>
          <w:ilvl w:val="0"/>
          <w:numId w:val="1015"/>
        </w:numPr>
      </w:pPr>
      <w:r>
        <w:rPr>
          <w:b/>
          <w:bCs/>
        </w:rPr>
        <w:t xml:space="preserve">Robust descriptive irregularities.</w:t>
      </w:r>
      <w:r>
        <w:t xml:space="preserve"> </w:t>
      </w:r>
      <w:r>
        <w:t xml:space="preserve">These are patterns that are very likely real features of the data and that remain after correcting for obvious confounders. An example is the large asymmetry in drop-off between presidential and Senate races in Clark County, which is well-documented in official vote totals. Another is the presence of hundreds of Pennsylvania precincts with turnout and vote patterns that Mebane’s eforensics model classifies as potentially distorted.</w:t>
      </w:r>
    </w:p>
    <w:p>
      <w:pPr>
        <w:numPr>
          <w:ilvl w:val="0"/>
          <w:numId w:val="1015"/>
        </w:numPr>
      </w:pPr>
      <w:r>
        <w:rPr>
          <w:b/>
          <w:bCs/>
        </w:rPr>
        <w:t xml:space="preserve">Context-dependent anomalies.</w:t>
      </w:r>
      <w:r>
        <w:t xml:space="preserve"> </w:t>
      </w:r>
      <w:r>
        <w:t xml:space="preserve">These are patterns whose significance depends heavily on modeling assumptions and political context. Turnout–vote share correlations fall into this category: they are potentially suggestive but could be explained by mode-specific partisan behavior, demographic clustering, or campaign mobilization.</w:t>
      </w:r>
    </w:p>
    <w:p>
      <w:pPr>
        <w:numPr>
          <w:ilvl w:val="0"/>
          <w:numId w:val="1015"/>
        </w:numPr>
      </w:pPr>
      <w:r>
        <w:rPr>
          <w:b/>
          <w:bCs/>
        </w:rPr>
        <w:t xml:space="preserve">Fragile or visually driven impressions.</w:t>
      </w:r>
      <w:r>
        <w:t xml:space="preserve"> </w:t>
      </w:r>
      <w:r>
        <w:t xml:space="preserve">Some tabulator-level patterns risk over-interpretation absent rigorous statistical controls. Scatterplots showing higher Trump share on high-volume machines may reflect real structure, but without accounting for which ballots each machine processed, they remain at best weak evidence.</w:t>
      </w:r>
    </w:p>
    <w:p>
      <w:pPr>
        <w:pStyle w:val="FirstParagraph"/>
      </w:pPr>
      <w:r>
        <w:t xml:space="preserve">In addition, there is an important distinction between</w:t>
      </w:r>
      <w:r>
        <w:t xml:space="preserve"> </w:t>
      </w:r>
      <w:r>
        <w:rPr>
          <w:i/>
          <w:iCs/>
        </w:rPr>
        <w:t xml:space="preserve">anomalies consistent with fraud</w:t>
      </w:r>
      <w:r>
        <w:t xml:space="preserve"> </w:t>
      </w:r>
      <w:r>
        <w:t xml:space="preserve">and</w:t>
      </w:r>
      <w:r>
        <w:t xml:space="preserve"> </w:t>
      </w:r>
      <w:r>
        <w:rPr>
          <w:i/>
          <w:iCs/>
        </w:rPr>
        <w:t xml:space="preserve">anomalies that almost certainly require fraud</w:t>
      </w:r>
      <w:r>
        <w:t xml:space="preserve">. In authoritarian contexts with extremely high reported turnout and near-unanimous support for incumbents, the latter sometimes occur: the probability of such patterns under any reasonable model of voluntary voting is astronomically low. In the 2024 U.S. election, the patterns ETA shows are more subtle and compatible with multiple explanations.</w:t>
      </w:r>
    </w:p>
    <w:bookmarkEnd w:id="62"/>
    <w:bookmarkStart w:id="63" w:name="the-role-of-election-forensics"/>
    <w:p>
      <w:pPr>
        <w:pStyle w:val="Heading2"/>
      </w:pPr>
      <w:r>
        <w:t xml:space="preserve">The Role of Election Forensics</w:t>
      </w:r>
    </w:p>
    <w:p>
      <w:pPr>
        <w:pStyle w:val="FirstParagraph"/>
      </w:pPr>
      <w:r>
        <w:t xml:space="preserve">Election forensics, as developed by scholars like Mebane, Shpilkin, and others, provides a valuable framework for thinking about ETA’s work. Three points are particularly relevant:</w:t>
      </w:r>
    </w:p>
    <w:p>
      <w:pPr>
        <w:numPr>
          <w:ilvl w:val="0"/>
          <w:numId w:val="1016"/>
        </w:numPr>
      </w:pPr>
      <w:r>
        <w:t xml:space="preserve">Forensic models are probabilistic, not deterministic. They estimate how likely observed patterns are under different mixtures of normal behavior, strategic voting, and various types of fraud (e.g., ballot stuffing, vote stealing). They rarely—if ever—yield a definitive verdict on an entire election.</w:t>
      </w:r>
    </w:p>
    <w:p>
      <w:pPr>
        <w:numPr>
          <w:ilvl w:val="0"/>
          <w:numId w:val="1016"/>
        </w:numPr>
      </w:pPr>
      <w:r>
        <w:t xml:space="preserve">Models can misattribute complex social and administrative phenomena to</w:t>
      </w:r>
      <w:r>
        <w:t xml:space="preserve"> </w:t>
      </w:r>
      <w:r>
        <w:t xml:space="preserve">“fraud-like”</w:t>
      </w:r>
      <w:r>
        <w:t xml:space="preserve"> </w:t>
      </w:r>
      <w:r>
        <w:t xml:space="preserve">components. For example, if certain communities systematically experience longer lines, more disruptions, or targeted mobilization, their turnout and vote patterns might resemble those produced by fraudulent additions or subtractions of votes in the model.</w:t>
      </w:r>
    </w:p>
    <w:p>
      <w:pPr>
        <w:numPr>
          <w:ilvl w:val="0"/>
          <w:numId w:val="1016"/>
        </w:numPr>
      </w:pPr>
      <w:r>
        <w:t xml:space="preserve">Combining multiple methods (digit tests, turnout distributions, vote-share correlations, and direct audits of paper records) is essential. No single statistical signal should be considered decisive.</w:t>
      </w:r>
    </w:p>
    <w:p>
      <w:pPr>
        <w:pStyle w:val="FirstParagraph"/>
      </w:pPr>
      <w:r>
        <w:t xml:space="preserve">From this perspective, ETA’s collaboration with Mebane in Pennsylvania is noteworthy: it indicates an attempt to bridge activist concerns with rigorous academic tools. Mebane’s conclusion that there may have been large numbers of</w:t>
      </w:r>
      <w:r>
        <w:t xml:space="preserve"> </w:t>
      </w:r>
      <w:r>
        <w:t xml:space="preserve">“eforensics-fraudulent”</w:t>
      </w:r>
      <w:r>
        <w:t xml:space="preserve"> </w:t>
      </w:r>
      <w:r>
        <w:t xml:space="preserve">votes in Pennsylvania but that the portion attributable to</w:t>
      </w:r>
      <w:r>
        <w:t xml:space="preserve"> </w:t>
      </w:r>
      <w:r>
        <w:t xml:space="preserve">“malevolent distortions”</w:t>
      </w:r>
      <w:r>
        <w:t xml:space="preserve"> </w:t>
      </w:r>
      <w:r>
        <w:t xml:space="preserve">likely does not exceed the margin illustrates both the power and limits of such modeling.</w:t>
      </w:r>
    </w:p>
    <w:bookmarkEnd w:id="63"/>
    <w:bookmarkStart w:id="64" w:name="synthesis-what-can-we-say-about-machines"/>
    <w:p>
      <w:pPr>
        <w:pStyle w:val="Heading2"/>
      </w:pPr>
      <w:r>
        <w:t xml:space="preserve">Synthesis: What Can We Say About Machines?</w:t>
      </w:r>
    </w:p>
    <w:p>
      <w:pPr>
        <w:pStyle w:val="FirstParagraph"/>
      </w:pPr>
      <w:r>
        <w:t xml:space="preserve">Putting the pieces together, a cautious synthesis might be:</w:t>
      </w:r>
    </w:p>
    <w:p>
      <w:pPr>
        <w:numPr>
          <w:ilvl w:val="0"/>
          <w:numId w:val="1017"/>
        </w:numPr>
      </w:pPr>
      <w:r>
        <w:t xml:space="preserve">ETA has identified several statistical patterns in 2024 election data—asymmetric drop-off, turnout–vote share correlations, right-hand tails in turnout distributions, and tabulator-level vote-share differences—that are unusual enough to warrant serious examination.</w:t>
      </w:r>
    </w:p>
    <w:p>
      <w:pPr>
        <w:numPr>
          <w:ilvl w:val="0"/>
          <w:numId w:val="1017"/>
        </w:numPr>
      </w:pPr>
      <w:r>
        <w:t xml:space="preserve">These patterns are particularly noteworthy in jurisdictions with heavy reliance on electronic tabulation and detailed data availability (Clark County, Nevada; certain Pennsylvania counties; North Carolina).</w:t>
      </w:r>
    </w:p>
    <w:p>
      <w:pPr>
        <w:numPr>
          <w:ilvl w:val="0"/>
          <w:numId w:val="1017"/>
        </w:numPr>
      </w:pPr>
      <w:r>
        <w:t xml:space="preserve">However, none of the patterns, individually or collectively, constitutes direct evidence that voting machines were hacked, reprogrammed, or otherwise manipulated in 2024. Alternative explanations rooted in voter behavior, campaign dynamics, and administrative disruptions remain plausible and, in some cases, likely.</w:t>
      </w:r>
    </w:p>
    <w:p>
      <w:pPr>
        <w:numPr>
          <w:ilvl w:val="0"/>
          <w:numId w:val="1017"/>
        </w:numPr>
      </w:pPr>
      <w:r>
        <w:t xml:space="preserve">Official audits and security assessments have so far found no corroborating signs of machine tampering, and past high-profile machine-rigging claims (especially about 2020) have been adjudicated as false.</w:t>
      </w:r>
    </w:p>
    <w:p>
      <w:pPr>
        <w:numPr>
          <w:ilvl w:val="0"/>
          <w:numId w:val="1017"/>
        </w:numPr>
      </w:pPr>
      <w:r>
        <w:t xml:space="preserve">The most defensible conclusion is therefore not that machines were manipulated, but that the existence of non-trivial statistical irregularities in certain states reinforces the case for stronger, more transparent auditing practices—including routine publication of anonymized CVRs, wider use of risk-limiting audits, and timely comparisons between scanner tallies and hand counts.</w:t>
      </w:r>
    </w:p>
    <w:bookmarkEnd w:id="64"/>
    <w:bookmarkEnd w:id="65"/>
    <w:bookmarkStart w:id="66" w:name="conclusion"/>
    <w:p>
      <w:pPr>
        <w:pStyle w:val="Heading1"/>
      </w:pPr>
      <w:r>
        <w:t xml:space="preserve">Conclusion</w:t>
      </w:r>
    </w:p>
    <w:p>
      <w:pPr>
        <w:pStyle w:val="FirstParagraph"/>
      </w:pPr>
      <w:r>
        <w:t xml:space="preserve">This paper has attempted to critically and systematically unpack the evidence for potential voting-machine manipulation in the 2024 U.S. presidential election as presented by the Election Truth Alliance and related analyses. Focusing on publicly verifiable claims and data, and drawing on election-forensics research, several key points emerge:</w:t>
      </w:r>
    </w:p>
    <w:p>
      <w:pPr>
        <w:numPr>
          <w:ilvl w:val="0"/>
          <w:numId w:val="1018"/>
        </w:numPr>
      </w:pPr>
      <w:r>
        <w:rPr>
          <w:b/>
          <w:bCs/>
        </w:rPr>
        <w:t xml:space="preserve">ETA’s technical work is non-trivial and grounded in real data.</w:t>
      </w:r>
      <w:r>
        <w:t xml:space="preserve"> </w:t>
      </w:r>
      <w:r>
        <w:t xml:space="preserve">The group has compiled and analyzed detailed election returns, including cast vote records and tabulator-level reports, and has documented patterns that cannot be dismissed as mere imagination. Collaborations with researchers like Walter Mebane show that their datasets are of interest to the academic election-forensics community.</w:t>
      </w:r>
    </w:p>
    <w:p>
      <w:pPr>
        <w:numPr>
          <w:ilvl w:val="0"/>
          <w:numId w:val="1018"/>
        </w:numPr>
      </w:pPr>
      <w:r>
        <w:rPr>
          <w:b/>
          <w:bCs/>
        </w:rPr>
        <w:t xml:space="preserve">The anomalies they highlight are real but not uniquely diagnostic of machine fraud.</w:t>
      </w:r>
      <w:r>
        <w:t xml:space="preserve"> </w:t>
      </w:r>
      <w:r>
        <w:t xml:space="preserve">Asymmetric drop-off between presidential and Senate races in Clark County, unusual turnout–vote share relationships in North Carolina, and right-hand tails in turnout distributions in Pennsylvania all merit attention. Yet each can also plausibly arise from combinations of voter behavior, mobilization, and administrative irregularities.</w:t>
      </w:r>
    </w:p>
    <w:p>
      <w:pPr>
        <w:numPr>
          <w:ilvl w:val="0"/>
          <w:numId w:val="1018"/>
        </w:numPr>
      </w:pPr>
      <w:r>
        <w:rPr>
          <w:b/>
          <w:bCs/>
        </w:rPr>
        <w:t xml:space="preserve">Direct evidence of machine manipulation remains absent.</w:t>
      </w:r>
      <w:r>
        <w:t xml:space="preserve"> </w:t>
      </w:r>
      <w:r>
        <w:t xml:space="preserve">No public audit has found systematic discrepancies between scanner tallies and hand counts in 2024; security agencies report no detected compromises of voting systems; and courts have not upheld any claims that machines changed outcomes. Given the legal and financial consequences of past false claims about voting machines, any new allegation must meet a high evidentiary bar.</w:t>
      </w:r>
    </w:p>
    <w:p>
      <w:pPr>
        <w:numPr>
          <w:ilvl w:val="0"/>
          <w:numId w:val="1018"/>
        </w:numPr>
      </w:pPr>
      <w:r>
        <w:rPr>
          <w:b/>
          <w:bCs/>
        </w:rPr>
        <w:t xml:space="preserve">Nevertheless, ETA’s work underscores real governance questions.</w:t>
      </w:r>
      <w:r>
        <w:t xml:space="preserve"> </w:t>
      </w:r>
      <w:r>
        <w:t xml:space="preserve">Even if the 2024 outcomes were not altered by machine manipulation, the fact that activists and analysts can plausibly point to complex statistical anomalies suggests that election administration would benefit from more routine transparency. Publishing standardized CVRs, harmonizing data formats across counties, and conducting rigorous, timely post-election audits could reduce uncertainty and improve public trust.</w:t>
      </w:r>
    </w:p>
    <w:p>
      <w:pPr>
        <w:numPr>
          <w:ilvl w:val="0"/>
          <w:numId w:val="1018"/>
        </w:numPr>
      </w:pPr>
      <w:r>
        <w:rPr>
          <w:b/>
          <w:bCs/>
        </w:rPr>
        <w:t xml:space="preserve">A productive path forward focuses on procedures, not retrospective verdicts.</w:t>
      </w:r>
      <w:r>
        <w:t xml:space="preserve"> </w:t>
      </w:r>
      <w:r>
        <w:t xml:space="preserve">Rather than treating ETA’s findings as proof that the 2024 election was or was not stolen, policymakers and researchers can treat them as stress tests for the system. Where anomalies appear, they indicate where auditing, data publication, or equipment certification can be strengthened. Where audits confirm machine accuracy, they provide reassurance that even suspicious-looking patterns do not necessarily reflect fraud.</w:t>
      </w:r>
    </w:p>
    <w:p>
      <w:pPr>
        <w:pStyle w:val="FirstParagraph"/>
      </w:pPr>
      <w:r>
        <w:t xml:space="preserve">In sum, the 2024 presidential election offers a case study in how statistical analysis, election technology, and public trust intersect. The Election Truth Alliance has contributed to that conversation by surfacing patterns in the data that, at a minimum, demand explanation. Election officials and independent researchers have responded with a mix of reassurance and recognition that more can be done to make elections both secure</w:t>
      </w:r>
      <w:r>
        <w:t xml:space="preserve"> </w:t>
      </w:r>
      <w:r>
        <w:rPr>
          <w:i/>
          <w:iCs/>
        </w:rPr>
        <w:t xml:space="preserve">and</w:t>
      </w:r>
      <w:r>
        <w:t xml:space="preserve"> </w:t>
      </w:r>
      <w:r>
        <w:t xml:space="preserve">evidently secure. Until and unless direct evidence of machine manipulation emerges, the most defensible position remains that the 2024 outcomes reflect the ballots as counted—while acknowledging that stronger transparency and auditing would better equip society to evaluate such claims in future cycles.</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North Carolina State Board of Elections,</w:t>
      </w:r>
      <w:r>
        <w:t xml:space="preserve"> </w:t>
      </w:r>
      <w:r>
        <w:t xml:space="preserve">“Voting Technology,”</w:t>
      </w:r>
      <w:r>
        <w:t xml:space="preserve"> </w:t>
      </w:r>
      <w:r>
        <w:t xml:space="preserve">accessed 2025.</w:t>
      </w:r>
    </w:p>
  </w:footnote>
  <w:footnote w:id="12">
    <w:p>
      <w:pPr>
        <w:pStyle w:val="FootnoteText"/>
      </w:pPr>
      <w:r>
        <w:rPr>
          <w:rStyle w:val="FootnoteReference"/>
        </w:rPr>
        <w:footnoteRef/>
      </w:r>
      <w:r>
        <w:t xml:space="preserve"> </w:t>
      </w:r>
      <w:r>
        <w:t xml:space="preserve">Election Truth Alliance,</w:t>
      </w:r>
      <w:r>
        <w:t xml:space="preserve"> </w:t>
      </w:r>
      <w:r>
        <w:t xml:space="preserve">“Pennsylvania,”</w:t>
      </w:r>
      <w:r>
        <w:t xml:space="preserve"> </w:t>
      </w:r>
      <w:r>
        <w:rPr>
          <w:i/>
          <w:iCs/>
        </w:rPr>
        <w:t xml:space="preserve">States</w:t>
      </w:r>
      <w:r>
        <w:t xml:space="preserve"> </w:t>
      </w:r>
      <w:r>
        <w:t xml:space="preserve">analysis section, accessed 2025.</w:t>
      </w:r>
    </w:p>
  </w:footnote>
  <w:footnote w:id="14">
    <w:p>
      <w:pPr>
        <w:pStyle w:val="FootnoteText"/>
      </w:pPr>
      <w:r>
        <w:rPr>
          <w:rStyle w:val="FootnoteReference"/>
        </w:rPr>
        <w:footnoteRef/>
      </w:r>
      <w:r>
        <w:t xml:space="preserve"> </w:t>
      </w:r>
      <w:r>
        <w:t xml:space="preserve">Cybersecurity and Infrastructure Security Agency,</w:t>
      </w:r>
      <w:r>
        <w:t xml:space="preserve"> </w:t>
      </w:r>
      <w:r>
        <w:t xml:space="preserve">“Statement from CISA Director Easterly on the Security of the 2024 Elections,”</w:t>
      </w:r>
      <w:r>
        <w:t xml:space="preserve"> </w:t>
      </w:r>
      <w:r>
        <w:t xml:space="preserve">November 6, 2024.</w:t>
      </w:r>
    </w:p>
  </w:footnote>
  <w:footnote w:id="15">
    <w:p>
      <w:pPr>
        <w:pStyle w:val="FootnoteText"/>
      </w:pPr>
      <w:r>
        <w:rPr>
          <w:rStyle w:val="FootnoteReference"/>
        </w:rPr>
        <w:footnoteRef/>
      </w:r>
      <w:r>
        <w:t xml:space="preserve"> </w:t>
      </w:r>
      <w:r>
        <w:t xml:space="preserve">CISA and U.S. Election Assistance Commission,</w:t>
      </w:r>
      <w:r>
        <w:t xml:space="preserve"> </w:t>
      </w:r>
      <w:r>
        <w:t xml:space="preserve">“Joint Statement in Support of State and Local Election Officials,”</w:t>
      </w:r>
      <w:r>
        <w:t xml:space="preserve"> </w:t>
      </w:r>
      <w:r>
        <w:t xml:space="preserve">November 4, 2024.</w:t>
      </w:r>
    </w:p>
  </w:footnote>
  <w:footnote w:id="16">
    <w:p>
      <w:pPr>
        <w:pStyle w:val="FootnoteText"/>
      </w:pPr>
      <w:r>
        <w:rPr>
          <w:rStyle w:val="FootnoteReference"/>
        </w:rPr>
        <w:footnoteRef/>
      </w:r>
      <w:r>
        <w:t xml:space="preserve"> </w:t>
      </w:r>
      <w:r>
        <w:t xml:space="preserve">Associated Press,</w:t>
      </w:r>
      <w:r>
        <w:t xml:space="preserve"> </w:t>
      </w:r>
      <w:r>
        <w:t xml:space="preserve">“Wisconsin audit of Trump win finds not a single voting machine error,”</w:t>
      </w:r>
      <w:r>
        <w:t xml:space="preserve"> </w:t>
      </w:r>
      <w:r>
        <w:t xml:space="preserve">2025.</w:t>
      </w:r>
    </w:p>
  </w:footnote>
  <w:footnote w:id="17">
    <w:p>
      <w:pPr>
        <w:pStyle w:val="FootnoteText"/>
      </w:pPr>
      <w:r>
        <w:rPr>
          <w:rStyle w:val="FootnoteReference"/>
        </w:rPr>
        <w:footnoteRef/>
      </w:r>
      <w:r>
        <w:t xml:space="preserve"> </w:t>
      </w:r>
      <w:r>
        <w:t xml:space="preserve">Susan Greenhalgh,</w:t>
      </w:r>
      <w:r>
        <w:t xml:space="preserve"> </w:t>
      </w:r>
      <w:r>
        <w:t xml:space="preserve">“Don’t Just Trust, Always Verify: The Status of Post-Election Audits in Key States,”</w:t>
      </w:r>
      <w:r>
        <w:t xml:space="preserve"> </w:t>
      </w:r>
      <w:r>
        <w:t xml:space="preserve">Free Speech for People, 2025.</w:t>
      </w:r>
    </w:p>
  </w:footnote>
  <w:footnote w:id="20">
    <w:p>
      <w:pPr>
        <w:pStyle w:val="FootnoteText"/>
      </w:pPr>
      <w:r>
        <w:rPr>
          <w:rStyle w:val="FootnoteReference"/>
        </w:rPr>
        <w:footnoteRef/>
      </w:r>
      <w:r>
        <w:t xml:space="preserve"> </w:t>
      </w:r>
      <w:r>
        <w:t xml:space="preserve">Ewan Palmer,</w:t>
      </w:r>
      <w:r>
        <w:t xml:space="preserve"> </w:t>
      </w:r>
      <w:r>
        <w:t xml:space="preserve">“What’s Behind</w:t>
      </w:r>
      <w:r>
        <w:t xml:space="preserve"> </w:t>
      </w:r>
      <w:r>
        <w:t xml:space="preserve">‘Rigged’</w:t>
      </w:r>
      <w:r>
        <w:t xml:space="preserve"> </w:t>
      </w:r>
      <w:r>
        <w:t xml:space="preserve">2024 Election Claims,”</w:t>
      </w:r>
      <w:r>
        <w:t xml:space="preserve"> </w:t>
      </w:r>
      <w:r>
        <w:rPr>
          <w:i/>
          <w:iCs/>
        </w:rPr>
        <w:t xml:space="preserve">Newsweek</w:t>
      </w:r>
      <w:r>
        <w:t xml:space="preserve">, January 23, 2025.</w:t>
      </w:r>
    </w:p>
  </w:footnote>
  <w:footnote w:id="22">
    <w:p>
      <w:pPr>
        <w:pStyle w:val="FootnoteText"/>
      </w:pPr>
      <w:r>
        <w:rPr>
          <w:rStyle w:val="FootnoteReference"/>
        </w:rPr>
        <w:footnoteRef/>
      </w:r>
      <w:r>
        <w:t xml:space="preserve"> </w:t>
      </w:r>
      <w:r>
        <w:t xml:space="preserve">Walter R. Mebane, Jr.,</w:t>
      </w:r>
      <w:r>
        <w:t xml:space="preserve"> </w:t>
      </w:r>
      <w:r>
        <w:t xml:space="preserve">“eforensics Analysis of the 2024 President Election in Pennsylvania,”</w:t>
      </w:r>
      <w:r>
        <w:t xml:space="preserve"> </w:t>
      </w:r>
      <w:r>
        <w:t xml:space="preserve">working paper, June 2, 2025.</w:t>
      </w:r>
    </w:p>
  </w:footnote>
  <w:footnote w:id="26">
    <w:p>
      <w:pPr>
        <w:pStyle w:val="FootnoteText"/>
      </w:pPr>
      <w:r>
        <w:rPr>
          <w:rStyle w:val="FootnoteReference"/>
        </w:rPr>
        <w:footnoteRef/>
      </w:r>
      <w:r>
        <w:t xml:space="preserve"> </w:t>
      </w:r>
      <w:r>
        <w:t xml:space="preserve">See, for example, the Modern Republic’s definition of</w:t>
      </w:r>
      <w:r>
        <w:t xml:space="preserve"> </w:t>
      </w:r>
      <w:r>
        <w:t xml:space="preserve">“ballot roll-off”</w:t>
      </w:r>
      <w:r>
        <w:t xml:space="preserve">: voters vote for candidates for higher office but not lower offices.</w:t>
      </w:r>
    </w:p>
  </w:footnote>
  <w:footnote w:id="27">
    <w:p>
      <w:pPr>
        <w:pStyle w:val="FootnoteText"/>
      </w:pPr>
      <w:r>
        <w:rPr>
          <w:rStyle w:val="FootnoteReference"/>
        </w:rPr>
        <w:footnoteRef/>
      </w:r>
      <w:r>
        <w:t xml:space="preserve"> </w:t>
      </w:r>
      <w:r>
        <w:t xml:space="preserve">Charles S. Bullock and Richard E. Dunn,</w:t>
      </w:r>
      <w:r>
        <w:t xml:space="preserve"> </w:t>
      </w:r>
      <w:r>
        <w:t xml:space="preserve">“Election Roll-Off: A Test of Three Explanations,”</w:t>
      </w:r>
      <w:r>
        <w:t xml:space="preserve"> </w:t>
      </w:r>
      <w:r>
        <w:rPr>
          <w:i/>
          <w:iCs/>
        </w:rPr>
        <w:t xml:space="preserve">Urban Affairs Review</w:t>
      </w:r>
      <w:r>
        <w:t xml:space="preserve"> </w:t>
      </w:r>
      <w:r>
        <w:t xml:space="preserve">32(1), 1996; Chris W. Bonneau,</w:t>
      </w:r>
      <w:r>
        <w:t xml:space="preserve"> </w:t>
      </w:r>
      <w:r>
        <w:t xml:space="preserve">“The Effects of Ballot Design and Electoral Structure on Voter Participation in Judicial Elections,”</w:t>
      </w:r>
      <w:r>
        <w:t xml:space="preserve"> </w:t>
      </w:r>
      <w:r>
        <w:t xml:space="preserve">working paper.</w:t>
      </w:r>
    </w:p>
  </w:footnote>
  <w:footnote w:id="29">
    <w:p>
      <w:pPr>
        <w:pStyle w:val="FootnoteText"/>
      </w:pPr>
      <w:r>
        <w:rPr>
          <w:rStyle w:val="FootnoteReference"/>
        </w:rPr>
        <w:footnoteRef/>
      </w:r>
      <w:r>
        <w:t xml:space="preserve"> </w:t>
      </w:r>
      <w:r>
        <w:t xml:space="preserve">Palmer,</w:t>
      </w:r>
      <w:r>
        <w:t xml:space="preserve"> </w:t>
      </w:r>
      <w:r>
        <w:t xml:space="preserve">“What’s Behind</w:t>
      </w:r>
      <w:r>
        <w:t xml:space="preserve"> </w:t>
      </w:r>
      <w:r>
        <w:t xml:space="preserve">‘Rigged’</w:t>
      </w:r>
      <w:r>
        <w:t xml:space="preserve"> </w:t>
      </w:r>
      <w:r>
        <w:t xml:space="preserve">2024 Election Claims.”</w:t>
      </w:r>
    </w:p>
  </w:footnote>
  <w:footnote w:id="31">
    <w:p>
      <w:pPr>
        <w:pStyle w:val="FootnoteText"/>
      </w:pPr>
      <w:r>
        <w:rPr>
          <w:rStyle w:val="FootnoteReference"/>
        </w:rPr>
        <w:footnoteRef/>
      </w:r>
      <w:r>
        <w:t xml:space="preserve"> </w:t>
      </w:r>
      <w:r>
        <w:t xml:space="preserve">Sister District,</w:t>
      </w:r>
      <w:r>
        <w:t xml:space="preserve"> </w:t>
      </w:r>
      <w:r>
        <w:t xml:space="preserve">“Downballot Roll-Off: Lopsided Roll-Off Among Major Parties,”</w:t>
      </w:r>
      <w:r>
        <w:t xml:space="preserve"> </w:t>
      </w:r>
      <w:r>
        <w:t xml:space="preserve">research brief, 2022.</w:t>
      </w:r>
    </w:p>
  </w:footnote>
  <w:footnote w:id="36">
    <w:p>
      <w:pPr>
        <w:pStyle w:val="FootnoteText"/>
      </w:pPr>
      <w:r>
        <w:rPr>
          <w:rStyle w:val="FootnoteReference"/>
        </w:rPr>
        <w:footnoteRef/>
      </w:r>
      <w:r>
        <w:t xml:space="preserve"> </w:t>
      </w:r>
      <w:r>
        <w:t xml:space="preserve">Election Truth Alliance,</w:t>
      </w:r>
      <w:r>
        <w:t xml:space="preserve"> </w:t>
      </w:r>
      <w:r>
        <w:t xml:space="preserve">“North Carolina 2024 Data Analysis Report (Shortform),”</w:t>
      </w:r>
      <w:r>
        <w:t xml:space="preserve"> </w:t>
      </w:r>
      <w:r>
        <w:t xml:space="preserve">August 20, 2025.</w:t>
      </w:r>
    </w:p>
  </w:footnote>
  <w:footnote w:id="41">
    <w:p>
      <w:pPr>
        <w:pStyle w:val="FootnoteText"/>
      </w:pPr>
      <w:r>
        <w:rPr>
          <w:rStyle w:val="FootnoteReference"/>
        </w:rPr>
        <w:footnoteRef/>
      </w:r>
      <w:r>
        <w:t xml:space="preserve"> </w:t>
      </w:r>
      <w:r>
        <w:t xml:space="preserve">Election Truth Alliance,</w:t>
      </w:r>
      <w:r>
        <w:t xml:space="preserve"> </w:t>
      </w:r>
      <w:r>
        <w:t xml:space="preserve">“Pennsylvania,”</w:t>
      </w:r>
      <w:r>
        <w:t xml:space="preserve"> </w:t>
      </w:r>
      <w:r>
        <w:t xml:space="preserve">summary of findings.</w:t>
      </w:r>
    </w:p>
  </w:footnote>
  <w:footnote w:id="43">
    <w:p>
      <w:pPr>
        <w:pStyle w:val="FootnoteText"/>
      </w:pPr>
      <w:r>
        <w:rPr>
          <w:rStyle w:val="FootnoteReference"/>
        </w:rPr>
        <w:footnoteRef/>
      </w:r>
      <w:r>
        <w:t xml:space="preserve"> </w:t>
      </w:r>
      <w:r>
        <w:t xml:space="preserve">Mebane,</w:t>
      </w:r>
      <w:r>
        <w:t xml:space="preserve"> </w:t>
      </w:r>
      <w:r>
        <w:t xml:space="preserve">“eforensics Analysis of the 2024 President Election in Pennsylvania,”</w:t>
      </w:r>
      <w:r>
        <w:t xml:space="preserve"> </w:t>
      </w:r>
      <w:r>
        <w:t xml:space="preserve">pp. 3–5.</w:t>
      </w:r>
    </w:p>
  </w:footnote>
  <w:footnote w:id="46">
    <w:p>
      <w:pPr>
        <w:pStyle w:val="FootnoteText"/>
      </w:pPr>
      <w:r>
        <w:rPr>
          <w:rStyle w:val="FootnoteReference"/>
        </w:rPr>
        <w:footnoteRef/>
      </w:r>
      <w:r>
        <w:t xml:space="preserve"> </w:t>
      </w:r>
      <w:r>
        <w:t xml:space="preserve">See, for example, the NIST Cast Vote Records working group and explanatory articles by election-technology experts.</w:t>
      </w:r>
    </w:p>
  </w:footnote>
  <w:footnote w:id="48">
    <w:p>
      <w:pPr>
        <w:pStyle w:val="FootnoteText"/>
      </w:pPr>
      <w:r>
        <w:rPr>
          <w:rStyle w:val="FootnoteReference"/>
        </w:rPr>
        <w:footnoteRef/>
      </w:r>
      <w:r>
        <w:t xml:space="preserve"> </w:t>
      </w:r>
      <w:r>
        <w:t xml:space="preserve">Palmer,</w:t>
      </w:r>
      <w:r>
        <w:t xml:space="preserve"> </w:t>
      </w:r>
      <w:r>
        <w:t xml:space="preserve">“What’s Behind</w:t>
      </w:r>
      <w:r>
        <w:t xml:space="preserve"> </w:t>
      </w:r>
      <w:r>
        <w:t xml:space="preserve">‘Rigged’</w:t>
      </w:r>
      <w:r>
        <w:t xml:space="preserve"> </w:t>
      </w:r>
      <w:r>
        <w:t xml:space="preserve">2024 Election Claims.”</w:t>
      </w:r>
    </w:p>
  </w:footnote>
  <w:footnote w:id="54">
    <w:p>
      <w:pPr>
        <w:pStyle w:val="FootnoteText"/>
      </w:pPr>
      <w:r>
        <w:rPr>
          <w:rStyle w:val="FootnoteReference"/>
        </w:rPr>
        <w:footnoteRef/>
      </w:r>
      <w:r>
        <w:t xml:space="preserve"> </w:t>
      </w:r>
      <w:r>
        <w:t xml:space="preserve">See, for example, Spotlight PA’s explainer on voting machines in Pennsylvania and Associated Press fact checks of viral videos.</w:t>
      </w:r>
    </w:p>
  </w:footnote>
  <w:footnote w:id="55">
    <w:p>
      <w:pPr>
        <w:pStyle w:val="FootnoteText"/>
      </w:pPr>
      <w:r>
        <w:rPr>
          <w:rStyle w:val="FootnoteReference"/>
        </w:rPr>
        <w:footnoteRef/>
      </w:r>
      <w:r>
        <w:t xml:space="preserve"> </w:t>
      </w:r>
      <w:r>
        <w:t xml:space="preserve">Associated Press,</w:t>
      </w:r>
      <w:r>
        <w:t xml:space="preserve"> </w:t>
      </w:r>
      <w:r>
        <w:t xml:space="preserve">“Judge rules</w:t>
      </w:r>
      <w:r>
        <w:t xml:space="preserve"> </w:t>
      </w:r>
      <w:r>
        <w:t xml:space="preserve">‘MyPillow Guy’</w:t>
      </w:r>
      <w:r>
        <w:t xml:space="preserve"> </w:t>
      </w:r>
      <w:r>
        <w:t xml:space="preserve">Mike Lindell defamed Smartmatic with false claims on voting machines,”</w:t>
      </w:r>
      <w:r>
        <w:t xml:space="preserve"> </w:t>
      </w:r>
      <w:r>
        <w:t xml:space="preserve">2025.</w:t>
      </w:r>
    </w:p>
  </w:footnote>
  <w:footnote w:id="56">
    <w:p>
      <w:pPr>
        <w:pStyle w:val="FootnoteText"/>
      </w:pPr>
      <w:r>
        <w:rPr>
          <w:rStyle w:val="FootnoteReference"/>
        </w:rPr>
        <w:footnoteRef/>
      </w:r>
      <w:r>
        <w:t xml:space="preserve"> </w:t>
      </w:r>
      <w:r>
        <w:t xml:space="preserve">See coverage of the Dominion and Smartmatic settlements by major news outlets and court documents.</w:t>
      </w:r>
    </w:p>
  </w:footnote>
  <w:footnote w:id="58">
    <w:p>
      <w:pPr>
        <w:pStyle w:val="FootnoteText"/>
      </w:pPr>
      <w:r>
        <w:rPr>
          <w:rStyle w:val="FootnoteReference"/>
        </w:rPr>
        <w:footnoteRef/>
      </w:r>
      <w:r>
        <w:t xml:space="preserve"> </w:t>
      </w:r>
      <w:r>
        <w:t xml:space="preserve">Greenhalgh,</w:t>
      </w:r>
      <w:r>
        <w:t xml:space="preserve"> </w:t>
      </w:r>
      <w:r>
        <w:t xml:space="preserve">“Don’t Just Trust, Always Verify.”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Anomalies, Voting Machines, and the 2024 U.S. Presidential Election: A Critical Assessment of Evidence from the Election Truth Alliance</dc:title>
  <dc:creator/>
  <cp:keywords/>
  <dcterms:created xsi:type="dcterms:W3CDTF">2026-09-17T20:12:22Z</dcterms:created>
  <dcterms:modified xsi:type="dcterms:W3CDTF">2026-09-17T20:12:22Z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prepared with publicly available sources</vt:lpwstr>
  </property>
  <property fmtid="{D5CDD505-2E9C-101B-9397-08002B2CF9AE}" pid="3" name="linestretch">
    <vt:lpwstr>1.5</vt:lpwstr>
  </property>
  <property fmtid="{D5CDD505-2E9C-101B-9397-08002B2CF9AE}" pid="4" name="number-sections">
    <vt:lpwstr>True</vt:lpwstr>
  </property>
  <property fmtid="{D5CDD505-2E9C-101B-9397-08002B2CF9AE}" pid="5" name="toc">
    <vt:lpwstr>True</vt:lpwstr>
  </property>
</Properties>
</file>