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Diagnostics</w:t>
      </w:r>
      <w:r>
        <w:t xml:space="preserve"> </w:t>
      </w:r>
      <w:r>
        <w:t xml:space="preserve">a</w:t>
      </w:r>
      <w:r>
        <w:t xml:space="preserve"> </w:t>
      </w:r>
      <w:r>
        <w:t xml:space="preserve">Finance</w:t>
      </w:r>
      <w:r>
        <w:t xml:space="preserve"> </w:t>
      </w:r>
      <w:r>
        <w:t xml:space="preserve">Ministry</w:t>
      </w:r>
      <w:r>
        <w:t xml:space="preserve"> </w:t>
      </w:r>
      <w:r>
        <w:t xml:space="preserve">Can</w:t>
      </w:r>
      <w:r>
        <w:t xml:space="preserve"> </w:t>
      </w:r>
      <w:r>
        <w:t xml:space="preserve">Run</w:t>
      </w:r>
    </w:p>
    <w:p>
      <w:pPr>
        <w:pStyle w:val="Subtitle"/>
      </w:pPr>
      <w:r>
        <w:t xml:space="preserve">Overview</w:t>
      </w:r>
      <w:r>
        <w:t xml:space="preserve"> </w:t>
      </w:r>
      <w:r>
        <w:t xml:space="preserve">of</w:t>
      </w:r>
      <w:r>
        <w:t xml:space="preserve"> </w:t>
      </w:r>
      <w:r>
        <w:t xml:space="preserve">section</w:t>
      </w:r>
      <w:r>
        <w:t xml:space="preserve"> </w:t>
      </w:r>
      <w:r>
        <w:t xml:space="preserve">5:</w:t>
      </w:r>
      <w:r>
        <w:t xml:space="preserve"> </w:t>
      </w:r>
      <w:r>
        <w:t xml:space="preserve">analytics</w:t>
      </w:r>
    </w:p>
    <w:p>
      <w:pPr>
        <w:pStyle w:val="Author"/>
      </w:pPr>
      <w:r>
        <w:t xml:space="preserve">Stephen</w:t>
      </w:r>
      <w:r>
        <w:t xml:space="preserve"> </w:t>
      </w:r>
      <w:r>
        <w:t xml:space="preserve">J.</w:t>
      </w:r>
      <w:r>
        <w:t xml:space="preserve"> </w:t>
      </w:r>
      <w:r>
        <w:t xml:space="preserve">Stretton</w:t>
      </w:r>
    </w:p>
    <w:p>
      <w:pPr>
        <w:pStyle w:val="AbstractTitle"/>
      </w:pPr>
      <w:r>
        <w:t xml:space="preserve">Abstract</w:t>
      </w:r>
    </w:p>
    <w:p>
      <w:pPr>
        <w:pStyle w:val="Abstract"/>
      </w:pPr>
      <w:r>
        <w:t xml:space="preserve">Analysis</w:t>
      </w:r>
      <w:r>
        <w:t xml:space="preserve"> </w:t>
      </w:r>
      <w:r>
        <w:t xml:space="preserve">changes</w:t>
      </w:r>
      <w:r>
        <w:t xml:space="preserve"> </w:t>
      </w:r>
      <w:r>
        <w:t xml:space="preserve">policy</w:t>
      </w:r>
      <w:r>
        <w:t xml:space="preserve"> </w:t>
      </w:r>
      <w:r>
        <w:t xml:space="preserve">only</w:t>
      </w:r>
      <w:r>
        <w:t xml:space="preserve"> </w:t>
      </w:r>
      <w:r>
        <w:t xml:space="preserve">when</w:t>
      </w:r>
      <w:r>
        <w:t xml:space="preserve"> </w:t>
      </w:r>
      <w:r>
        <w:t xml:space="preserve">the</w:t>
      </w:r>
      <w:r>
        <w:t xml:space="preserve"> </w:t>
      </w:r>
      <w:r>
        <w:t xml:space="preserve">people</w:t>
      </w:r>
      <w:r>
        <w:t xml:space="preserve"> </w:t>
      </w:r>
      <w:r>
        <w:t xml:space="preserve">who</w:t>
      </w:r>
      <w:r>
        <w:t xml:space="preserve"> </w:t>
      </w:r>
      <w:r>
        <w:t xml:space="preserve">hold</w:t>
      </w:r>
      <w:r>
        <w:t xml:space="preserve"> </w:t>
      </w:r>
      <w:r>
        <w:t xml:space="preserve">the</w:t>
      </w:r>
      <w:r>
        <w:t xml:space="preserve"> </w:t>
      </w:r>
      <w:r>
        <w:t xml:space="preserve">budget</w:t>
      </w:r>
      <w:r>
        <w:t xml:space="preserve"> </w:t>
      </w:r>
      <w:r>
        <w:t xml:space="preserve">can</w:t>
      </w:r>
      <w:r>
        <w:t xml:space="preserve"> </w:t>
      </w:r>
      <w:r>
        <w:t xml:space="preserve">reproduce</w:t>
      </w:r>
      <w:r>
        <w:t xml:space="preserve"> </w:t>
      </w:r>
      <w:r>
        <w:t xml:space="preserve">it.</w:t>
      </w:r>
      <w:r>
        <w:t xml:space="preserve"> </w:t>
      </w:r>
      <w:r>
        <w:t xml:space="preserve">The</w:t>
      </w:r>
      <w:r>
        <w:t xml:space="preserve"> </w:t>
      </w:r>
      <w:r>
        <w:t xml:space="preserve">products</w:t>
      </w:r>
      <w:r>
        <w:t xml:space="preserve"> </w:t>
      </w:r>
      <w:r>
        <w:t xml:space="preserve">in</w:t>
      </w:r>
      <w:r>
        <w:t xml:space="preserve"> </w:t>
      </w:r>
      <w:r>
        <w:t xml:space="preserve">this</w:t>
      </w:r>
      <w:r>
        <w:t xml:space="preserve"> </w:t>
      </w:r>
      <w:r>
        <w:t xml:space="preserve">section</w:t>
      </w:r>
      <w:r>
        <w:t xml:space="preserve"> </w:t>
      </w:r>
      <w:r>
        <w:t xml:space="preserve">are</w:t>
      </w:r>
      <w:r>
        <w:t xml:space="preserve"> </w:t>
      </w:r>
      <w:r>
        <w:t xml:space="preserve">diagnostics</w:t>
      </w:r>
      <w:r>
        <w:t xml:space="preserve"> </w:t>
      </w:r>
      <w:r>
        <w:t xml:space="preserve">rather</w:t>
      </w:r>
      <w:r>
        <w:t xml:space="preserve"> </w:t>
      </w:r>
      <w:r>
        <w:t xml:space="preserve">than</w:t>
      </w:r>
      <w:r>
        <w:t xml:space="preserve"> </w:t>
      </w:r>
      <w:r>
        <w:t xml:space="preserve">papers:</w:t>
      </w:r>
      <w:r>
        <w:t xml:space="preserve"> </w:t>
      </w:r>
      <w:r>
        <w:t xml:space="preserve">each</w:t>
      </w:r>
      <w:r>
        <w:t xml:space="preserve"> </w:t>
      </w:r>
      <w:r>
        <w:t xml:space="preserve">takes</w:t>
      </w:r>
      <w:r>
        <w:t xml:space="preserve"> </w:t>
      </w:r>
      <w:r>
        <w:t xml:space="preserve">data</w:t>
      </w:r>
      <w:r>
        <w:t xml:space="preserve"> </w:t>
      </w:r>
      <w:r>
        <w:t xml:space="preserve">a</w:t>
      </w:r>
      <w:r>
        <w:t xml:space="preserve"> </w:t>
      </w:r>
      <w:r>
        <w:t xml:space="preserve">finance</w:t>
      </w:r>
      <w:r>
        <w:t xml:space="preserve"> </w:t>
      </w:r>
      <w:r>
        <w:t xml:space="preserve">ministry</w:t>
      </w:r>
      <w:r>
        <w:t xml:space="preserve"> </w:t>
      </w:r>
      <w:r>
        <w:t xml:space="preserve">already</w:t>
      </w:r>
      <w:r>
        <w:t xml:space="preserve"> </w:t>
      </w:r>
      <w:r>
        <w:t xml:space="preserve">holds,</w:t>
      </w:r>
      <w:r>
        <w:t xml:space="preserve"> </w:t>
      </w:r>
      <w:r>
        <w:t xml:space="preserve">puts</w:t>
      </w:r>
      <w:r>
        <w:t xml:space="preserve"> </w:t>
      </w:r>
      <w:r>
        <w:t xml:space="preserve">it</w:t>
      </w:r>
      <w:r>
        <w:t xml:space="preserve"> </w:t>
      </w:r>
      <w:r>
        <w:t xml:space="preserve">on</w:t>
      </w:r>
      <w:r>
        <w:t xml:space="preserve"> </w:t>
      </w:r>
      <w:r>
        <w:t xml:space="preserve">a</w:t>
      </w:r>
      <w:r>
        <w:t xml:space="preserve"> </w:t>
      </w:r>
      <w:r>
        <w:t xml:space="preserve">common</w:t>
      </w:r>
      <w:r>
        <w:t xml:space="preserve"> </w:t>
      </w:r>
      <w:r>
        <w:t xml:space="preserve">spine</w:t>
      </w:r>
      <w:r>
        <w:t xml:space="preserve"> </w:t>
      </w:r>
      <w:r>
        <w:t xml:space="preserve">so</w:t>
      </w:r>
      <w:r>
        <w:t xml:space="preserve"> </w:t>
      </w:r>
      <w:r>
        <w:t xml:space="preserve">that</w:t>
      </w:r>
      <w:r>
        <w:t xml:space="preserve"> </w:t>
      </w:r>
      <w:r>
        <w:t xml:space="preserve">instruments</w:t>
      </w:r>
      <w:r>
        <w:t xml:space="preserve"> </w:t>
      </w:r>
      <w:r>
        <w:t xml:space="preserve">which</w:t>
      </w:r>
      <w:r>
        <w:t xml:space="preserve"> </w:t>
      </w:r>
      <w:r>
        <w:t xml:space="preserve">are</w:t>
      </w:r>
      <w:r>
        <w:t xml:space="preserve"> </w:t>
      </w:r>
      <w:r>
        <w:t xml:space="preserve">not</w:t>
      </w:r>
      <w:r>
        <w:t xml:space="preserve"> </w:t>
      </w:r>
      <w:r>
        <w:t xml:space="preserve">alike</w:t>
      </w:r>
      <w:r>
        <w:t xml:space="preserve"> </w:t>
      </w:r>
      <w:r>
        <w:t xml:space="preserve">can</w:t>
      </w:r>
      <w:r>
        <w:t xml:space="preserve"> </w:t>
      </w:r>
      <w:r>
        <w:t xml:space="preserve">be</w:t>
      </w:r>
      <w:r>
        <w:t xml:space="preserve"> </w:t>
      </w:r>
      <w:r>
        <w:t xml:space="preserve">compared,</w:t>
      </w:r>
      <w:r>
        <w:t xml:space="preserve"> </w:t>
      </w:r>
      <w:r>
        <w:t xml:space="preserve">and</w:t>
      </w:r>
      <w:r>
        <w:t xml:space="preserve"> </w:t>
      </w:r>
      <w:r>
        <w:t xml:space="preserve">returns</w:t>
      </w:r>
      <w:r>
        <w:t xml:space="preserve"> </w:t>
      </w:r>
      <w:r>
        <w:t xml:space="preserve">something</w:t>
      </w:r>
      <w:r>
        <w:t xml:space="preserve"> </w:t>
      </w:r>
      <w:r>
        <w:t xml:space="preserve">sequenced</w:t>
      </w:r>
      <w:r>
        <w:t xml:space="preserve"> </w:t>
      </w:r>
      <w:r>
        <w:t xml:space="preserve">enough</w:t>
      </w:r>
      <w:r>
        <w:t xml:space="preserve"> </w:t>
      </w:r>
      <w:r>
        <w:t xml:space="preserve">to</w:t>
      </w:r>
      <w:r>
        <w:t xml:space="preserve"> </w:t>
      </w:r>
      <w:r>
        <w:t xml:space="preserve">act</w:t>
      </w:r>
      <w:r>
        <w:t xml:space="preserve"> </w:t>
      </w:r>
      <w:r>
        <w:t xml:space="preserve">on.</w:t>
      </w:r>
      <w:r>
        <w:t xml:space="preserve"> </w:t>
      </w:r>
      <w:r>
        <w:t xml:space="preserve">This</w:t>
      </w:r>
      <w:r>
        <w:t xml:space="preserve"> </w:t>
      </w:r>
      <w:r>
        <w:t xml:space="preserve">overview</w:t>
      </w:r>
      <w:r>
        <w:t xml:space="preserve"> </w:t>
      </w:r>
      <w:r>
        <w:t xml:space="preserve">sets</w:t>
      </w:r>
      <w:r>
        <w:t xml:space="preserve"> </w:t>
      </w:r>
      <w:r>
        <w:t xml:space="preserve">out</w:t>
      </w:r>
      <w:r>
        <w:t xml:space="preserve"> </w:t>
      </w:r>
      <w:r>
        <w:t xml:space="preserve">the</w:t>
      </w:r>
      <w:r>
        <w:t xml:space="preserve"> </w:t>
      </w:r>
      <w:r>
        <w:t xml:space="preserve">standard</w:t>
      </w:r>
      <w:r>
        <w:t xml:space="preserve"> </w:t>
      </w:r>
      <w:r>
        <w:t xml:space="preserve">they</w:t>
      </w:r>
      <w:r>
        <w:t xml:space="preserve"> </w:t>
      </w:r>
      <w:r>
        <w:t xml:space="preserve">are</w:t>
      </w:r>
      <w:r>
        <w:t xml:space="preserve"> </w:t>
      </w:r>
      <w:r>
        <w:t xml:space="preserve">built</w:t>
      </w:r>
      <w:r>
        <w:t xml:space="preserve"> </w:t>
      </w:r>
      <w:r>
        <w:t xml:space="preserve">to</w:t>
      </w:r>
      <w:r>
        <w:t xml:space="preserve"> </w:t>
      </w:r>
      <w:r>
        <w:t xml:space="preserve">—</w:t>
      </w:r>
      <w:r>
        <w:t xml:space="preserve"> </w:t>
      </w:r>
      <w:r>
        <w:t xml:space="preserve">every</w:t>
      </w:r>
      <w:r>
        <w:t xml:space="preserve"> </w:t>
      </w:r>
      <w:r>
        <w:t xml:space="preserve">intermediate</w:t>
      </w:r>
      <w:r>
        <w:t xml:space="preserve"> </w:t>
      </w:r>
      <w:r>
        <w:t xml:space="preserve">step</w:t>
      </w:r>
      <w:r>
        <w:t xml:space="preserve"> </w:t>
      </w:r>
      <w:r>
        <w:t xml:space="preserve">visible,</w:t>
      </w:r>
      <w:r>
        <w:t xml:space="preserve"> </w:t>
      </w:r>
      <w:r>
        <w:t xml:space="preserve">defaults</w:t>
      </w:r>
      <w:r>
        <w:t xml:space="preserve"> </w:t>
      </w:r>
      <w:r>
        <w:t xml:space="preserve">that</w:t>
      </w:r>
      <w:r>
        <w:t xml:space="preserve"> </w:t>
      </w:r>
      <w:r>
        <w:t xml:space="preserve">can</w:t>
      </w:r>
      <w:r>
        <w:t xml:space="preserve"> </w:t>
      </w:r>
      <w:r>
        <w:t xml:space="preserve">be</w:t>
      </w:r>
      <w:r>
        <w:t xml:space="preserve"> </w:t>
      </w:r>
      <w:r>
        <w:t xml:space="preserve">defended</w:t>
      </w:r>
      <w:r>
        <w:t xml:space="preserve"> </w:t>
      </w:r>
      <w:r>
        <w:t xml:space="preserve">line</w:t>
      </w:r>
      <w:r>
        <w:t xml:space="preserve"> </w:t>
      </w:r>
      <w:r>
        <w:t xml:space="preserve">by</w:t>
      </w:r>
      <w:r>
        <w:t xml:space="preserve"> </w:t>
      </w:r>
      <w:r>
        <w:t xml:space="preserve">line,</w:t>
      </w:r>
      <w:r>
        <w:t xml:space="preserve"> </w:t>
      </w:r>
      <w:r>
        <w:t xml:space="preserve">and</w:t>
      </w:r>
      <w:r>
        <w:t xml:space="preserve"> </w:t>
      </w:r>
      <w:r>
        <w:t xml:space="preserve">a</w:t>
      </w:r>
      <w:r>
        <w:t xml:space="preserve"> </w:t>
      </w:r>
      <w:r>
        <w:t xml:space="preserve">named</w:t>
      </w:r>
      <w:r>
        <w:t xml:space="preserve"> </w:t>
      </w:r>
      <w:r>
        <w:t xml:space="preserve">country</w:t>
      </w:r>
      <w:r>
        <w:t xml:space="preserve"> </w:t>
      </w:r>
      <w:r>
        <w:t xml:space="preserve">worked</w:t>
      </w:r>
      <w:r>
        <w:t xml:space="preserve"> </w:t>
      </w:r>
      <w:r>
        <w:t xml:space="preserve">through</w:t>
      </w:r>
      <w:r>
        <w:t xml:space="preserve"> </w:t>
      </w:r>
      <w:r>
        <w:t xml:space="preserve">end</w:t>
      </w:r>
      <w:r>
        <w:t xml:space="preserve"> </w:t>
      </w:r>
      <w:r>
        <w:t xml:space="preserve">to</w:t>
      </w:r>
      <w:r>
        <w:t xml:space="preserve"> </w:t>
      </w:r>
      <w:r>
        <w:t xml:space="preserve">end</w:t>
      </w:r>
      <w:r>
        <w:t xml:space="preserve"> </w:t>
      </w:r>
      <w:r>
        <w:t xml:space="preserve">—</w:t>
      </w:r>
      <w:r>
        <w:t xml:space="preserve"> </w:t>
      </w:r>
      <w:r>
        <w:t xml:space="preserve">and</w:t>
      </w:r>
      <w:r>
        <w:t xml:space="preserve"> </w:t>
      </w:r>
      <w:r>
        <w:t xml:space="preserve">why</w:t>
      </w:r>
      <w:r>
        <w:t xml:space="preserve"> </w:t>
      </w:r>
      <w:r>
        <w:t xml:space="preserve">that</w:t>
      </w:r>
      <w:r>
        <w:t xml:space="preserve"> </w:t>
      </w:r>
      <w:r>
        <w:t xml:space="preserve">standard</w:t>
      </w:r>
      <w:r>
        <w:t xml:space="preserve"> </w:t>
      </w:r>
      <w:r>
        <w:t xml:space="preserve">matters</w:t>
      </w:r>
      <w:r>
        <w:t xml:space="preserve"> </w:t>
      </w:r>
      <w:r>
        <w:t xml:space="preserve">more</w:t>
      </w:r>
      <w:r>
        <w:t xml:space="preserve"> </w:t>
      </w:r>
      <w:r>
        <w:t xml:space="preserve">here</w:t>
      </w:r>
      <w:r>
        <w:t xml:space="preserve"> </w:t>
      </w:r>
      <w:r>
        <w:t xml:space="preserve">than</w:t>
      </w:r>
      <w:r>
        <w:t xml:space="preserve"> </w:t>
      </w:r>
      <w:r>
        <w:t xml:space="preserve">analytical</w:t>
      </w:r>
      <w:r>
        <w:t xml:space="preserve"> </w:t>
      </w:r>
      <w:r>
        <w:t xml:space="preserve">sophistication.</w:t>
      </w:r>
      <w:r>
        <w:t xml:space="preserve"> </w:t>
      </w:r>
      <w:r>
        <w:t xml:space="preserve">A</w:t>
      </w:r>
      <w:r>
        <w:t xml:space="preserve"> </w:t>
      </w:r>
      <w:r>
        <w:t xml:space="preserve">diagnostic</w:t>
      </w:r>
      <w:r>
        <w:t xml:space="preserve"> </w:t>
      </w:r>
      <w:r>
        <w:t xml:space="preserve">a</w:t>
      </w:r>
      <w:r>
        <w:t xml:space="preserve"> </w:t>
      </w:r>
      <w:r>
        <w:t xml:space="preserve">ministry</w:t>
      </w:r>
      <w:r>
        <w:t xml:space="preserve"> </w:t>
      </w:r>
      <w:r>
        <w:t xml:space="preserve">cannot</w:t>
      </w:r>
      <w:r>
        <w:t xml:space="preserve"> </w:t>
      </w:r>
      <w:r>
        <w:t xml:space="preserve">check</w:t>
      </w:r>
      <w:r>
        <w:t xml:space="preserve"> </w:t>
      </w:r>
      <w:r>
        <w:t xml:space="preserve">is</w:t>
      </w:r>
      <w:r>
        <w:t xml:space="preserve"> </w:t>
      </w:r>
      <w:r>
        <w:t xml:space="preserve">a</w:t>
      </w:r>
      <w:r>
        <w:t xml:space="preserve"> </w:t>
      </w:r>
      <w:r>
        <w:t xml:space="preserve">recommendation</w:t>
      </w:r>
      <w:r>
        <w:t xml:space="preserve"> </w:t>
      </w:r>
      <w:r>
        <w:t xml:space="preserve">it</w:t>
      </w:r>
      <w:r>
        <w:t xml:space="preserve"> </w:t>
      </w:r>
      <w:r>
        <w:t xml:space="preserve">must</w:t>
      </w:r>
      <w:r>
        <w:t xml:space="preserve"> </w:t>
      </w:r>
      <w:r>
        <w:t xml:space="preserve">take</w:t>
      </w:r>
      <w:r>
        <w:t xml:space="preserve"> </w:t>
      </w:r>
      <w:r>
        <w:t xml:space="preserve">on</w:t>
      </w:r>
      <w:r>
        <w:t xml:space="preserve"> </w:t>
      </w:r>
      <w:r>
        <w:t xml:space="preserve">trust,</w:t>
      </w:r>
      <w:r>
        <w:t xml:space="preserve"> </w:t>
      </w:r>
      <w:r>
        <w:t xml:space="preserve">and</w:t>
      </w:r>
      <w:r>
        <w:t xml:space="preserve"> </w:t>
      </w:r>
      <w:r>
        <w:t xml:space="preserve">recommendations</w:t>
      </w:r>
      <w:r>
        <w:t xml:space="preserve"> </w:t>
      </w:r>
      <w:r>
        <w:t xml:space="preserve">taken</w:t>
      </w:r>
      <w:r>
        <w:t xml:space="preserve"> </w:t>
      </w:r>
      <w:r>
        <w:t xml:space="preserve">on</w:t>
      </w:r>
      <w:r>
        <w:t xml:space="preserve"> </w:t>
      </w:r>
      <w:r>
        <w:t xml:space="preserve">trust</w:t>
      </w:r>
      <w:r>
        <w:t xml:space="preserve"> </w:t>
      </w:r>
      <w:r>
        <w:t xml:space="preserve">do</w:t>
      </w:r>
      <w:r>
        <w:t xml:space="preserve"> </w:t>
      </w:r>
      <w:r>
        <w:t xml:space="preserve">not</w:t>
      </w:r>
      <w:r>
        <w:t xml:space="preserve"> </w:t>
      </w:r>
      <w:r>
        <w:t xml:space="preserve">survive</w:t>
      </w:r>
      <w:r>
        <w:t xml:space="preserve"> </w:t>
      </w:r>
      <w:r>
        <w:t xml:space="preserve">the</w:t>
      </w:r>
      <w:r>
        <w:t xml:space="preserve"> </w:t>
      </w:r>
      <w:r>
        <w:t xml:space="preserve">first</w:t>
      </w:r>
      <w:r>
        <w:t xml:space="preserve"> </w:t>
      </w:r>
      <w:r>
        <w:t xml:space="preserve">official</w:t>
      </w:r>
      <w:r>
        <w:t xml:space="preserve"> </w:t>
      </w:r>
      <w:r>
        <w:t xml:space="preserve">who</w:t>
      </w:r>
      <w:r>
        <w:t xml:space="preserve"> </w:t>
      </w:r>
      <w:r>
        <w:t xml:space="preserve">disagrees</w:t>
      </w:r>
      <w:r>
        <w:t xml:space="preserve"> </w:t>
      </w:r>
      <w:r>
        <w:t xml:space="preserve">with</w:t>
      </w:r>
      <w:r>
        <w:t xml:space="preserve"> </w:t>
      </w:r>
      <w:r>
        <w:t xml:space="preserve">them.</w:t>
      </w:r>
    </w:p>
    <w:p>
      <w:pPr>
        <w:pStyle w:val="FirstParagraph"/>
      </w:pPr>
      <w:r>
        <w:rPr>
          <w:iCs/>
          <w:i/>
        </w:rPr>
        <w:t xml:space="preserve">The overview for section 5. The instruments these diagnostics assess are in section 1; the modelling machinery behind the comparisons is in section 4. Diagnostics retained but not actively developed sit in</w:t>
      </w:r>
      <w:r>
        <w:rPr>
          <w:iCs/>
          <w:i/>
        </w:rPr>
        <w:t xml:space="preserve"> </w:t>
      </w:r>
      <w:r>
        <w:rPr>
          <w:rStyle w:val="VerbatimChar"/>
          <w:iCs/>
          <w:i/>
        </w:rPr>
        <w:t xml:space="preserve">9.Additional</w:t>
      </w:r>
      <w:r>
        <w:rPr>
          <w:iCs/>
          <w:i/>
        </w:rPr>
        <w:t xml:space="preserve"> </w:t>
      </w:r>
      <w:r>
        <w:rPr>
          <w:iCs/>
          <w:i/>
        </w:rPr>
        <w:t xml:space="preserve">under the numbers they had here.</w:t>
      </w:r>
    </w:p>
    <w:p>
      <w:pPr>
        <w:pStyle w:val="BodyText"/>
      </w:pPr>
      <w:r>
        <w:t xml:space="preserve">This overview online:</w:t>
      </w:r>
      <w:r>
        <w:t xml:space="preserve"> </w:t>
      </w:r>
      <w:hyperlink r:id="rId20">
        <w:r>
          <w:rPr>
            <w:rStyle w:val="Hyperlink"/>
          </w:rPr>
          <w:t xml:space="preserve">https://climatefiscalfinance.org/papers/OverviewAnalytics.docx</w:t>
        </w:r>
      </w:hyperlink>
    </w:p>
    <w:bookmarkStart w:id="21" w:name="executive-summary"/>
    <w:p>
      <w:pPr>
        <w:pStyle w:val="Heading1"/>
      </w:pPr>
      <w:r>
        <w:t xml:space="preserve">Executive summary</w:t>
      </w:r>
    </w:p>
    <w:p>
      <w:pPr>
        <w:pStyle w:val="FirstParagraph"/>
      </w:pPr>
      <w:r>
        <w:rPr>
          <w:bCs/>
          <w:b/>
        </w:rPr>
        <w:t xml:space="preserve">A diagnostic is not a paper, and the difference is who uses it.</w:t>
      </w:r>
      <w:r>
        <w:t xml:space="preserve"> </w:t>
      </w:r>
      <w:r>
        <w:t xml:space="preserve">A paper argues a case to readers. A diagnostic is run, by a country team or a ministry, against a particular country’s data, and produces a finding that has to hold up in a meeting where somebody’s budget is at stake. That changes what good looks like.</w:t>
      </w:r>
    </w:p>
    <w:p>
      <w:pPr>
        <w:pStyle w:val="BodyText"/>
      </w:pPr>
      <w:r>
        <w:rPr>
          <w:bCs/>
          <w:b/>
        </w:rPr>
        <w:t xml:space="preserve">Auditability is the binding requirement.</w:t>
      </w:r>
      <w:r>
        <w:t xml:space="preserve"> </w:t>
      </w:r>
      <w:r>
        <w:t xml:space="preserve">Every intermediate step has to be visible, every default has to have a source, and the arithmetic has to be reproducible by someone who did not build it. A tool whose workings cannot be inspected gets accepted or rejected on the authority of whoever ran it, which is a poor basis for a reform programme that will be contested.</w:t>
      </w:r>
    </w:p>
    <w:p>
      <w:pPr>
        <w:pStyle w:val="BodyText"/>
      </w:pPr>
      <w:r>
        <w:rPr>
          <w:bCs/>
          <w:b/>
        </w:rPr>
        <w:t xml:space="preserve">A common spine is what makes comparison possible.</w:t>
      </w:r>
      <w:r>
        <w:t xml:space="preserve"> </w:t>
      </w:r>
      <w:r>
        <w:t xml:space="preserve">Excise instruments are legislated line by line, externalities are estimated by different literatures in different units, and neither is naturally commensurable. The work in this section consists largely of putting things onto one scale so that a ministry can see its tax system whole rather than instrument by instrument.</w:t>
      </w:r>
    </w:p>
    <w:p>
      <w:pPr>
        <w:pStyle w:val="BodyText"/>
      </w:pPr>
      <w:r>
        <w:rPr>
          <w:bCs/>
          <w:b/>
        </w:rPr>
        <w:t xml:space="preserve">Every diagnostic needs a worked country.</w:t>
      </w:r>
      <w:r>
        <w:t xml:space="preserve"> </w:t>
      </w:r>
      <w:r>
        <w:t xml:space="preserve">A framework demonstrated on no one convinces no one. Sierra Leone is the application for the excise work, and the same discipline applies to anything added here: the method and the worked case ship together.</w:t>
      </w:r>
    </w:p>
    <w:p>
      <w:pPr>
        <w:pStyle w:val="BodyText"/>
      </w:pPr>
      <w:r>
        <w:rPr>
          <w:bCs/>
          <w:b/>
        </w:rPr>
        <w:t xml:space="preserve">The output is a sequence, not a score.</w:t>
      </w:r>
      <w:r>
        <w:t xml:space="preserve"> </w:t>
      </w:r>
      <w:r>
        <w:t xml:space="preserve">Ranking instruments is the easy half. What a finance ministry needs is an order — what can be done this year, what needs legislation, what needs a compensation package first — and the diagnostics are built to produce that rather than a league table.</w:t>
      </w:r>
    </w:p>
    <w:bookmarkEnd w:id="21"/>
    <w:bookmarkStart w:id="22" w:name="what-these-products-have-in-common"/>
    <w:p>
      <w:pPr>
        <w:pStyle w:val="Heading1"/>
      </w:pPr>
      <w:r>
        <w:t xml:space="preserve">1. What these products have in common</w:t>
      </w:r>
    </w:p>
    <w:p>
      <w:pPr>
        <w:pStyle w:val="FirstParagraph"/>
      </w:pPr>
      <w:r>
        <w:rPr>
          <w:bCs/>
          <w:b/>
        </w:rPr>
        <w:t xml:space="preserve">They start from data the ministry already holds.</w:t>
      </w:r>
      <w:r>
        <w:t xml:space="preserve"> </w:t>
      </w:r>
      <w:r>
        <w:t xml:space="preserve">Excise schedules, fuel volumes, customs records, budget lines. A diagnostic that requires a new data collection exercise will not be run.</w:t>
      </w:r>
    </w:p>
    <w:p>
      <w:pPr>
        <w:pStyle w:val="BodyText"/>
      </w:pPr>
      <w:r>
        <w:rPr>
          <w:bCs/>
          <w:b/>
        </w:rPr>
        <w:t xml:space="preserve">They put unlike things on one scale.</w:t>
      </w:r>
      <w:r>
        <w:t xml:space="preserve"> </w:t>
      </w:r>
      <w:r>
        <w:t xml:space="preserve">An excise rate per litre, a carbon content per tonne, an air pollution cost per unit of fuel burned and a road damage cost per axle-kilometre are not comparable until something makes them so. Most of the work is in that translation, and most of the defensibility rests on it.</w:t>
      </w:r>
    </w:p>
    <w:p>
      <w:pPr>
        <w:pStyle w:val="BodyText"/>
      </w:pPr>
      <w:r>
        <w:rPr>
          <w:bCs/>
          <w:b/>
        </w:rPr>
        <w:t xml:space="preserve">They separate what is measured from what is recommended.</w:t>
      </w:r>
      <w:r>
        <w:t xml:space="preserve"> </w:t>
      </w:r>
      <w:r>
        <w:t xml:space="preserve">The diagnostic establishes where the tax system stands against the externalities it could be addressing. The pathways section then converts that into options. Keeping the two apart is what lets a ministry accept the first while arguing about the second.</w:t>
      </w:r>
    </w:p>
    <w:bookmarkEnd w:id="22"/>
    <w:bookmarkStart w:id="23" w:name="the-standard"/>
    <w:p>
      <w:pPr>
        <w:pStyle w:val="Heading1"/>
      </w:pPr>
      <w:r>
        <w:t xml:space="preserve">2. The standard</w:t>
      </w:r>
    </w:p>
    <w:p>
      <w:pPr>
        <w:pStyle w:val="FirstParagraph"/>
      </w:pPr>
      <w:r>
        <w:rPr>
          <w:bCs/>
          <w:b/>
        </w:rPr>
        <w:t xml:space="preserve">Published defaults, with sources.</w:t>
      </w:r>
      <w:r>
        <w:t xml:space="preserve"> </w:t>
      </w:r>
      <w:r>
        <w:t xml:space="preserve">Where a number comes from a global database it is named; where it is an assumption it is labelled as one and its sensitivity shown.</w:t>
      </w:r>
    </w:p>
    <w:p>
      <w:pPr>
        <w:pStyle w:val="BodyText"/>
      </w:pPr>
      <w:r>
        <w:rPr>
          <w:bCs/>
          <w:b/>
        </w:rPr>
        <w:t xml:space="preserve">Country-specific where it matters, global where it does not.</w:t>
      </w:r>
      <w:r>
        <w:t xml:space="preserve"> </w:t>
      </w:r>
      <w:r>
        <w:t xml:space="preserve">Emission factors, fuel mixes and vehicle fleets differ enough that global defaults mislead. Discount rates and damage valuations mostly do not. Knowing which is which is part of the product.</w:t>
      </w:r>
    </w:p>
    <w:p>
      <w:pPr>
        <w:pStyle w:val="BodyText"/>
      </w:pPr>
      <w:r>
        <w:rPr>
          <w:bCs/>
          <w:b/>
        </w:rPr>
        <w:t xml:space="preserve">Reproducible arithmetic.</w:t>
      </w:r>
      <w:r>
        <w:t xml:space="preserve"> </w:t>
      </w:r>
      <w:r>
        <w:t xml:space="preserve">A spreadsheet whose formulas are visible beats a model whose code is not, for this audience, whatever the loss in sophistication.</w:t>
      </w:r>
    </w:p>
    <w:bookmarkEnd w:id="23"/>
    <w:bookmarkStart w:id="24" w:name="where-this-sits"/>
    <w:p>
      <w:pPr>
        <w:pStyle w:val="Heading1"/>
      </w:pPr>
      <w:r>
        <w:t xml:space="preserve">3. Where this sits</w:t>
      </w:r>
    </w:p>
    <w:p>
      <w:pPr>
        <w:pStyle w:val="FirstParagraph"/>
      </w:pPr>
      <w:r>
        <w:rPr>
          <w:bCs/>
          <w:b/>
        </w:rPr>
        <w:t xml:space="preserve">Section 1 supplies the instruments, this section assesses them in place.</w:t>
      </w:r>
      <w:r>
        <w:t xml:space="preserve"> </w:t>
      </w:r>
      <w:r>
        <w:t xml:space="preserve">A feebate designed in 1.2 is an argument; the same feebate scored against a country’s fiscal pressure, energy structure and institutional capacity is advice.</w:t>
      </w:r>
    </w:p>
    <w:p>
      <w:pPr>
        <w:pStyle w:val="BodyText"/>
      </w:pPr>
      <w:r>
        <w:rPr>
          <w:bCs/>
          <w:b/>
        </w:rPr>
        <w:t xml:space="preserve">Section 4 supplies the metric.</w:t>
      </w:r>
      <w:r>
        <w:t xml:space="preserve"> </w:t>
      </w:r>
      <w:r>
        <w:t xml:space="preserve">The policy-equivalent carbon price in 4.1 is what allows instruments to be compared by what they do rather than by their headline rates, and the diagnostics here apply it country by country.</w:t>
      </w:r>
    </w:p>
    <w:bookmarkEnd w:id="24"/>
    <w:bookmarkStart w:id="27" w:name="the-papers-in-this-section"/>
    <w:p>
      <w:pPr>
        <w:pStyle w:val="Heading1"/>
      </w:pPr>
      <w:r>
        <w:t xml:space="preserve">The papers in this section</w:t>
      </w:r>
    </w:p>
    <w:p>
      <w:pPr>
        <w:pStyle w:val="FirstParagraph"/>
      </w:pPr>
      <w:r>
        <w:t xml:space="preserve">Diagnostics retained but not actively developed — the climate-fiscal-financial dashboard, the green growth and sectoral TFP work, and the carbon pricing political economy material — sit in</w:t>
      </w:r>
      <w:r>
        <w:t xml:space="preserve"> </w:t>
      </w:r>
      <w:r>
        <w:rPr>
          <w:rStyle w:val="VerbatimChar"/>
        </w:rPr>
        <w:t xml:space="preserve">9.Additional</w:t>
      </w:r>
      <w:r>
        <w:t xml:space="preserve"> </w:t>
      </w:r>
      <w:r>
        <w:t xml:space="preserve">as 5.2, 5.3 and 5.4.</w:t>
      </w:r>
    </w:p>
    <w:bookmarkStart w:id="26" w:name="X8581cb52a270c321870a547f37d832237e2faee"/>
    <w:p>
      <w:pPr>
        <w:pStyle w:val="Heading2"/>
      </w:pPr>
      <w:r>
        <w:t xml:space="preserve">5.1 Automated Excise-Fiscal Reports: Instruments, Externalities, and Policy Pathways</w:t>
      </w:r>
    </w:p>
    <w:p>
      <w:pPr>
        <w:pStyle w:val="FirstParagraph"/>
      </w:pPr>
      <w:r>
        <w:t xml:space="preserve">Finance ministries often read excise systems instrument by instrument, without seeing whether the tax system as a whole addresses externalities. This paper proposes a standardized three-part diagnostic: an excise diagnostic that categorizes each schedule line and scales rates comparably; an externality diagnostic that brings carbon, air pollution, accidents, congestion, and road damage onto a common spine; and a policy pathways section that converts findings into sequenced reform options. Sierra Leone is the worked application.</w:t>
      </w:r>
    </w:p>
    <w:p>
      <w:pPr>
        <w:pStyle w:val="BodyText"/>
      </w:pPr>
      <w:hyperlink r:id="rId25">
        <w:r>
          <w:rPr>
            <w:rStyle w:val="Hyperlink"/>
          </w:rPr>
          <w:t xml:space="preserve">https://climatefiscalfinance.org/papers/ExciseFiscalDiagnostic.docx</w:t>
        </w:r>
      </w:hyperlink>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climatefiscalfinance.org/papers/ExciseFiscalDiagnostic.docx" TargetMode="External" /><Relationship Type="http://schemas.openxmlformats.org/officeDocument/2006/relationships/hyperlink" Id="rId20" Target="https://climatefiscalfinance.org/papers/OverviewAnalytics.docx" TargetMode="External" /></Relationships>
</file>

<file path=word/_rels/footnotes.xml.rels><?xml version="1.0" encoding="UTF-8"?><Relationships xmlns="http://schemas.openxmlformats.org/package/2006/relationships"><Relationship Type="http://schemas.openxmlformats.org/officeDocument/2006/relationships/hyperlink" Id="rId25" Target="https://climatefiscalfinance.org/papers/ExciseFiscalDiagnostic.docx" TargetMode="External" /><Relationship Type="http://schemas.openxmlformats.org/officeDocument/2006/relationships/hyperlink" Id="rId20" Target="https://climatefiscalfinance.org/papers/OverviewAnalytic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Diagnostics a Finance Ministry Can Run</dc:title>
  <dc:creator>Stephen J. Stretton</dc:creator>
  <cp:keywords/>
  <dcterms:created xsi:type="dcterms:W3CDTF">2026-09-17T22:38:01Z</dcterms:created>
  <dcterms:modified xsi:type="dcterms:W3CDTF">2026-09-17T22:38:01Z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Analysis changes policy only when the people who hold the budget can reproduce it. The products in this section are diagnostics rather than papers: each takes data a finance ministry already holds, puts it on a common spine so that instruments which are not alike can be compared, and returns something sequenced enough to act on. This overview sets out the standard they are built to — every intermediate step visible, defaults that can be defended line by line, and a named country worked through end to end — and why that standard matters more here than analytical sophistication. A diagnostic a ministry cannot check is a recommendation it must take on trust, and recommendations taken on trust do not survive the first official who disagrees with them.</vt:lpwstr>
  </property>
  <property fmtid="{D5CDD505-2E9C-101B-9397-08002B2CF9AE}" pid="3" name="format">
    <vt:lpwstr/>
  </property>
  <property fmtid="{D5CDD505-2E9C-101B-9397-08002B2CF9AE}" pid="4" name="subtitle">
    <vt:lpwstr>Overview of section 5: analytics</vt:lpwstr>
  </property>
</Properties>
</file>