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Carbon</w:t>
      </w:r>
      <w:r>
        <w:t xml:space="preserve"> </w:t>
      </w:r>
      <w:r>
        <w:t xml:space="preserve">Pricing</w:t>
      </w:r>
      <w:r>
        <w:t xml:space="preserve"> </w:t>
      </w:r>
      <w:r>
        <w:t xml:space="preserve">in</w:t>
      </w:r>
      <w:r>
        <w:t xml:space="preserve"> </w:t>
      </w:r>
      <w:r>
        <w:t xml:space="preserve">the</w:t>
      </w:r>
      <w:r>
        <w:t xml:space="preserve"> </w:t>
      </w:r>
      <w:r>
        <w:t xml:space="preserve">Fiscal</w:t>
      </w:r>
      <w:r>
        <w:t xml:space="preserve"> </w:t>
      </w:r>
      <w:r>
        <w:t xml:space="preserve">World</w:t>
      </w:r>
      <w:r>
        <w:t xml:space="preserve"> </w:t>
      </w:r>
      <w:r>
        <w:t xml:space="preserve">as</w:t>
      </w:r>
      <w:r>
        <w:t xml:space="preserve"> </w:t>
      </w:r>
      <w:r>
        <w:t xml:space="preserve">It</w:t>
      </w:r>
      <w:r>
        <w:t xml:space="preserve"> </w:t>
      </w:r>
      <w:r>
        <w:t xml:space="preserve">Is</w:t>
      </w:r>
    </w:p>
    <w:p>
      <w:pPr>
        <w:pStyle w:val="Subtitle"/>
      </w:pPr>
      <w:r>
        <w:t xml:space="preserve">Overview</w:t>
      </w:r>
      <w:r>
        <w:t xml:space="preserve"> </w:t>
      </w:r>
      <w:r>
        <w:t xml:space="preserve">of</w:t>
      </w:r>
      <w:r>
        <w:t xml:space="preserve"> </w:t>
      </w:r>
      <w:r>
        <w:t xml:space="preserve">section</w:t>
      </w:r>
      <w:r>
        <w:t xml:space="preserve"> </w:t>
      </w:r>
      <w:r>
        <w:t xml:space="preserve">1:</w:t>
      </w:r>
      <w:r>
        <w:t xml:space="preserve"> </w:t>
      </w:r>
      <w:r>
        <w:t xml:space="preserve">climate</w:t>
      </w:r>
      <w:r>
        <w:t xml:space="preserve"> </w:t>
      </w:r>
      <w:r>
        <w:t xml:space="preserve">and</w:t>
      </w:r>
      <w:r>
        <w:t xml:space="preserve"> </w:t>
      </w:r>
      <w:r>
        <w:t xml:space="preserve">fiscal</w:t>
      </w:r>
      <w:r>
        <w:t xml:space="preserve"> </w:t>
      </w:r>
      <w:r>
        <w:t xml:space="preserve">policy</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A</w:t>
      </w:r>
      <w:r>
        <w:t xml:space="preserve"> </w:t>
      </w:r>
      <w:r>
        <w:t xml:space="preserve">uniform</w:t>
      </w:r>
      <w:r>
        <w:t xml:space="preserve"> </w:t>
      </w:r>
      <w:r>
        <w:t xml:space="preserve">carbon</w:t>
      </w:r>
      <w:r>
        <w:t xml:space="preserve"> </w:t>
      </w:r>
      <w:r>
        <w:t xml:space="preserve">price</w:t>
      </w:r>
      <w:r>
        <w:t xml:space="preserve"> </w:t>
      </w:r>
      <w:r>
        <w:t xml:space="preserve">is</w:t>
      </w:r>
      <w:r>
        <w:t xml:space="preserve"> </w:t>
      </w:r>
      <w:r>
        <w:t xml:space="preserve">the</w:t>
      </w:r>
      <w:r>
        <w:t xml:space="preserve"> </w:t>
      </w:r>
      <w:r>
        <w:t xml:space="preserve">right</w:t>
      </w:r>
      <w:r>
        <w:t xml:space="preserve"> </w:t>
      </w:r>
      <w:r>
        <w:t xml:space="preserve">answer</w:t>
      </w:r>
      <w:r>
        <w:t xml:space="preserve"> </w:t>
      </w:r>
      <w:r>
        <w:t xml:space="preserve">to</w:t>
      </w:r>
      <w:r>
        <w:t xml:space="preserve"> </w:t>
      </w:r>
      <w:r>
        <w:t xml:space="preserve">a</w:t>
      </w:r>
      <w:r>
        <w:t xml:space="preserve"> </w:t>
      </w:r>
      <w:r>
        <w:t xml:space="preserve">question</w:t>
      </w:r>
      <w:r>
        <w:t xml:space="preserve"> </w:t>
      </w:r>
      <w:r>
        <w:t xml:space="preserve">finance</w:t>
      </w:r>
      <w:r>
        <w:t xml:space="preserve"> </w:t>
      </w:r>
      <w:r>
        <w:t xml:space="preserve">ministries</w:t>
      </w:r>
      <w:r>
        <w:t xml:space="preserve"> </w:t>
      </w:r>
      <w:r>
        <w:t xml:space="preserve">are</w:t>
      </w:r>
      <w:r>
        <w:t xml:space="preserve"> </w:t>
      </w:r>
      <w:r>
        <w:t xml:space="preserve">rarely</w:t>
      </w:r>
      <w:r>
        <w:t xml:space="preserve"> </w:t>
      </w:r>
      <w:r>
        <w:t xml:space="preserve">asked.</w:t>
      </w:r>
      <w:r>
        <w:t xml:space="preserve"> </w:t>
      </w:r>
      <w:r>
        <w:t xml:space="preserve">What</w:t>
      </w:r>
      <w:r>
        <w:t xml:space="preserve"> </w:t>
      </w:r>
      <w:r>
        <w:t xml:space="preserve">they</w:t>
      </w:r>
      <w:r>
        <w:t xml:space="preserve"> </w:t>
      </w:r>
      <w:r>
        <w:t xml:space="preserve">are</w:t>
      </w:r>
      <w:r>
        <w:t xml:space="preserve"> </w:t>
      </w:r>
      <w:r>
        <w:t xml:space="preserve">asked</w:t>
      </w:r>
      <w:r>
        <w:t xml:space="preserve"> </w:t>
      </w:r>
      <w:r>
        <w:t xml:space="preserve">is</w:t>
      </w:r>
      <w:r>
        <w:t xml:space="preserve"> </w:t>
      </w:r>
      <w:r>
        <w:t xml:space="preserve">how</w:t>
      </w:r>
      <w:r>
        <w:t xml:space="preserve"> </w:t>
      </w:r>
      <w:r>
        <w:t xml:space="preserve">to</w:t>
      </w:r>
      <w:r>
        <w:t xml:space="preserve"> </w:t>
      </w:r>
      <w:r>
        <w:t xml:space="preserve">raise</w:t>
      </w:r>
      <w:r>
        <w:t xml:space="preserve"> </w:t>
      </w:r>
      <w:r>
        <w:t xml:space="preserve">revenue</w:t>
      </w:r>
      <w:r>
        <w:t xml:space="preserve"> </w:t>
      </w:r>
      <w:r>
        <w:t xml:space="preserve">without</w:t>
      </w:r>
      <w:r>
        <w:t xml:space="preserve"> </w:t>
      </w:r>
      <w:r>
        <w:t xml:space="preserve">losing</w:t>
      </w:r>
      <w:r>
        <w:t xml:space="preserve"> </w:t>
      </w:r>
      <w:r>
        <w:t xml:space="preserve">industry,</w:t>
      </w:r>
      <w:r>
        <w:t xml:space="preserve"> </w:t>
      </w:r>
      <w:r>
        <w:t xml:space="preserve">how</w:t>
      </w:r>
      <w:r>
        <w:t xml:space="preserve"> </w:t>
      </w:r>
      <w:r>
        <w:t xml:space="preserve">to</w:t>
      </w:r>
      <w:r>
        <w:t xml:space="preserve"> </w:t>
      </w:r>
      <w:r>
        <w:t xml:space="preserve">act</w:t>
      </w:r>
      <w:r>
        <w:t xml:space="preserve"> </w:t>
      </w:r>
      <w:r>
        <w:t xml:space="preserve">when</w:t>
      </w:r>
      <w:r>
        <w:t xml:space="preserve"> </w:t>
      </w:r>
      <w:r>
        <w:t xml:space="preserve">a</w:t>
      </w:r>
      <w:r>
        <w:t xml:space="preserve"> </w:t>
      </w:r>
      <w:r>
        <w:t xml:space="preserve">headline</w:t>
      </w:r>
      <w:r>
        <w:t xml:space="preserve"> </w:t>
      </w:r>
      <w:r>
        <w:t xml:space="preserve">carbon</w:t>
      </w:r>
      <w:r>
        <w:t xml:space="preserve"> </w:t>
      </w:r>
      <w:r>
        <w:t xml:space="preserve">tax</w:t>
      </w:r>
      <w:r>
        <w:t xml:space="preserve"> </w:t>
      </w:r>
      <w:r>
        <w:t xml:space="preserve">is</w:t>
      </w:r>
      <w:r>
        <w:t xml:space="preserve"> </w:t>
      </w:r>
      <w:r>
        <w:t xml:space="preserve">politically</w:t>
      </w:r>
      <w:r>
        <w:t xml:space="preserve"> </w:t>
      </w:r>
      <w:r>
        <w:t xml:space="preserve">unavailable,</w:t>
      </w:r>
      <w:r>
        <w:t xml:space="preserve"> </w:t>
      </w:r>
      <w:r>
        <w:t xml:space="preserve">what</w:t>
      </w:r>
      <w:r>
        <w:t xml:space="preserve"> </w:t>
      </w:r>
      <w:r>
        <w:t xml:space="preserve">to</w:t>
      </w:r>
      <w:r>
        <w:t xml:space="preserve"> </w:t>
      </w:r>
      <w:r>
        <w:t xml:space="preserve">do</w:t>
      </w:r>
      <w:r>
        <w:t xml:space="preserve"> </w:t>
      </w:r>
      <w:r>
        <w:t xml:space="preserve">when</w:t>
      </w:r>
      <w:r>
        <w:t xml:space="preserve"> </w:t>
      </w:r>
      <w:r>
        <w:t xml:space="preserve">a</w:t>
      </w:r>
      <w:r>
        <w:t xml:space="preserve"> </w:t>
      </w:r>
      <w:r>
        <w:t xml:space="preserve">border</w:t>
      </w:r>
      <w:r>
        <w:t xml:space="preserve"> </w:t>
      </w:r>
      <w:r>
        <w:t xml:space="preserve">charge</w:t>
      </w:r>
      <w:r>
        <w:t xml:space="preserve"> </w:t>
      </w:r>
      <w:r>
        <w:t xml:space="preserve">produces</w:t>
      </w:r>
      <w:r>
        <w:t xml:space="preserve"> </w:t>
      </w:r>
      <w:r>
        <w:t xml:space="preserve">a</w:t>
      </w:r>
      <w:r>
        <w:t xml:space="preserve"> </w:t>
      </w:r>
      <w:r>
        <w:t xml:space="preserve">perverse</w:t>
      </w:r>
      <w:r>
        <w:t xml:space="preserve"> </w:t>
      </w:r>
      <w:r>
        <w:t xml:space="preserve">result,</w:t>
      </w:r>
      <w:r>
        <w:t xml:space="preserve"> </w:t>
      </w:r>
      <w:r>
        <w:t xml:space="preserve">and</w:t>
      </w:r>
      <w:r>
        <w:t xml:space="preserve"> </w:t>
      </w:r>
      <w:r>
        <w:t xml:space="preserve">what</w:t>
      </w:r>
      <w:r>
        <w:t xml:space="preserve"> </w:t>
      </w:r>
      <w:r>
        <w:t xml:space="preserve">can</w:t>
      </w:r>
      <w:r>
        <w:t xml:space="preserve"> </w:t>
      </w:r>
      <w:r>
        <w:t xml:space="preserve">be</w:t>
      </w:r>
      <w:r>
        <w:t xml:space="preserve"> </w:t>
      </w:r>
      <w:r>
        <w:t xml:space="preserve">done</w:t>
      </w:r>
      <w:r>
        <w:t xml:space="preserve"> </w:t>
      </w:r>
      <w:r>
        <w:t xml:space="preserve">about</w:t>
      </w:r>
      <w:r>
        <w:t xml:space="preserve"> </w:t>
      </w:r>
      <w:r>
        <w:t xml:space="preserve">commitments</w:t>
      </w:r>
      <w:r>
        <w:t xml:space="preserve"> </w:t>
      </w:r>
      <w:r>
        <w:t xml:space="preserve">a</w:t>
      </w:r>
      <w:r>
        <w:t xml:space="preserve"> </w:t>
      </w:r>
      <w:r>
        <w:t xml:space="preserve">previous</w:t>
      </w:r>
      <w:r>
        <w:t xml:space="preserve"> </w:t>
      </w:r>
      <w:r>
        <w:t xml:space="preserve">government</w:t>
      </w:r>
      <w:r>
        <w:t xml:space="preserve"> </w:t>
      </w:r>
      <w:r>
        <w:t xml:space="preserve">already</w:t>
      </w:r>
      <w:r>
        <w:t xml:space="preserve"> </w:t>
      </w:r>
      <w:r>
        <w:t xml:space="preserve">signed.</w:t>
      </w:r>
      <w:r>
        <w:t xml:space="preserve"> </w:t>
      </w:r>
      <w:r>
        <w:t xml:space="preserve">The</w:t>
      </w:r>
      <w:r>
        <w:t xml:space="preserve"> </w:t>
      </w:r>
      <w:r>
        <w:t xml:space="preserve">papers</w:t>
      </w:r>
      <w:r>
        <w:t xml:space="preserve"> </w:t>
      </w:r>
      <w:r>
        <w:t xml:space="preserve">in</w:t>
      </w:r>
      <w:r>
        <w:t xml:space="preserve"> </w:t>
      </w:r>
      <w:r>
        <w:t xml:space="preserve">this</w:t>
      </w:r>
      <w:r>
        <w:t xml:space="preserve"> </w:t>
      </w:r>
      <w:r>
        <w:t xml:space="preserve">section</w:t>
      </w:r>
      <w:r>
        <w:t xml:space="preserve"> </w:t>
      </w:r>
      <w:r>
        <w:t xml:space="preserve">take</w:t>
      </w:r>
      <w:r>
        <w:t xml:space="preserve"> </w:t>
      </w:r>
      <w:r>
        <w:t xml:space="preserve">those</w:t>
      </w:r>
      <w:r>
        <w:t xml:space="preserve"> </w:t>
      </w:r>
      <w:r>
        <w:t xml:space="preserve">questions</w:t>
      </w:r>
      <w:r>
        <w:t xml:space="preserve"> </w:t>
      </w:r>
      <w:r>
        <w:t xml:space="preserve">in</w:t>
      </w:r>
      <w:r>
        <w:t xml:space="preserve"> </w:t>
      </w:r>
      <w:r>
        <w:t xml:space="preserve">turn.</w:t>
      </w:r>
      <w:r>
        <w:t xml:space="preserve"> </w:t>
      </w:r>
      <w:r>
        <w:t xml:space="preserve">They</w:t>
      </w:r>
      <w:r>
        <w:t xml:space="preserve"> </w:t>
      </w:r>
      <w:r>
        <w:t xml:space="preserve">share</w:t>
      </w:r>
      <w:r>
        <w:t xml:space="preserve"> </w:t>
      </w:r>
      <w:r>
        <w:t xml:space="preserve">one</w:t>
      </w:r>
      <w:r>
        <w:t xml:space="preserve"> </w:t>
      </w:r>
      <w:r>
        <w:t xml:space="preserve">claim:</w:t>
      </w:r>
      <w:r>
        <w:t xml:space="preserve"> </w:t>
      </w:r>
      <w:r>
        <w:t xml:space="preserve">the</w:t>
      </w:r>
      <w:r>
        <w:t xml:space="preserve"> </w:t>
      </w:r>
      <w:r>
        <w:t xml:space="preserve">price</w:t>
      </w:r>
      <w:r>
        <w:t xml:space="preserve"> </w:t>
      </w:r>
      <w:r>
        <w:t xml:space="preserve">is</w:t>
      </w:r>
      <w:r>
        <w:t xml:space="preserve"> </w:t>
      </w:r>
      <w:r>
        <w:t xml:space="preserve">not</w:t>
      </w:r>
      <w:r>
        <w:t xml:space="preserve"> </w:t>
      </w:r>
      <w:r>
        <w:t xml:space="preserve">the</w:t>
      </w:r>
      <w:r>
        <w:t xml:space="preserve"> </w:t>
      </w:r>
      <w:r>
        <w:t xml:space="preserve">policy.</w:t>
      </w:r>
      <w:r>
        <w:t xml:space="preserve"> </w:t>
      </w:r>
      <w:r>
        <w:t xml:space="preserve">What</w:t>
      </w:r>
      <w:r>
        <w:t xml:space="preserve"> </w:t>
      </w:r>
      <w:r>
        <w:t xml:space="preserve">determines</w:t>
      </w:r>
      <w:r>
        <w:t xml:space="preserve"> </w:t>
      </w:r>
      <w:r>
        <w:t xml:space="preserve">the</w:t>
      </w:r>
      <w:r>
        <w:t xml:space="preserve"> </w:t>
      </w:r>
      <w:r>
        <w:t xml:space="preserve">outcome</w:t>
      </w:r>
      <w:r>
        <w:t xml:space="preserve"> </w:t>
      </w:r>
      <w:r>
        <w:t xml:space="preserve">is</w:t>
      </w:r>
      <w:r>
        <w:t xml:space="preserve"> </w:t>
      </w:r>
      <w:r>
        <w:t xml:space="preserve">where</w:t>
      </w:r>
      <w:r>
        <w:t xml:space="preserve"> </w:t>
      </w:r>
      <w:r>
        <w:t xml:space="preserve">in</w:t>
      </w:r>
      <w:r>
        <w:t xml:space="preserve"> </w:t>
      </w:r>
      <w:r>
        <w:t xml:space="preserve">the</w:t>
      </w:r>
      <w:r>
        <w:t xml:space="preserve"> </w:t>
      </w:r>
      <w:r>
        <w:t xml:space="preserve">supply</w:t>
      </w:r>
      <w:r>
        <w:t xml:space="preserve"> </w:t>
      </w:r>
      <w:r>
        <w:t xml:space="preserve">chain</w:t>
      </w:r>
      <w:r>
        <w:t xml:space="preserve"> </w:t>
      </w:r>
      <w:r>
        <w:t xml:space="preserve">the</w:t>
      </w:r>
      <w:r>
        <w:t xml:space="preserve"> </w:t>
      </w:r>
      <w:r>
        <w:t xml:space="preserve">charge</w:t>
      </w:r>
      <w:r>
        <w:t xml:space="preserve"> </w:t>
      </w:r>
      <w:r>
        <w:t xml:space="preserve">lands,</w:t>
      </w:r>
      <w:r>
        <w:t xml:space="preserve"> </w:t>
      </w:r>
      <w:r>
        <w:t xml:space="preserve">what</w:t>
      </w:r>
      <w:r>
        <w:t xml:space="preserve"> </w:t>
      </w:r>
      <w:r>
        <w:t xml:space="preserve">stands</w:t>
      </w:r>
      <w:r>
        <w:t xml:space="preserve"> </w:t>
      </w:r>
      <w:r>
        <w:t xml:space="preserve">in</w:t>
      </w:r>
      <w:r>
        <w:t xml:space="preserve"> </w:t>
      </w:r>
      <w:r>
        <w:t xml:space="preserve">for</w:t>
      </w:r>
      <w:r>
        <w:t xml:space="preserve"> </w:t>
      </w:r>
      <w:r>
        <w:t xml:space="preserve">the</w:t>
      </w:r>
      <w:r>
        <w:t xml:space="preserve"> </w:t>
      </w:r>
      <w:r>
        <w:t xml:space="preserve">charge</w:t>
      </w:r>
      <w:r>
        <w:t xml:space="preserve"> </w:t>
      </w:r>
      <w:r>
        <w:t xml:space="preserve">when</w:t>
      </w:r>
      <w:r>
        <w:t xml:space="preserve"> </w:t>
      </w:r>
      <w:r>
        <w:t xml:space="preserve">a</w:t>
      </w:r>
      <w:r>
        <w:t xml:space="preserve"> </w:t>
      </w:r>
      <w:r>
        <w:t xml:space="preserve">government</w:t>
      </w:r>
      <w:r>
        <w:t xml:space="preserve"> </w:t>
      </w:r>
      <w:r>
        <w:t xml:space="preserve">cannot</w:t>
      </w:r>
      <w:r>
        <w:t xml:space="preserve"> </w:t>
      </w:r>
      <w:r>
        <w:t xml:space="preserve">sustain</w:t>
      </w:r>
      <w:r>
        <w:t xml:space="preserve"> </w:t>
      </w:r>
      <w:r>
        <w:t xml:space="preserve">one,</w:t>
      </w:r>
      <w:r>
        <w:t xml:space="preserve"> </w:t>
      </w:r>
      <w:r>
        <w:t xml:space="preserve">whether</w:t>
      </w:r>
      <w:r>
        <w:t xml:space="preserve"> </w:t>
      </w:r>
      <w:r>
        <w:t xml:space="preserve">the</w:t>
      </w:r>
      <w:r>
        <w:t xml:space="preserve"> </w:t>
      </w:r>
      <w:r>
        <w:t xml:space="preserve">measurement</w:t>
      </w:r>
      <w:r>
        <w:t xml:space="preserve"> </w:t>
      </w:r>
      <w:r>
        <w:t xml:space="preserve">point</w:t>
      </w:r>
      <w:r>
        <w:t xml:space="preserve"> </w:t>
      </w:r>
      <w:r>
        <w:t xml:space="preserve">corresponds</w:t>
      </w:r>
      <w:r>
        <w:t xml:space="preserve"> </w:t>
      </w:r>
      <w:r>
        <w:t xml:space="preserve">to</w:t>
      </w:r>
      <w:r>
        <w:t xml:space="preserve"> </w:t>
      </w:r>
      <w:r>
        <w:t xml:space="preserve">the</w:t>
      </w:r>
      <w:r>
        <w:t xml:space="preserve"> </w:t>
      </w:r>
      <w:r>
        <w:t xml:space="preserve">emissions</w:t>
      </w:r>
      <w:r>
        <w:t xml:space="preserve"> </w:t>
      </w:r>
      <w:r>
        <w:t xml:space="preserve">being</w:t>
      </w:r>
      <w:r>
        <w:t xml:space="preserve"> </w:t>
      </w:r>
      <w:r>
        <w:t xml:space="preserve">targeted,</w:t>
      </w:r>
      <w:r>
        <w:t xml:space="preserve"> </w:t>
      </w:r>
      <w:r>
        <w:t xml:space="preserve">what</w:t>
      </w:r>
      <w:r>
        <w:t xml:space="preserve"> </w:t>
      </w:r>
      <w:r>
        <w:t xml:space="preserve">else</w:t>
      </w:r>
      <w:r>
        <w:t xml:space="preserve"> </w:t>
      </w:r>
      <w:r>
        <w:t xml:space="preserve">the</w:t>
      </w:r>
      <w:r>
        <w:t xml:space="preserve"> </w:t>
      </w:r>
      <w:r>
        <w:t xml:space="preserve">tax</w:t>
      </w:r>
      <w:r>
        <w:t xml:space="preserve"> </w:t>
      </w:r>
      <w:r>
        <w:t xml:space="preserve">base</w:t>
      </w:r>
      <w:r>
        <w:t xml:space="preserve"> </w:t>
      </w:r>
      <w:r>
        <w:t xml:space="preserve">can</w:t>
      </w:r>
      <w:r>
        <w:t xml:space="preserve"> </w:t>
      </w:r>
      <w:r>
        <w:t xml:space="preserve">reach,</w:t>
      </w:r>
      <w:r>
        <w:t xml:space="preserve"> </w:t>
      </w:r>
      <w:r>
        <w:t xml:space="preserve">and</w:t>
      </w:r>
      <w:r>
        <w:t xml:space="preserve"> </w:t>
      </w:r>
      <w:r>
        <w:t xml:space="preserve">what</w:t>
      </w:r>
      <w:r>
        <w:t xml:space="preserve"> </w:t>
      </w:r>
      <w:r>
        <w:t xml:space="preserve">contracts</w:t>
      </w:r>
      <w:r>
        <w:t xml:space="preserve"> </w:t>
      </w:r>
      <w:r>
        <w:t xml:space="preserve">have</w:t>
      </w:r>
      <w:r>
        <w:t xml:space="preserve"> </w:t>
      </w:r>
      <w:r>
        <w:t xml:space="preserve">already</w:t>
      </w:r>
      <w:r>
        <w:t xml:space="preserve"> </w:t>
      </w:r>
      <w:r>
        <w:t xml:space="preserve">put</w:t>
      </w:r>
      <w:r>
        <w:t xml:space="preserve"> </w:t>
      </w:r>
      <w:r>
        <w:t xml:space="preserve">beyond</w:t>
      </w:r>
      <w:r>
        <w:t xml:space="preserve"> </w:t>
      </w:r>
      <w:r>
        <w:t xml:space="preserve">reach.</w:t>
      </w:r>
      <w:r>
        <w:t xml:space="preserve"> </w:t>
      </w:r>
      <w:r>
        <w:t xml:space="preserve">The</w:t>
      </w:r>
      <w:r>
        <w:t xml:space="preserve"> </w:t>
      </w:r>
      <w:r>
        <w:t xml:space="preserve">section</w:t>
      </w:r>
      <w:r>
        <w:t xml:space="preserve"> </w:t>
      </w:r>
      <w:r>
        <w:t xml:space="preserve">runs</w:t>
      </w:r>
      <w:r>
        <w:t xml:space="preserve"> </w:t>
      </w:r>
      <w:r>
        <w:t xml:space="preserve">from</w:t>
      </w:r>
      <w:r>
        <w:t xml:space="preserve"> </w:t>
      </w:r>
      <w:r>
        <w:t xml:space="preserve">the</w:t>
      </w:r>
      <w:r>
        <w:t xml:space="preserve"> </w:t>
      </w:r>
      <w:r>
        <w:t xml:space="preserve">design</w:t>
      </w:r>
      <w:r>
        <w:t xml:space="preserve"> </w:t>
      </w:r>
      <w:r>
        <w:t xml:space="preserve">of</w:t>
      </w:r>
      <w:r>
        <w:t xml:space="preserve"> </w:t>
      </w:r>
      <w:r>
        <w:t xml:space="preserve">the</w:t>
      </w:r>
      <w:r>
        <w:t xml:space="preserve"> </w:t>
      </w:r>
      <w:r>
        <w:t xml:space="preserve">price</w:t>
      </w:r>
      <w:r>
        <w:t xml:space="preserve"> </w:t>
      </w:r>
      <w:r>
        <w:t xml:space="preserve">itself,</w:t>
      </w:r>
      <w:r>
        <w:t xml:space="preserve"> </w:t>
      </w:r>
      <w:r>
        <w:t xml:space="preserve">through</w:t>
      </w:r>
      <w:r>
        <w:t xml:space="preserve"> </w:t>
      </w:r>
      <w:r>
        <w:t xml:space="preserve">substitutes</w:t>
      </w:r>
      <w:r>
        <w:t xml:space="preserve"> </w:t>
      </w:r>
      <w:r>
        <w:t xml:space="preserve">and</w:t>
      </w:r>
      <w:r>
        <w:t xml:space="preserve"> </w:t>
      </w:r>
      <w:r>
        <w:t xml:space="preserve">failure</w:t>
      </w:r>
      <w:r>
        <w:t xml:space="preserve"> </w:t>
      </w:r>
      <w:r>
        <w:t xml:space="preserve">modes,</w:t>
      </w:r>
      <w:r>
        <w:t xml:space="preserve"> </w:t>
      </w:r>
      <w:r>
        <w:t xml:space="preserve">to</w:t>
      </w:r>
      <w:r>
        <w:t xml:space="preserve"> </w:t>
      </w:r>
      <w:r>
        <w:t xml:space="preserve">the</w:t>
      </w:r>
      <w:r>
        <w:t xml:space="preserve"> </w:t>
      </w:r>
      <w:r>
        <w:t xml:space="preserve">instruments</w:t>
      </w:r>
      <w:r>
        <w:t xml:space="preserve"> </w:t>
      </w:r>
      <w:r>
        <w:t xml:space="preserve">and</w:t>
      </w:r>
      <w:r>
        <w:t xml:space="preserve"> </w:t>
      </w:r>
      <w:r>
        <w:t xml:space="preserve">obligations</w:t>
      </w:r>
      <w:r>
        <w:t xml:space="preserve"> </w:t>
      </w:r>
      <w:r>
        <w:t xml:space="preserve">that</w:t>
      </w:r>
      <w:r>
        <w:t xml:space="preserve"> </w:t>
      </w:r>
      <w:r>
        <w:t xml:space="preserve">sit</w:t>
      </w:r>
      <w:r>
        <w:t xml:space="preserve"> </w:t>
      </w:r>
      <w:r>
        <w:t xml:space="preserve">alongside</w:t>
      </w:r>
      <w:r>
        <w:t xml:space="preserve"> </w:t>
      </w:r>
      <w:r>
        <w:t xml:space="preserve">it.</w:t>
      </w:r>
    </w:p>
    <w:p>
      <w:pPr>
        <w:pStyle w:val="FirstParagraph"/>
      </w:pPr>
      <w:r>
        <w:rPr>
          <w:iCs/>
          <w:i/>
        </w:rPr>
        <w:t xml:space="preserve">The overview for section 1. The instruments here set the policy framework that sections 2 and 3 then finance and incentivise; the metric used to compare them across papers is developed in 4.1.</w:t>
      </w:r>
    </w:p>
    <w:p>
      <w:pPr>
        <w:pStyle w:val="BodyText"/>
      </w:pPr>
      <w:r>
        <w:t xml:space="preserve">This overview online:</w:t>
      </w:r>
      <w:r>
        <w:t xml:space="preserve"> </w:t>
      </w:r>
      <w:hyperlink r:id="rId20">
        <w:r>
          <w:rPr>
            <w:rStyle w:val="Hyperlink"/>
          </w:rPr>
          <w:t xml:space="preserve">https://climatefiscalfinance.org/papers/OverviewClimateAndFiscalPolicy.docx</w:t>
        </w:r>
      </w:hyperlink>
    </w:p>
    <w:bookmarkStart w:id="21" w:name="executive-summary"/>
    <w:p>
      <w:pPr>
        <w:pStyle w:val="Heading1"/>
      </w:pPr>
      <w:r>
        <w:t xml:space="preserve">Executive summary</w:t>
      </w:r>
    </w:p>
    <w:p>
      <w:pPr>
        <w:pStyle w:val="FirstParagraph"/>
      </w:pPr>
      <w:r>
        <w:rPr>
          <w:bCs/>
          <w:b/>
        </w:rPr>
        <w:t xml:space="preserve">The case for a uniform carbon price is sound and does not survive contact with an open economy.</w:t>
      </w:r>
      <w:r>
        <w:t xml:space="preserve"> </w:t>
      </w:r>
      <w:r>
        <w:t xml:space="preserve">A single price across all sources is the efficient instrument in a closed economy. In an open one it exposes trade-exposed producers to competitors facing no such charge, and the political economy of that exposure is what has kept effective carbon prices low almost everywhere.</w:t>
      </w:r>
    </w:p>
    <w:p>
      <w:pPr>
        <w:pStyle w:val="BodyText"/>
      </w:pPr>
      <w:r>
        <w:rPr>
          <w:bCs/>
          <w:b/>
        </w:rPr>
        <w:t xml:space="preserve">The response in 1.1 is to separate the two jobs a carbon price does.</w:t>
      </w:r>
      <w:r>
        <w:t xml:space="preserve"> </w:t>
      </w:r>
      <w:r>
        <w:t xml:space="preserve">Production-side incentives and consumption-side pricing are usually welded together in a single instrument and do not have to be. Production incentives can be delivered through benchmarked schemes that do not penalise domestic output relative to imports. Consumption pricing can be destination-based, applied through VAT-style mechanisms with border rebates, which puts the charge where the competitiveness objection does not arise.</w:t>
      </w:r>
    </w:p>
    <w:p>
      <w:pPr>
        <w:pStyle w:val="BodyText"/>
      </w:pPr>
      <w:r>
        <w:rPr>
          <w:bCs/>
          <w:b/>
        </w:rPr>
        <w:t xml:space="preserve">Where a headline price is unavailable, a benchmark usually is.</w:t>
      </w:r>
      <w:r>
        <w:t xml:space="preserve"> </w:t>
      </w:r>
      <w:r>
        <w:t xml:space="preserve">A feebate or output-based rebate is a price on deviation from a sectoral emissions-intensity benchmark, revenue-neutral by construction. It delivers most of the marginal abatement incentive of a carbon tax, raises no net revenue, and does not disadvantage domestic production. 1.2 treats feebates and output-based rebating as one instrument and works the power sector case alongside energy-intensive industry.</w:t>
      </w:r>
    </w:p>
    <w:p>
      <w:pPr>
        <w:pStyle w:val="BodyText"/>
      </w:pPr>
      <w:r>
        <w:rPr>
          <w:bCs/>
          <w:b/>
        </w:rPr>
        <w:t xml:space="preserve">Point-source pricing can measure the wrong thing, and CBAM in iron and steel is the clearest case.</w:t>
      </w:r>
      <w:r>
        <w:t xml:space="preserve"> </w:t>
      </w:r>
      <w:r>
        <w:t xml:space="preserve">A border charge levied on emissions at the production site favours scrap-based steelmaking, which has low emissions at the point of measurement. But scrap is in fixed supply in any period: routing it to one producer displaces it from another, whose output is then made from ore. Reported emissions fall and global emissions may not. 1.3 sets out the problem and proposes an opportunity-cost adjustment for scrap-based production.</w:t>
      </w:r>
    </w:p>
    <w:p>
      <w:pPr>
        <w:pStyle w:val="BodyText"/>
      </w:pPr>
      <w:r>
        <w:rPr>
          <w:bCs/>
          <w:b/>
        </w:rPr>
        <w:t xml:space="preserve">The tax system reaches things a carbon price does not, and rent is the main one.</w:t>
      </w:r>
      <w:r>
        <w:t xml:space="preserve"> </w:t>
      </w:r>
      <w:r>
        <w:t xml:space="preserve">1.4 treats the taxation of economic rent as a fiscal instrument sitting alongside carbon pricing — a revenue source with limited deadweight loss, relevant wherever resource or locational rents are large enough to matter to a finance ministry’s numbers.</w:t>
      </w:r>
    </w:p>
    <w:p>
      <w:pPr>
        <w:pStyle w:val="BodyText"/>
      </w:pPr>
      <w:r>
        <w:rPr>
          <w:bCs/>
          <w:b/>
        </w:rPr>
        <w:t xml:space="preserve">Some of the damage is contractual rather than fiscal, and no price fixes it.</w:t>
      </w:r>
      <w:r>
        <w:t xml:space="preserve"> </w:t>
      </w:r>
      <w:r>
        <w:t xml:space="preserve">A coal plant can be uneconomic while its power purchase agreement keeps the payments flowing. Where the variable cost of coal generation already exceeds the all-in cost of new solar, retiring the plant and replacing it saves money before any climate benefit is counted — and the obstacle is the contract, not the arithmetic. 1.5 works the comparison, the contractual routes to acting on it, and the securitised settlement of unamortised capital, with India as the case.</w:t>
      </w:r>
    </w:p>
    <w:p>
      <w:pPr>
        <w:pStyle w:val="BodyText"/>
      </w:pPr>
      <w:r>
        <w:rPr>
          <w:bCs/>
          <w:b/>
        </w:rPr>
        <w:t xml:space="preserve">The common thread is that instrument choice is mostly determined by constraints, not by efficiency rankings.</w:t>
      </w:r>
      <w:r>
        <w:t xml:space="preserve"> </w:t>
      </w:r>
      <w:r>
        <w:t xml:space="preserve">Each paper here starts from something a finance ministry cannot do — cannot expose its steel industry, cannot pass a headline tax, cannot measure what it wants to charge, cannot tear up a signed contract — and asks what is available instead.</w:t>
      </w:r>
    </w:p>
    <w:bookmarkEnd w:id="21"/>
    <w:bookmarkStart w:id="22" w:name="where-the-price-applies"/>
    <w:p>
      <w:pPr>
        <w:pStyle w:val="Heading1"/>
      </w:pPr>
      <w:r>
        <w:t xml:space="preserve">1. Where the price applies</w:t>
      </w:r>
    </w:p>
    <w:p>
      <w:pPr>
        <w:pStyle w:val="FirstParagraph"/>
      </w:pPr>
      <w:r>
        <w:rPr>
          <w:bCs/>
          <w:b/>
        </w:rPr>
        <w:t xml:space="preserve">A carbon price applied at production and a carbon price applied at consumption have different incidence and different politics.</w:t>
      </w:r>
      <w:r>
        <w:t xml:space="preserve"> </w:t>
      </w:r>
      <w:r>
        <w:t xml:space="preserve">The first falls on domestic output and is visible to every exporter. The second falls on what is consumed domestically regardless of where it was made, and is neutral between domestic and imported goods by construction.</w:t>
      </w:r>
    </w:p>
    <w:p>
      <w:pPr>
        <w:pStyle w:val="BodyText"/>
      </w:pPr>
      <w:r>
        <w:rPr>
          <w:bCs/>
          <w:b/>
        </w:rPr>
        <w:t xml:space="preserve">Destination-based pricing is administratively closer to hand than it appears.</w:t>
      </w:r>
      <w:r>
        <w:t xml:space="preserve"> </w:t>
      </w:r>
      <w:r>
        <w:t xml:space="preserve">A VAT-style mechanism already tracks goods to the point of final consumption and already handles border adjustment as a matter of routine. Applying a carbon charge on the same rails, with rebates on export, is a smaller institutional step than building a new border regime.</w:t>
      </w:r>
    </w:p>
    <w:p>
      <w:pPr>
        <w:pStyle w:val="BodyText"/>
      </w:pPr>
      <w:r>
        <w:rPr>
          <w:bCs/>
          <w:b/>
        </w:rPr>
        <w:t xml:space="preserve">Separating the two allows each to be set for its own purpose.</w:t>
      </w:r>
      <w:r>
        <w:t xml:space="preserve"> </w:t>
      </w:r>
      <w:r>
        <w:t xml:space="preserve">Production-side incentives can be pitched at the level that drives abatement without regard to the revenue they raise, because a benchmarked scheme raises little. Consumption-side pricing can be pitched for revenue and for the demand-side signal. 1.1 develops this as a pragmatic route to comprehensive carbon pricing in open economies, with the consumption-tax implementation carried at length in its appendix.</w:t>
      </w:r>
    </w:p>
    <w:bookmarkEnd w:id="22"/>
    <w:bookmarkStart w:id="23" w:name="what-substitutes-for-a-price"/>
    <w:p>
      <w:pPr>
        <w:pStyle w:val="Heading1"/>
      </w:pPr>
      <w:r>
        <w:t xml:space="preserve">2. What substitutes for a price</w:t>
      </w:r>
    </w:p>
    <w:p>
      <w:pPr>
        <w:pStyle w:val="FirstParagraph"/>
      </w:pPr>
      <w:r>
        <w:rPr>
          <w:bCs/>
          <w:b/>
        </w:rPr>
        <w:t xml:space="preserve">A feebate charges output above a benchmark intensity and rebates output below it.</w:t>
      </w:r>
      <w:r>
        <w:t xml:space="preserve"> </w:t>
      </w:r>
      <w:r>
        <w:t xml:space="preserve">The marginal incentive is the same as a carbon price at the same rate. The average burden is close to zero for a producer at the benchmark, which is why the instrument survives politically where a tax does not.</w:t>
      </w:r>
    </w:p>
    <w:p>
      <w:pPr>
        <w:pStyle w:val="BodyText"/>
      </w:pPr>
      <w:r>
        <w:rPr>
          <w:bCs/>
          <w:b/>
        </w:rPr>
        <w:t xml:space="preserve">The power sector is the cleanest application and energy-intensive industry the hardest.</w:t>
      </w:r>
      <w:r>
        <w:t xml:space="preserve"> </w:t>
      </w:r>
      <w:r>
        <w:t xml:space="preserve">In power, generation is metered, emissions intensity is computable from fuel and heat rate, and the benchmark can be set on a common unit. In industry, product heterogeneity makes the benchmark contestable, which is where most of the design work in 1.2 goes.</w:t>
      </w:r>
    </w:p>
    <w:p>
      <w:pPr>
        <w:pStyle w:val="BodyText"/>
      </w:pPr>
      <w:r>
        <w:rPr>
          <w:bCs/>
          <w:b/>
        </w:rPr>
        <w:t xml:space="preserve">The revenue property is the instrument’s strength and its limitation.</w:t>
      </w:r>
      <w:r>
        <w:t xml:space="preserve"> </w:t>
      </w:r>
      <w:r>
        <w:t xml:space="preserve">Raising no net revenue is what makes it passable and what makes it unable to fund anything. A government that needs the receipts has to price consumption as well, which returns to 1.1.</w:t>
      </w:r>
    </w:p>
    <w:bookmarkEnd w:id="23"/>
    <w:bookmarkStart w:id="24" w:name="where-the-measurement-point-fails"/>
    <w:p>
      <w:pPr>
        <w:pStyle w:val="Heading1"/>
      </w:pPr>
      <w:r>
        <w:t xml:space="preserve">3. Where the measurement point fails</w:t>
      </w:r>
    </w:p>
    <w:p>
      <w:pPr>
        <w:pStyle w:val="FirstParagraph"/>
      </w:pPr>
      <w:r>
        <w:rPr>
          <w:bCs/>
          <w:b/>
        </w:rPr>
        <w:t xml:space="preserve">A charge levied where emissions are measured only works if measured emissions track the emissions that matter.</w:t>
      </w:r>
      <w:r>
        <w:t xml:space="preserve"> </w:t>
      </w:r>
      <w:r>
        <w:t xml:space="preserve">For most of industry they do. For production processes that draw on a constrained secondary input, they do not.</w:t>
      </w:r>
    </w:p>
    <w:p>
      <w:pPr>
        <w:pStyle w:val="BodyText"/>
      </w:pPr>
      <w:r>
        <w:rPr>
          <w:bCs/>
          <w:b/>
        </w:rPr>
        <w:t xml:space="preserve">Scrap steel is the worked example and the mechanism generalises.</w:t>
      </w:r>
      <w:r>
        <w:t xml:space="preserve"> </w:t>
      </w:r>
      <w:r>
        <w:t xml:space="preserve">Global scrap availability in a given year is essentially fixed by what was built decades earlier. An exporter that shifts to scrap-based production lowers its measured emissions and its border liability, while the scrap it consumed is no longer available to someone else, whose output is then primary. The charge has moved production around without moving emissions.</w:t>
      </w:r>
    </w:p>
    <w:p>
      <w:pPr>
        <w:pStyle w:val="BodyText"/>
      </w:pPr>
      <w:r>
        <w:rPr>
          <w:bCs/>
          <w:b/>
        </w:rPr>
        <w:t xml:space="preserve">The proposed remedy is an opportunity-cost adjustment rather than an exemption.</w:t>
      </w:r>
      <w:r>
        <w:t xml:space="preserve"> </w:t>
      </w:r>
      <w:r>
        <w:t xml:space="preserve">Scrap-based production is charged for the alternative use of the scrap it consumes, which restores the correspondence between the liability and the global emissions consequence. 1.3 sets this out for iron and steel and notes the possible read-across to aluminium. The country-level emission factor evidence behind it sits in the CBAM dashboard work in section 5C.</w:t>
      </w:r>
    </w:p>
    <w:bookmarkEnd w:id="24"/>
    <w:bookmarkStart w:id="25" w:name="what-else-the-tax-base-reaches"/>
    <w:p>
      <w:pPr>
        <w:pStyle w:val="Heading1"/>
      </w:pPr>
      <w:r>
        <w:t xml:space="preserve">4. What else the tax base reaches</w:t>
      </w:r>
    </w:p>
    <w:p>
      <w:pPr>
        <w:pStyle w:val="FirstParagraph"/>
      </w:pPr>
      <w:r>
        <w:rPr>
          <w:bCs/>
          <w:b/>
        </w:rPr>
        <w:t xml:space="preserve">Economic rent is the classic base for a tax that does not distort behaviour.</w:t>
      </w:r>
      <w:r>
        <w:t xml:space="preserve"> </w:t>
      </w:r>
      <w:r>
        <w:t xml:space="preserve">Where rents are large — resource extraction, land, licensed or locational advantage — taxing them raises revenue without the deadweight loss that makes other taxes costly.</w:t>
      </w:r>
    </w:p>
    <w:p>
      <w:pPr>
        <w:pStyle w:val="BodyText"/>
      </w:pPr>
      <w:r>
        <w:rPr>
          <w:bCs/>
          <w:b/>
        </w:rPr>
        <w:t xml:space="preserve">The relevance to climate policy is fiscal rather than environmental.</w:t>
      </w:r>
      <w:r>
        <w:t xml:space="preserve"> </w:t>
      </w:r>
      <w:r>
        <w:t xml:space="preserve">A carbon price that is politically limited leaves a revenue gap that has to be filled from somewhere, and rent taxation is the least damaging place to fill it from. 1.4 holds a complete draft treating this alongside carbon pricing.</w:t>
      </w:r>
    </w:p>
    <w:bookmarkEnd w:id="25"/>
    <w:bookmarkStart w:id="26" w:name="what-is-already-committed"/>
    <w:p>
      <w:pPr>
        <w:pStyle w:val="Heading1"/>
      </w:pPr>
      <w:r>
        <w:t xml:space="preserve">5. What is already committed</w:t>
      </w:r>
    </w:p>
    <w:p>
      <w:pPr>
        <w:pStyle w:val="FirstParagraph"/>
      </w:pPr>
      <w:r>
        <w:rPr>
          <w:bCs/>
          <w:b/>
        </w:rPr>
        <w:t xml:space="preserve">A long-term power purchase agreement converts an economic question into a legal one.</w:t>
      </w:r>
      <w:r>
        <w:t xml:space="preserve"> </w:t>
      </w:r>
      <w:r>
        <w:t xml:space="preserve">The plant may be uneconomic on every forward-looking measure while the contract obliges the distribution company to keep paying. Retirement then requires renegotiation, compensation, or a settlement of the unamortised capital — none of which is a price instrument.</w:t>
      </w:r>
    </w:p>
    <w:p>
      <w:pPr>
        <w:pStyle w:val="BodyText"/>
      </w:pPr>
      <w:r>
        <w:rPr>
          <w:bCs/>
          <w:b/>
        </w:rPr>
        <w:t xml:space="preserve">The arithmetic is more favourable than it is usually assumed to be.</w:t>
      </w:r>
      <w:r>
        <w:t xml:space="preserve"> </w:t>
      </w:r>
      <w:r>
        <w:t xml:space="preserve">Where the variable cost of running the coal plant already exceeds the all-in tariff of new solar, replacement is cheaper on cash cost alone. The climate benefit is additional to a saving that already exists.</w:t>
      </w:r>
    </w:p>
    <w:p>
      <w:pPr>
        <w:pStyle w:val="BodyText"/>
      </w:pPr>
      <w:r>
        <w:rPr>
          <w:bCs/>
          <w:b/>
        </w:rPr>
        <w:t xml:space="preserve">Securitisation is the route through the capital question.</w:t>
      </w:r>
      <w:r>
        <w:t xml:space="preserve"> </w:t>
      </w:r>
      <w:r>
        <w:t xml:space="preserve">Issuing state or federal bonds against the settlement converts a lumpy compensation payment into a serviceable obligation, which is what makes the transaction politically available. 1.5 works this for India, where new coal capacity continues to be planned against demand forecasts that have consistently proved too high.</w:t>
      </w:r>
    </w:p>
    <w:p>
      <w:pPr>
        <w:pStyle w:val="BodyText"/>
      </w:pPr>
      <w:r>
        <w:rPr>
          <w:bCs/>
          <w:b/>
        </w:rPr>
        <w:t xml:space="preserve">Declining tariff schedules are the preventive version of the same point.</w:t>
      </w:r>
      <w:r>
        <w:t xml:space="preserve"> </w:t>
      </w:r>
      <w:r>
        <w:t xml:space="preserve">A contract whose real price falls over its life limits the liability a distribution company takes on, and avoids creating the next generation of the problem in 1.5. The same design point appears in the currency and contract discussion in 2.0.</w:t>
      </w:r>
    </w:p>
    <w:bookmarkEnd w:id="26"/>
    <w:bookmarkStart w:id="33" w:name="the-papers-in-this-section"/>
    <w:p>
      <w:pPr>
        <w:pStyle w:val="Heading1"/>
      </w:pPr>
      <w:r>
        <w:t xml:space="preserve">6. The papers in this section</w:t>
      </w:r>
    </w:p>
    <w:p>
      <w:pPr>
        <w:pStyle w:val="FirstParagraph"/>
      </w:pPr>
      <w:r>
        <w:t xml:space="preserve">The abstracts below are those of the papers still under active development. Work retained but not actively pursued — the rent tax paper and the legacy coal PPA material — sits in</w:t>
      </w:r>
      <w:r>
        <w:t xml:space="preserve"> </w:t>
      </w:r>
      <w:r>
        <w:rPr>
          <w:rStyle w:val="VerbatimChar"/>
        </w:rPr>
        <w:t xml:space="preserve">9.Additional</w:t>
      </w:r>
      <w:r>
        <w:t xml:space="preserve"> </w:t>
      </w:r>
      <w:r>
        <w:t xml:space="preserve">under the numbers it had here.</w:t>
      </w:r>
    </w:p>
    <w:bookmarkStart w:id="28" w:name="open-economy-carbon-pricing"/>
    <w:p>
      <w:pPr>
        <w:pStyle w:val="Heading2"/>
      </w:pPr>
      <w:r>
        <w:t xml:space="preserve">1.1 Open Economy Carbon Pricing</w:t>
      </w:r>
    </w:p>
    <w:p>
      <w:pPr>
        <w:pStyle w:val="FirstParagraph"/>
      </w:pPr>
      <w:r>
        <w:t xml:space="preserve">Carbon pricing in open economies faces a trade-off between strong incentives and competitiveness concerns. This paper separates production-side green incentives from consumption-side carbon pricing. Production incentives could use feebates or benchmarked emissions trading, while destination-based consumption pricing could be implemented pragmatically through VAT-style mechanisms and border rebates. The aim is a more realistic route to comprehensive carbon pricing in open economies.</w:t>
      </w:r>
    </w:p>
    <w:p>
      <w:pPr>
        <w:pStyle w:val="BodyText"/>
      </w:pPr>
      <w:r>
        <w:rPr>
          <w:iCs/>
          <w:i/>
        </w:rPr>
        <w:t xml:space="preserve">Appendix: Carbon Consumption Tax.</w:t>
      </w:r>
      <w:r>
        <w:t xml:space="preserve"> </w:t>
      </w:r>
      <w:r>
        <w:t xml:space="preserve">The destination-based consumption-pricing argument is developed at length as a substantial appendix, covering the VAT-based implementation route and border rebate treatment in detail.</w:t>
      </w:r>
    </w:p>
    <w:p>
      <w:pPr>
        <w:pStyle w:val="BodyText"/>
      </w:pPr>
      <w:hyperlink r:id="rId27">
        <w:r>
          <w:rPr>
            <w:rStyle w:val="Hyperlink"/>
          </w:rPr>
          <w:t xml:space="preserve">https://climatefiscalfinance.org/papers/OpenEconomyCarbonPricing.docx</w:t>
        </w:r>
      </w:hyperlink>
    </w:p>
    <w:bookmarkEnd w:id="28"/>
    <w:bookmarkStart w:id="30" w:name="feebates-and-output-based-rebating"/>
    <w:p>
      <w:pPr>
        <w:pStyle w:val="Heading2"/>
      </w:pPr>
      <w:r>
        <w:t xml:space="preserve">1.2 Feebates and Output-Based Rebating</w:t>
      </w:r>
    </w:p>
    <w:p>
      <w:pPr>
        <w:pStyle w:val="FirstParagraph"/>
      </w:pPr>
      <w:r>
        <w:t xml:space="preserve">Governments that cannot sustain a headline carbon tax can often sustain a revenue-neutral benchmark. This paper treats feebates and output-based rebating as one instrument — a sectoral emissions-intensity benchmark plus a price on deviation from it — and sets out its design, revenue properties, and competitiveness advantages relative to a uniform carbon price. The power sector is the worked case, with a parallel treatment of energy-intensive industry.</w:t>
      </w:r>
    </w:p>
    <w:p>
      <w:pPr>
        <w:pStyle w:val="BodyText"/>
      </w:pPr>
      <w:r>
        <w:rPr>
          <w:iCs/>
          <w:i/>
        </w:rPr>
        <w:t xml:space="preserve">Consolidates the former Feebates Brief, Power Sector OBR, and Industrial Feebates material, including the short and long blog versions and the briefing deck as outreach layers.</w:t>
      </w:r>
    </w:p>
    <w:p>
      <w:pPr>
        <w:pStyle w:val="BodyText"/>
      </w:pPr>
      <w:hyperlink r:id="rId29">
        <w:r>
          <w:rPr>
            <w:rStyle w:val="Hyperlink"/>
          </w:rPr>
          <w:t xml:space="preserve">https://climatefiscalfinance.org/papers/FeebatesAndOutputBasedRebating.docx</w:t>
        </w:r>
      </w:hyperlink>
    </w:p>
    <w:bookmarkEnd w:id="30"/>
    <w:bookmarkStart w:id="32" w:name="X477dd95b8b31cda985948106dbd937073afebf5"/>
    <w:p>
      <w:pPr>
        <w:pStyle w:val="Heading2"/>
      </w:pPr>
      <w:r>
        <w:t xml:space="preserve">1.3 Iron, Steel, CBAM and the Limits of Point-Source Carbon Pricing</w:t>
      </w:r>
    </w:p>
    <w:p>
      <w:pPr>
        <w:pStyle w:val="FirstParagraph"/>
      </w:pPr>
      <w:r>
        <w:t xml:space="preserve">CBAM-style border carbon charges can favour scrap-based production in ways that reduce reported emissions without necessarily reducing global emissions. This paper examines the problem in iron and steel, with possible relevance to aluminium, and proposes an opportunity-cost adjustment for scrap-based production. The contribution is to identify a potentially material flaw in point-source carbon pricing and its treatment of primary versus secondary production.</w:t>
      </w:r>
    </w:p>
    <w:p>
      <w:pPr>
        <w:pStyle w:val="BodyText"/>
      </w:pPr>
      <w:hyperlink r:id="rId31">
        <w:r>
          <w:rPr>
            <w:rStyle w:val="Hyperlink"/>
          </w:rPr>
          <w:t xml:space="preserve">https://climatefiscalfinance.org/papers/IronSteelCBAM.docx</w:t>
        </w:r>
      </w:hyperlink>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limatefiscalfinance.org/papers/FeebatesAndOutputBasedRebating.docx" TargetMode="External" /><Relationship Type="http://schemas.openxmlformats.org/officeDocument/2006/relationships/hyperlink" Id="rId31" Target="https://climatefiscalfinance.org/papers/IronSteelCBAM.docx" TargetMode="External" /><Relationship Type="http://schemas.openxmlformats.org/officeDocument/2006/relationships/hyperlink" Id="rId27" Target="https://climatefiscalfinance.org/papers/OpenEconomyCarbonPricing.docx" TargetMode="External" /><Relationship Type="http://schemas.openxmlformats.org/officeDocument/2006/relationships/hyperlink" Id="rId20" Target="https://climatefiscalfinance.org/papers/OverviewClimateAndFiscalPolicy.docx" TargetMode="External" /></Relationships>
</file>

<file path=word/_rels/footnotes.xml.rels><?xml version="1.0" encoding="UTF-8"?><Relationships xmlns="http://schemas.openxmlformats.org/package/2006/relationships"><Relationship Type="http://schemas.openxmlformats.org/officeDocument/2006/relationships/hyperlink" Id="rId29" Target="https://climatefiscalfinance.org/papers/FeebatesAndOutputBasedRebating.docx" TargetMode="External" /><Relationship Type="http://schemas.openxmlformats.org/officeDocument/2006/relationships/hyperlink" Id="rId31" Target="https://climatefiscalfinance.org/papers/IronSteelCBAM.docx" TargetMode="External" /><Relationship Type="http://schemas.openxmlformats.org/officeDocument/2006/relationships/hyperlink" Id="rId27" Target="https://climatefiscalfinance.org/papers/OpenEconomyCarbonPricing.docx" TargetMode="External" /><Relationship Type="http://schemas.openxmlformats.org/officeDocument/2006/relationships/hyperlink" Id="rId20" Target="https://climatefiscalfinance.org/papers/OverviewClimateAndFiscalPolicy.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Pricing in the Fiscal World as It Is</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uniform carbon price is the right answer to a question finance ministries are rarely asked. What they are asked is how to raise revenue without losing industry, how to act when a headline carbon tax is politically unavailable, what to do when a border charge produces a perverse result, and what can be done about commitments a previous government already signed. The papers in this section take those questions in turn. They share one claim: the price is not the policy. What determines the outcome is where in the supply chain the charge lands, what stands in for the charge when a government cannot sustain one, whether the measurement point corresponds to the emissions being targeted, what else the tax base can reach, and what contracts have already put beyond reach. The section runs from the design of the price itself, through substitutes and failure modes, to the instruments and obligations that sit alongside it.</vt:lpwstr>
  </property>
  <property fmtid="{D5CDD505-2E9C-101B-9397-08002B2CF9AE}" pid="3" name="format">
    <vt:lpwstr/>
  </property>
  <property fmtid="{D5CDD505-2E9C-101B-9397-08002B2CF9AE}" pid="4" name="subtitle">
    <vt:lpwstr>Overview of section 1: climate and fiscal policy</vt:lpwstr>
  </property>
</Properties>
</file>