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Comparable</w:t>
      </w:r>
      <w:r>
        <w:t xml:space="preserve"> </w:t>
      </w:r>
      <w:r>
        <w:t xml:space="preserve">Metrics</w:t>
      </w:r>
      <w:r>
        <w:t xml:space="preserve"> </w:t>
      </w:r>
      <w:r>
        <w:t xml:space="preserve">and</w:t>
      </w:r>
      <w:r>
        <w:t xml:space="preserve"> </w:t>
      </w:r>
      <w:r>
        <w:t xml:space="preserve">Auditable</w:t>
      </w:r>
      <w:r>
        <w:t xml:space="preserve"> </w:t>
      </w:r>
      <w:r>
        <w:t xml:space="preserve">Models</w:t>
      </w:r>
    </w:p>
    <w:p>
      <w:pPr>
        <w:pStyle w:val="Subtitle"/>
      </w:pPr>
      <w:r>
        <w:t xml:space="preserve">Overview</w:t>
      </w:r>
      <w:r>
        <w:t xml:space="preserve"> </w:t>
      </w:r>
      <w:r>
        <w:t xml:space="preserve">of</w:t>
      </w:r>
      <w:r>
        <w:t xml:space="preserve"> </w:t>
      </w:r>
      <w:r>
        <w:t xml:space="preserve">section</w:t>
      </w:r>
      <w:r>
        <w:t xml:space="preserve"> </w:t>
      </w:r>
      <w:r>
        <w:t xml:space="preserve">4:</w:t>
      </w:r>
      <w:r>
        <w:t xml:space="preserve"> </w:t>
      </w:r>
      <w:r>
        <w:t xml:space="preserve">modelling</w:t>
      </w:r>
    </w:p>
    <w:p>
      <w:pPr>
        <w:pStyle w:val="Author"/>
      </w:pPr>
      <w:r>
        <w:t xml:space="preserve">Stephen</w:t>
      </w:r>
      <w:r>
        <w:t xml:space="preserve"> </w:t>
      </w:r>
      <w:r>
        <w:t xml:space="preserve">J.</w:t>
      </w:r>
      <w:r>
        <w:t xml:space="preserve"> </w:t>
      </w:r>
      <w:r>
        <w:t xml:space="preserve">Stretton</w:t>
      </w:r>
    </w:p>
    <w:p>
      <w:pPr>
        <w:pStyle w:val="AbstractTitle"/>
      </w:pPr>
      <w:r>
        <w:t xml:space="preserve">Abstract</w:t>
      </w:r>
    </w:p>
    <w:p>
      <w:pPr>
        <w:pStyle w:val="Abstract"/>
      </w:pPr>
      <w:r>
        <w:t xml:space="preserve">Climate</w:t>
      </w:r>
      <w:r>
        <w:t xml:space="preserve"> </w:t>
      </w:r>
      <w:r>
        <w:t xml:space="preserve">policy</w:t>
      </w:r>
      <w:r>
        <w:t xml:space="preserve"> </w:t>
      </w:r>
      <w:r>
        <w:t xml:space="preserve">advice</w:t>
      </w:r>
      <w:r>
        <w:t xml:space="preserve"> </w:t>
      </w:r>
      <w:r>
        <w:t xml:space="preserve">fails</w:t>
      </w:r>
      <w:r>
        <w:t xml:space="preserve"> </w:t>
      </w:r>
      <w:r>
        <w:t xml:space="preserve">in</w:t>
      </w:r>
      <w:r>
        <w:t xml:space="preserve"> </w:t>
      </w:r>
      <w:r>
        <w:t xml:space="preserve">two</w:t>
      </w:r>
      <w:r>
        <w:t xml:space="preserve"> </w:t>
      </w:r>
      <w:r>
        <w:t xml:space="preserve">characteristic</w:t>
      </w:r>
      <w:r>
        <w:t xml:space="preserve"> </w:t>
      </w:r>
      <w:r>
        <w:t xml:space="preserve">ways.</w:t>
      </w:r>
      <w:r>
        <w:t xml:space="preserve"> </w:t>
      </w:r>
      <w:r>
        <w:t xml:space="preserve">It</w:t>
      </w:r>
      <w:r>
        <w:t xml:space="preserve"> </w:t>
      </w:r>
      <w:r>
        <w:t xml:space="preserve">compares</w:t>
      </w:r>
      <w:r>
        <w:t xml:space="preserve"> </w:t>
      </w:r>
      <w:r>
        <w:t xml:space="preserve">instruments</w:t>
      </w:r>
      <w:r>
        <w:t xml:space="preserve"> </w:t>
      </w:r>
      <w:r>
        <w:t xml:space="preserve">that</w:t>
      </w:r>
      <w:r>
        <w:t xml:space="preserve"> </w:t>
      </w:r>
      <w:r>
        <w:t xml:space="preserve">are</w:t>
      </w:r>
      <w:r>
        <w:t xml:space="preserve"> </w:t>
      </w:r>
      <w:r>
        <w:t xml:space="preserve">not</w:t>
      </w:r>
      <w:r>
        <w:t xml:space="preserve"> </w:t>
      </w:r>
      <w:r>
        <w:t xml:space="preserve">comparable,</w:t>
      </w:r>
      <w:r>
        <w:t xml:space="preserve"> </w:t>
      </w:r>
      <w:r>
        <w:t xml:space="preserve">ranking</w:t>
      </w:r>
      <w:r>
        <w:t xml:space="preserve"> </w:t>
      </w:r>
      <w:r>
        <w:t xml:space="preserve">a</w:t>
      </w:r>
      <w:r>
        <w:t xml:space="preserve"> </w:t>
      </w:r>
      <w:r>
        <w:t xml:space="preserve">carbon</w:t>
      </w:r>
      <w:r>
        <w:t xml:space="preserve"> </w:t>
      </w:r>
      <w:r>
        <w:t xml:space="preserve">tax</w:t>
      </w:r>
      <w:r>
        <w:t xml:space="preserve"> </w:t>
      </w:r>
      <w:r>
        <w:t xml:space="preserve">against</w:t>
      </w:r>
      <w:r>
        <w:t xml:space="preserve"> </w:t>
      </w:r>
      <w:r>
        <w:t xml:space="preserve">a</w:t>
      </w:r>
      <w:r>
        <w:t xml:space="preserve"> </w:t>
      </w:r>
      <w:r>
        <w:t xml:space="preserve">feebate</w:t>
      </w:r>
      <w:r>
        <w:t xml:space="preserve"> </w:t>
      </w:r>
      <w:r>
        <w:t xml:space="preserve">against</w:t>
      </w:r>
      <w:r>
        <w:t xml:space="preserve"> </w:t>
      </w:r>
      <w:r>
        <w:t xml:space="preserve">a</w:t>
      </w:r>
      <w:r>
        <w:t xml:space="preserve"> </w:t>
      </w:r>
      <w:r>
        <w:t xml:space="preserve">standard</w:t>
      </w:r>
      <w:r>
        <w:t xml:space="preserve"> </w:t>
      </w:r>
      <w:r>
        <w:t xml:space="preserve">by</w:t>
      </w:r>
      <w:r>
        <w:t xml:space="preserve"> </w:t>
      </w:r>
      <w:r>
        <w:t xml:space="preserve">their</w:t>
      </w:r>
      <w:r>
        <w:t xml:space="preserve"> </w:t>
      </w:r>
      <w:r>
        <w:t xml:space="preserve">headline</w:t>
      </w:r>
      <w:r>
        <w:t xml:space="preserve"> </w:t>
      </w:r>
      <w:r>
        <w:t xml:space="preserve">rates</w:t>
      </w:r>
      <w:r>
        <w:t xml:space="preserve"> </w:t>
      </w:r>
      <w:r>
        <w:t xml:space="preserve">rather</w:t>
      </w:r>
      <w:r>
        <w:t xml:space="preserve"> </w:t>
      </w:r>
      <w:r>
        <w:t xml:space="preserve">than</w:t>
      </w:r>
      <w:r>
        <w:t xml:space="preserve"> </w:t>
      </w:r>
      <w:r>
        <w:t xml:space="preserve">by</w:t>
      </w:r>
      <w:r>
        <w:t xml:space="preserve"> </w:t>
      </w:r>
      <w:r>
        <w:t xml:space="preserve">what</w:t>
      </w:r>
      <w:r>
        <w:t xml:space="preserve"> </w:t>
      </w:r>
      <w:r>
        <w:t xml:space="preserve">they</w:t>
      </w:r>
      <w:r>
        <w:t xml:space="preserve"> </w:t>
      </w:r>
      <w:r>
        <w:t xml:space="preserve">do</w:t>
      </w:r>
      <w:r>
        <w:t xml:space="preserve"> </w:t>
      </w:r>
      <w:r>
        <w:t xml:space="preserve">to</w:t>
      </w:r>
      <w:r>
        <w:t xml:space="preserve"> </w:t>
      </w:r>
      <w:r>
        <w:t xml:space="preserve">emissions.</w:t>
      </w:r>
      <w:r>
        <w:t xml:space="preserve"> </w:t>
      </w:r>
      <w:r>
        <w:t xml:space="preserve">And</w:t>
      </w:r>
      <w:r>
        <w:t xml:space="preserve"> </w:t>
      </w:r>
      <w:r>
        <w:t xml:space="preserve">it</w:t>
      </w:r>
      <w:r>
        <w:t xml:space="preserve"> </w:t>
      </w:r>
      <w:r>
        <w:t xml:space="preserve">rests</w:t>
      </w:r>
      <w:r>
        <w:t xml:space="preserve"> </w:t>
      </w:r>
      <w:r>
        <w:t xml:space="preserve">on</w:t>
      </w:r>
      <w:r>
        <w:t xml:space="preserve"> </w:t>
      </w:r>
      <w:r>
        <w:t xml:space="preserve">models</w:t>
      </w:r>
      <w:r>
        <w:t xml:space="preserve"> </w:t>
      </w:r>
      <w:r>
        <w:t xml:space="preserve">a</w:t>
      </w:r>
      <w:r>
        <w:t xml:space="preserve"> </w:t>
      </w:r>
      <w:r>
        <w:t xml:space="preserve">finance</w:t>
      </w:r>
      <w:r>
        <w:t xml:space="preserve"> </w:t>
      </w:r>
      <w:r>
        <w:t xml:space="preserve">ministry</w:t>
      </w:r>
      <w:r>
        <w:t xml:space="preserve"> </w:t>
      </w:r>
      <w:r>
        <w:t xml:space="preserve">cannot</w:t>
      </w:r>
      <w:r>
        <w:t xml:space="preserve"> </w:t>
      </w:r>
      <w:r>
        <w:t xml:space="preserve">audit,</w:t>
      </w:r>
      <w:r>
        <w:t xml:space="preserve"> </w:t>
      </w:r>
      <w:r>
        <w:t xml:space="preserve">so</w:t>
      </w:r>
      <w:r>
        <w:t xml:space="preserve"> </w:t>
      </w:r>
      <w:r>
        <w:t xml:space="preserve">that</w:t>
      </w:r>
      <w:r>
        <w:t xml:space="preserve"> </w:t>
      </w:r>
      <w:r>
        <w:t xml:space="preserve">the</w:t>
      </w:r>
      <w:r>
        <w:t xml:space="preserve"> </w:t>
      </w:r>
      <w:r>
        <w:t xml:space="preserve">recommendation</w:t>
      </w:r>
      <w:r>
        <w:t xml:space="preserve"> </w:t>
      </w:r>
      <w:r>
        <w:t xml:space="preserve">is</w:t>
      </w:r>
      <w:r>
        <w:t xml:space="preserve"> </w:t>
      </w:r>
      <w:r>
        <w:t xml:space="preserve">accepted</w:t>
      </w:r>
      <w:r>
        <w:t xml:space="preserve"> </w:t>
      </w:r>
      <w:r>
        <w:t xml:space="preserve">or</w:t>
      </w:r>
      <w:r>
        <w:t xml:space="preserve"> </w:t>
      </w:r>
      <w:r>
        <w:t xml:space="preserve">rejected</w:t>
      </w:r>
      <w:r>
        <w:t xml:space="preserve"> </w:t>
      </w:r>
      <w:r>
        <w:t xml:space="preserve">on</w:t>
      </w:r>
      <w:r>
        <w:t xml:space="preserve"> </w:t>
      </w:r>
      <w:r>
        <w:t xml:space="preserve">the</w:t>
      </w:r>
      <w:r>
        <w:t xml:space="preserve"> </w:t>
      </w:r>
      <w:r>
        <w:t xml:space="preserve">authority</w:t>
      </w:r>
      <w:r>
        <w:t xml:space="preserve"> </w:t>
      </w:r>
      <w:r>
        <w:t xml:space="preserve">of</w:t>
      </w:r>
      <w:r>
        <w:t xml:space="preserve"> </w:t>
      </w:r>
      <w:r>
        <w:t xml:space="preserve">whoever</w:t>
      </w:r>
      <w:r>
        <w:t xml:space="preserve"> </w:t>
      </w:r>
      <w:r>
        <w:t xml:space="preserve">ran</w:t>
      </w:r>
      <w:r>
        <w:t xml:space="preserve"> </w:t>
      </w:r>
      <w:r>
        <w:t xml:space="preserve">it.</w:t>
      </w:r>
      <w:r>
        <w:t xml:space="preserve"> </w:t>
      </w:r>
      <w:r>
        <w:t xml:space="preserve">This</w:t>
      </w:r>
      <w:r>
        <w:t xml:space="preserve"> </w:t>
      </w:r>
      <w:r>
        <w:t xml:space="preserve">section</w:t>
      </w:r>
      <w:r>
        <w:t xml:space="preserve"> </w:t>
      </w:r>
      <w:r>
        <w:t xml:space="preserve">addresses</w:t>
      </w:r>
      <w:r>
        <w:t xml:space="preserve"> </w:t>
      </w:r>
      <w:r>
        <w:t xml:space="preserve">both.</w:t>
      </w:r>
      <w:r>
        <w:t xml:space="preserve"> </w:t>
      </w:r>
      <w:r>
        <w:t xml:space="preserve">The</w:t>
      </w:r>
      <w:r>
        <w:t xml:space="preserve"> </w:t>
      </w:r>
      <w:r>
        <w:t xml:space="preserve">first</w:t>
      </w:r>
      <w:r>
        <w:t xml:space="preserve"> </w:t>
      </w:r>
      <w:r>
        <w:t xml:space="preserve">paper</w:t>
      </w:r>
      <w:r>
        <w:t xml:space="preserve"> </w:t>
      </w:r>
      <w:r>
        <w:t xml:space="preserve">develops</w:t>
      </w:r>
      <w:r>
        <w:t xml:space="preserve"> </w:t>
      </w:r>
      <w:r>
        <w:t xml:space="preserve">a</w:t>
      </w:r>
      <w:r>
        <w:t xml:space="preserve"> </w:t>
      </w:r>
      <w:r>
        <w:t xml:space="preserve">policy-equivalent</w:t>
      </w:r>
      <w:r>
        <w:t xml:space="preserve"> </w:t>
      </w:r>
      <w:r>
        <w:t xml:space="preserve">carbon</w:t>
      </w:r>
      <w:r>
        <w:t xml:space="preserve"> </w:t>
      </w:r>
      <w:r>
        <w:t xml:space="preserve">price</w:t>
      </w:r>
      <w:r>
        <w:t xml:space="preserve"> </w:t>
      </w:r>
      <w:r>
        <w:t xml:space="preserve">—</w:t>
      </w:r>
      <w:r>
        <w:t xml:space="preserve"> </w:t>
      </w:r>
      <w:r>
        <w:t xml:space="preserve">a</w:t>
      </w:r>
      <w:r>
        <w:t xml:space="preserve"> </w:t>
      </w:r>
      <w:r>
        <w:t xml:space="preserve">common</w:t>
      </w:r>
      <w:r>
        <w:t xml:space="preserve"> </w:t>
      </w:r>
      <w:r>
        <w:t xml:space="preserve">metric</w:t>
      </w:r>
      <w:r>
        <w:t xml:space="preserve"> </w:t>
      </w:r>
      <w:r>
        <w:t xml:space="preserve">derived</w:t>
      </w:r>
      <w:r>
        <w:t xml:space="preserve"> </w:t>
      </w:r>
      <w:r>
        <w:t xml:space="preserve">from</w:t>
      </w:r>
      <w:r>
        <w:t xml:space="preserve"> </w:t>
      </w:r>
      <w:r>
        <w:t xml:space="preserve">emissions</w:t>
      </w:r>
      <w:r>
        <w:t xml:space="preserve"> </w:t>
      </w:r>
      <w:r>
        <w:t xml:space="preserve">effect</w:t>
      </w:r>
      <w:r>
        <w:t xml:space="preserve"> </w:t>
      </w:r>
      <w:r>
        <w:t xml:space="preserve">rather</w:t>
      </w:r>
      <w:r>
        <w:t xml:space="preserve"> </w:t>
      </w:r>
      <w:r>
        <w:t xml:space="preserve">than</w:t>
      </w:r>
      <w:r>
        <w:t xml:space="preserve"> </w:t>
      </w:r>
      <w:r>
        <w:t xml:space="preserve">nominal</w:t>
      </w:r>
      <w:r>
        <w:t xml:space="preserve"> </w:t>
      </w:r>
      <w:r>
        <w:t xml:space="preserve">rate</w:t>
      </w:r>
      <w:r>
        <w:t xml:space="preserve"> </w:t>
      </w:r>
      <w:r>
        <w:t xml:space="preserve">—</w:t>
      </w:r>
      <w:r>
        <w:t xml:space="preserve"> </w:t>
      </w:r>
      <w:r>
        <w:t xml:space="preserve">supported</w:t>
      </w:r>
      <w:r>
        <w:t xml:space="preserve"> </w:t>
      </w:r>
      <w:r>
        <w:t xml:space="preserve">by</w:t>
      </w:r>
      <w:r>
        <w:t xml:space="preserve"> </w:t>
      </w:r>
      <w:r>
        <w:t xml:space="preserve">a</w:t>
      </w:r>
      <w:r>
        <w:t xml:space="preserve"> </w:t>
      </w:r>
      <w:r>
        <w:t xml:space="preserve">nested</w:t>
      </w:r>
      <w:r>
        <w:t xml:space="preserve"> </w:t>
      </w:r>
      <w:r>
        <w:t xml:space="preserve">demand</w:t>
      </w:r>
      <w:r>
        <w:t xml:space="preserve"> </w:t>
      </w:r>
      <w:r>
        <w:t xml:space="preserve">structure</w:t>
      </w:r>
      <w:r>
        <w:t xml:space="preserve"> </w:t>
      </w:r>
      <w:r>
        <w:t xml:space="preserve">that</w:t>
      </w:r>
      <w:r>
        <w:t xml:space="preserve"> </w:t>
      </w:r>
      <w:r>
        <w:t xml:space="preserve">separates</w:t>
      </w:r>
      <w:r>
        <w:t xml:space="preserve"> </w:t>
      </w:r>
      <w:r>
        <w:t xml:space="preserve">conservation,</w:t>
      </w:r>
      <w:r>
        <w:t xml:space="preserve"> </w:t>
      </w:r>
      <w:r>
        <w:t xml:space="preserve">fuel</w:t>
      </w:r>
      <w:r>
        <w:t xml:space="preserve"> </w:t>
      </w:r>
      <w:r>
        <w:t xml:space="preserve">switching</w:t>
      </w:r>
      <w:r>
        <w:t xml:space="preserve"> </w:t>
      </w:r>
      <w:r>
        <w:t xml:space="preserve">and</w:t>
      </w:r>
      <w:r>
        <w:t xml:space="preserve"> </w:t>
      </w:r>
      <w:r>
        <w:t xml:space="preserve">within-fuel</w:t>
      </w:r>
      <w:r>
        <w:t xml:space="preserve"> </w:t>
      </w:r>
      <w:r>
        <w:t xml:space="preserve">heterogeneity</w:t>
      </w:r>
      <w:r>
        <w:t xml:space="preserve"> </w:t>
      </w:r>
      <w:r>
        <w:t xml:space="preserve">on</w:t>
      </w:r>
      <w:r>
        <w:t xml:space="preserve"> </w:t>
      </w:r>
      <w:r>
        <w:t xml:space="preserve">few</w:t>
      </w:r>
      <w:r>
        <w:t xml:space="preserve"> </w:t>
      </w:r>
      <w:r>
        <w:t xml:space="preserve">enough</w:t>
      </w:r>
      <w:r>
        <w:t xml:space="preserve"> </w:t>
      </w:r>
      <w:r>
        <w:t xml:space="preserve">parameters</w:t>
      </w:r>
      <w:r>
        <w:t xml:space="preserve"> </w:t>
      </w:r>
      <w:r>
        <w:t xml:space="preserve">to</w:t>
      </w:r>
      <w:r>
        <w:t xml:space="preserve"> </w:t>
      </w:r>
      <w:r>
        <w:t xml:space="preserve">be</w:t>
      </w:r>
      <w:r>
        <w:t xml:space="preserve"> </w:t>
      </w:r>
      <w:r>
        <w:t xml:space="preserve">estimated</w:t>
      </w:r>
      <w:r>
        <w:t xml:space="preserve"> </w:t>
      </w:r>
      <w:r>
        <w:t xml:space="preserve">and</w:t>
      </w:r>
      <w:r>
        <w:t xml:space="preserve"> </w:t>
      </w:r>
      <w:r>
        <w:t xml:space="preserve">checked.</w:t>
      </w:r>
      <w:r>
        <w:t xml:space="preserve"> </w:t>
      </w:r>
      <w:r>
        <w:t xml:space="preserve">The</w:t>
      </w:r>
      <w:r>
        <w:t xml:space="preserve"> </w:t>
      </w:r>
      <w:r>
        <w:t xml:space="preserve">second</w:t>
      </w:r>
      <w:r>
        <w:t xml:space="preserve"> </w:t>
      </w:r>
      <w:r>
        <w:t xml:space="preserve">sets</w:t>
      </w:r>
      <w:r>
        <w:t xml:space="preserve"> </w:t>
      </w:r>
      <w:r>
        <w:t xml:space="preserve">out</w:t>
      </w:r>
      <w:r>
        <w:t xml:space="preserve"> </w:t>
      </w:r>
      <w:r>
        <w:t xml:space="preserve">the</w:t>
      </w:r>
      <w:r>
        <w:t xml:space="preserve"> </w:t>
      </w:r>
      <w:r>
        <w:t xml:space="preserve">architecture</w:t>
      </w:r>
      <w:r>
        <w:t xml:space="preserve"> </w:t>
      </w:r>
      <w:r>
        <w:t xml:space="preserve">of</w:t>
      </w:r>
      <w:r>
        <w:t xml:space="preserve"> </w:t>
      </w:r>
      <w:r>
        <w:t xml:space="preserve">the</w:t>
      </w:r>
      <w:r>
        <w:t xml:space="preserve"> </w:t>
      </w:r>
      <w:r>
        <w:t xml:space="preserve">Climate</w:t>
      </w:r>
      <w:r>
        <w:t xml:space="preserve"> </w:t>
      </w:r>
      <w:r>
        <w:t xml:space="preserve">Policy</w:t>
      </w:r>
      <w:r>
        <w:t xml:space="preserve"> </w:t>
      </w:r>
      <w:r>
        <w:t xml:space="preserve">Assessment</w:t>
      </w:r>
      <w:r>
        <w:t xml:space="preserve"> </w:t>
      </w:r>
      <w:r>
        <w:t xml:space="preserve">Tool,</w:t>
      </w:r>
      <w:r>
        <w:t xml:space="preserve"> </w:t>
      </w:r>
      <w:r>
        <w:t xml:space="preserve">reports</w:t>
      </w:r>
      <w:r>
        <w:t xml:space="preserve"> </w:t>
      </w:r>
      <w:r>
        <w:t xml:space="preserve">on</w:t>
      </w:r>
      <w:r>
        <w:t xml:space="preserve"> </w:t>
      </w:r>
      <w:r>
        <w:t xml:space="preserve">rebuilding</w:t>
      </w:r>
      <w:r>
        <w:t xml:space="preserve"> </w:t>
      </w:r>
      <w:r>
        <w:t xml:space="preserve">its</w:t>
      </w:r>
      <w:r>
        <w:t xml:space="preserve"> </w:t>
      </w:r>
      <w:r>
        <w:t xml:space="preserve">core</w:t>
      </w:r>
      <w:r>
        <w:t xml:space="preserve"> </w:t>
      </w:r>
      <w:r>
        <w:t xml:space="preserve">price</w:t>
      </w:r>
      <w:r>
        <w:t xml:space="preserve"> </w:t>
      </w:r>
      <w:r>
        <w:t xml:space="preserve">and</w:t>
      </w:r>
      <w:r>
        <w:t xml:space="preserve"> </w:t>
      </w:r>
      <w:r>
        <w:t xml:space="preserve">demand</w:t>
      </w:r>
      <w:r>
        <w:t xml:space="preserve"> </w:t>
      </w:r>
      <w:r>
        <w:t xml:space="preserve">logic</w:t>
      </w:r>
      <w:r>
        <w:t xml:space="preserve"> </w:t>
      </w:r>
      <w:r>
        <w:t xml:space="preserve">as</w:t>
      </w:r>
      <w:r>
        <w:t xml:space="preserve"> </w:t>
      </w:r>
      <w:r>
        <w:t xml:space="preserve">a</w:t>
      </w:r>
      <w:r>
        <w:t xml:space="preserve"> </w:t>
      </w:r>
      <w:r>
        <w:t xml:space="preserve">transparent</w:t>
      </w:r>
      <w:r>
        <w:t xml:space="preserve"> </w:t>
      </w:r>
      <w:r>
        <w:t xml:space="preserve">testable</w:t>
      </w:r>
      <w:r>
        <w:t xml:space="preserve"> </w:t>
      </w:r>
      <w:r>
        <w:t xml:space="preserve">kernel,</w:t>
      </w:r>
      <w:r>
        <w:t xml:space="preserve"> </w:t>
      </w:r>
      <w:r>
        <w:t xml:space="preserve">and</w:t>
      </w:r>
      <w:r>
        <w:t xml:space="preserve"> </w:t>
      </w:r>
      <w:r>
        <w:t xml:space="preserve">carries</w:t>
      </w:r>
      <w:r>
        <w:t xml:space="preserve"> </w:t>
      </w:r>
      <w:r>
        <w:t xml:space="preserve">the</w:t>
      </w:r>
      <w:r>
        <w:t xml:space="preserve"> </w:t>
      </w:r>
      <w:r>
        <w:t xml:space="preserve">output</w:t>
      </w:r>
      <w:r>
        <w:t xml:space="preserve"> </w:t>
      </w:r>
      <w:r>
        <w:t xml:space="preserve">into</w:t>
      </w:r>
      <w:r>
        <w:t xml:space="preserve"> </w:t>
      </w:r>
      <w:r>
        <w:t xml:space="preserve">fiscal</w:t>
      </w:r>
      <w:r>
        <w:t xml:space="preserve"> </w:t>
      </w:r>
      <w:r>
        <w:t xml:space="preserve">strategy.</w:t>
      </w:r>
      <w:r>
        <w:t xml:space="preserve"> </w:t>
      </w:r>
      <w:r>
        <w:t xml:space="preserve">Together</w:t>
      </w:r>
      <w:r>
        <w:t xml:space="preserve"> </w:t>
      </w:r>
      <w:r>
        <w:t xml:space="preserve">they</w:t>
      </w:r>
      <w:r>
        <w:t xml:space="preserve"> </w:t>
      </w:r>
      <w:r>
        <w:t xml:space="preserve">answer</w:t>
      </w:r>
      <w:r>
        <w:t xml:space="preserve"> </w:t>
      </w:r>
      <w:r>
        <w:t xml:space="preserve">the</w:t>
      </w:r>
      <w:r>
        <w:t xml:space="preserve"> </w:t>
      </w:r>
      <w:r>
        <w:t xml:space="preserve">same</w:t>
      </w:r>
      <w:r>
        <w:t xml:space="preserve"> </w:t>
      </w:r>
      <w:r>
        <w:t xml:space="preserve">question</w:t>
      </w:r>
      <w:r>
        <w:t xml:space="preserve"> </w:t>
      </w:r>
      <w:r>
        <w:t xml:space="preserve">from</w:t>
      </w:r>
      <w:r>
        <w:t xml:space="preserve"> </w:t>
      </w:r>
      <w:r>
        <w:t xml:space="preserve">opposite</w:t>
      </w:r>
      <w:r>
        <w:t xml:space="preserve"> </w:t>
      </w:r>
      <w:r>
        <w:t xml:space="preserve">ends:</w:t>
      </w:r>
      <w:r>
        <w:t xml:space="preserve"> </w:t>
      </w:r>
      <w:r>
        <w:t xml:space="preserve">what</w:t>
      </w:r>
      <w:r>
        <w:t xml:space="preserve"> </w:t>
      </w:r>
      <w:r>
        <w:t xml:space="preserve">number</w:t>
      </w:r>
      <w:r>
        <w:t xml:space="preserve"> </w:t>
      </w:r>
      <w:r>
        <w:t xml:space="preserve">should</w:t>
      </w:r>
      <w:r>
        <w:t xml:space="preserve"> </w:t>
      </w:r>
      <w:r>
        <w:t xml:space="preserve">be</w:t>
      </w:r>
      <w:r>
        <w:t xml:space="preserve"> </w:t>
      </w:r>
      <w:r>
        <w:t xml:space="preserve">compared,</w:t>
      </w:r>
      <w:r>
        <w:t xml:space="preserve"> </w:t>
      </w:r>
      <w:r>
        <w:t xml:space="preserve">and</w:t>
      </w:r>
      <w:r>
        <w:t xml:space="preserve"> </w:t>
      </w:r>
      <w:r>
        <w:t xml:space="preserve">can</w:t>
      </w:r>
      <w:r>
        <w:t xml:space="preserve"> </w:t>
      </w:r>
      <w:r>
        <w:t xml:space="preserve">the</w:t>
      </w:r>
      <w:r>
        <w:t xml:space="preserve"> </w:t>
      </w:r>
      <w:r>
        <w:t xml:space="preserve">thing</w:t>
      </w:r>
      <w:r>
        <w:t xml:space="preserve"> </w:t>
      </w:r>
      <w:r>
        <w:t xml:space="preserve">that</w:t>
      </w:r>
      <w:r>
        <w:t xml:space="preserve"> </w:t>
      </w:r>
      <w:r>
        <w:t xml:space="preserve">produced</w:t>
      </w:r>
      <w:r>
        <w:t xml:space="preserve"> </w:t>
      </w:r>
      <w:r>
        <w:t xml:space="preserve">it</w:t>
      </w:r>
      <w:r>
        <w:t xml:space="preserve"> </w:t>
      </w:r>
      <w:r>
        <w:t xml:space="preserve">be</w:t>
      </w:r>
      <w:r>
        <w:t xml:space="preserve"> </w:t>
      </w:r>
      <w:r>
        <w:t xml:space="preserve">inspected.</w:t>
      </w:r>
    </w:p>
    <w:p>
      <w:pPr>
        <w:pStyle w:val="FirstParagraph"/>
      </w:pPr>
      <w:r>
        <w:rPr>
          <w:iCs/>
          <w:i/>
        </w:rPr>
        <w:t xml:space="preserve">The overview for section 4. The instruments compared by this machinery are in section 1; the diagnostics that apply it country by country are in section 5.</w:t>
      </w:r>
    </w:p>
    <w:p>
      <w:pPr>
        <w:pStyle w:val="BodyText"/>
      </w:pPr>
      <w:r>
        <w:t xml:space="preserve">This overview online:</w:t>
      </w:r>
      <w:r>
        <w:t xml:space="preserve"> </w:t>
      </w:r>
      <w:hyperlink r:id="rId20">
        <w:r>
          <w:rPr>
            <w:rStyle w:val="Hyperlink"/>
          </w:rPr>
          <w:t xml:space="preserve">https://climatefiscalfinance.org/papers/OverviewModelling.docx</w:t>
        </w:r>
      </w:hyperlink>
    </w:p>
    <w:bookmarkStart w:id="21" w:name="executive-summary"/>
    <w:p>
      <w:pPr>
        <w:pStyle w:val="Heading1"/>
      </w:pPr>
      <w:r>
        <w:t xml:space="preserve">Executive summary</w:t>
      </w:r>
    </w:p>
    <w:p>
      <w:pPr>
        <w:pStyle w:val="FirstParagraph"/>
      </w:pPr>
      <w:r>
        <w:rPr>
          <w:bCs/>
          <w:b/>
        </w:rPr>
        <w:t xml:space="preserve">Nominal rates are not comparable across instruments, and almost all policy comparison uses them anyway.</w:t>
      </w:r>
      <w:r>
        <w:t xml:space="preserve"> </w:t>
      </w:r>
      <w:r>
        <w:t xml:space="preserve">A carbon tax at thirty dollars, a feebate with a thirty-dollar deviation price, a fuel standard and a production subsidy do different things to emissions, and the number attached to each says little about which does more. Ranking them requires a metric defined by outcome rather than by rate.</w:t>
      </w:r>
    </w:p>
    <w:p>
      <w:pPr>
        <w:pStyle w:val="BodyText"/>
      </w:pPr>
      <w:r>
        <w:rPr>
          <w:bCs/>
          <w:b/>
        </w:rPr>
        <w:t xml:space="preserve">4.1 develops that metric as a policy-equivalent carbon price.</w:t>
      </w:r>
      <w:r>
        <w:t xml:space="preserve"> </w:t>
      </w:r>
      <w:r>
        <w:t xml:space="preserve">Each instrument is expressed as the uniform carbon price that would produce the same emissions effect. This makes heterogeneous policies additive and comparable, and it exposes the cases — common ones — where a headline rate flatters a policy that reaches only a small share of emissions.</w:t>
      </w:r>
    </w:p>
    <w:p>
      <w:pPr>
        <w:pStyle w:val="BodyText"/>
      </w:pPr>
      <w:r>
        <w:rPr>
          <w:bCs/>
          <w:b/>
        </w:rPr>
        <w:t xml:space="preserve">The metric needs a demand structure behind it, and the structure has to be small.</w:t>
      </w:r>
      <w:r>
        <w:t xml:space="preserve"> </w:t>
      </w:r>
      <w:r>
        <w:t xml:space="preserve">A nested constant elasticity of substitution framework separates three distinct responses: conservation, switching between fuels, and heterogeneity within a fuel or technology class. Keeping the parameter count low is not a simplification for its own sake — it is what allows the structure to be estimated from available data, checked against outturns, and explained to a finance ministry.</w:t>
      </w:r>
    </w:p>
    <w:p>
      <w:pPr>
        <w:pStyle w:val="BodyText"/>
      </w:pPr>
      <w:r>
        <w:rPr>
          <w:bCs/>
          <w:b/>
        </w:rPr>
        <w:t xml:space="preserve">The second requirement is auditability, and it is the harder one.</w:t>
      </w:r>
      <w:r>
        <w:t xml:space="preserve"> </w:t>
      </w:r>
      <w:r>
        <w:t xml:space="preserve">A model that a country team cannot open, trace and test is a model whose results are accepted on authority. That is a poor basis for a reform programme that will be contested, and it is why 4.2 treats the architecture of the Climate Policy Assessment Tool as a subject in its own right rather than as documentation.</w:t>
      </w:r>
    </w:p>
    <w:p>
      <w:pPr>
        <w:pStyle w:val="BodyText"/>
      </w:pPr>
      <w:r>
        <w:rPr>
          <w:bCs/>
          <w:b/>
        </w:rPr>
        <w:t xml:space="preserve">Three strands run through 4.2.</w:t>
      </w:r>
      <w:r>
        <w:t xml:space="preserve"> </w:t>
      </w:r>
      <w:r>
        <w:t xml:space="preserve">The first replaces CPAT’s hard renewable investment-flow constraint with a softer treatment based on system-adjusted marginal costs and shadow prices, which represents power-sector adjustment more realistically than a binding cap. The second reports on rebuilding the core price and demand logic as a transparent, testable kernel — using AI assistance for the translation and verification steps — and asks what that exercise implies for how policy models should be built and maintained. The third carries the output into fiscal strategy, linking mitigation pathways to public and private investment, revenues, fiscal risk and debt sustainability.</w:t>
      </w:r>
    </w:p>
    <w:p>
      <w:pPr>
        <w:pStyle w:val="BodyText"/>
      </w:pPr>
      <w:r>
        <w:rPr>
          <w:bCs/>
          <w:b/>
        </w:rPr>
        <w:t xml:space="preserve">The recoding strand is methodological as well as practical.</w:t>
      </w:r>
      <w:r>
        <w:t xml:space="preserve"> </w:t>
      </w:r>
      <w:r>
        <w:t xml:space="preserve">Rebuilding a large spreadsheet model as an inspectable kernel, with the translation checked step by step, is a template for a class of problem: institutional models that have accumulated logic faster than documentation. What it costs and what it catches are worth reporting whatever the model.</w:t>
      </w:r>
    </w:p>
    <w:p>
      <w:pPr>
        <w:pStyle w:val="BodyText"/>
      </w:pPr>
      <w:r>
        <w:rPr>
          <w:bCs/>
          <w:b/>
        </w:rPr>
        <w:t xml:space="preserve">The fiscal strand is what connects this section to the rest of the portfolio.</w:t>
      </w:r>
      <w:r>
        <w:t xml:space="preserve"> </w:t>
      </w:r>
      <w:r>
        <w:t xml:space="preserve">A mitigation pathway that does not carry through to revenues, investment requirements and debt sustainability is not yet advice a finance ministry can act on. The SiSePuede–CCDR–CPAT framing is the route from an emissions trajectory to a fiscal one.</w:t>
      </w:r>
    </w:p>
    <w:bookmarkEnd w:id="21"/>
    <w:bookmarkStart w:id="22" w:name="the-comparability-problem"/>
    <w:p>
      <w:pPr>
        <w:pStyle w:val="Heading1"/>
      </w:pPr>
      <w:r>
        <w:t xml:space="preserve">1. The comparability problem</w:t>
      </w:r>
    </w:p>
    <w:p>
      <w:pPr>
        <w:pStyle w:val="FirstParagraph"/>
      </w:pPr>
      <w:r>
        <w:rPr>
          <w:bCs/>
          <w:b/>
        </w:rPr>
        <w:t xml:space="preserve">Policies are compared on the wrong axis because the right one is harder to compute.</w:t>
      </w:r>
      <w:r>
        <w:t xml:space="preserve"> </w:t>
      </w:r>
      <w:r>
        <w:t xml:space="preserve">Rates are observable and effects are not, so comparison defaults to rates. The result is systematic: instruments with high headline rates and narrow coverage look strong, and broad instruments with modest rates look weak.</w:t>
      </w:r>
    </w:p>
    <w:p>
      <w:pPr>
        <w:pStyle w:val="BodyText"/>
      </w:pPr>
      <w:r>
        <w:rPr>
          <w:bCs/>
          <w:b/>
        </w:rPr>
        <w:t xml:space="preserve">A policy-equivalent carbon price restates every instrument in a single unit.</w:t>
      </w:r>
      <w:r>
        <w:t xml:space="preserve"> </w:t>
      </w:r>
      <w:r>
        <w:t xml:space="preserve">The question becomes what uniform price would deliver the same emissions reduction, which is answerable given a demand structure and which makes instruments additive — so that a package can be assessed rather than only its components.</w:t>
      </w:r>
    </w:p>
    <w:p>
      <w:pPr>
        <w:pStyle w:val="BodyText"/>
      </w:pPr>
      <w:r>
        <w:rPr>
          <w:bCs/>
          <w:b/>
        </w:rPr>
        <w:t xml:space="preserve">The metric also makes the coverage question visible.</w:t>
      </w:r>
      <w:r>
        <w:t xml:space="preserve"> </w:t>
      </w:r>
      <w:r>
        <w:t xml:space="preserve">An instrument reaching a fifth of emissions at a high rate and one reaching all emissions at a low rate can be placed on the same scale, and the comparison usually surprises.</w:t>
      </w:r>
    </w:p>
    <w:bookmarkEnd w:id="22"/>
    <w:bookmarkStart w:id="23" w:name="the-demand-structure-behind-it"/>
    <w:p>
      <w:pPr>
        <w:pStyle w:val="Heading1"/>
      </w:pPr>
      <w:r>
        <w:t xml:space="preserve">2. The demand structure behind it</w:t>
      </w:r>
    </w:p>
    <w:p>
      <w:pPr>
        <w:pStyle w:val="FirstParagraph"/>
      </w:pPr>
      <w:r>
        <w:rPr>
          <w:bCs/>
          <w:b/>
        </w:rPr>
        <w:t xml:space="preserve">Three responses have to be distinguished because they have different elasticities and different time constants.</w:t>
      </w:r>
      <w:r>
        <w:t xml:space="preserve"> </w:t>
      </w:r>
      <w:r>
        <w:t xml:space="preserve">Conservation reduces energy use. Fuel switching changes the mix at roughly constant service. Within-fuel heterogeneity captures the fact that not all uses of a fuel respond alike.</w:t>
      </w:r>
    </w:p>
    <w:p>
      <w:pPr>
        <w:pStyle w:val="BodyText"/>
      </w:pPr>
      <w:r>
        <w:rPr>
          <w:bCs/>
          <w:b/>
        </w:rPr>
        <w:t xml:space="preserve">A nested constant elasticity of substitution structure separates them on a small parameter set.</w:t>
      </w:r>
      <w:r>
        <w:t xml:space="preserve"> </w:t>
      </w:r>
      <w:r>
        <w:t xml:space="preserve">The nesting is what keeps the count low: each level has its own elasticity, and the levels compose. This supports both static comparison and dynamic simulation without a proliferation of free parameters.</w:t>
      </w:r>
    </w:p>
    <w:p>
      <w:pPr>
        <w:pStyle w:val="BodyText"/>
      </w:pPr>
      <w:r>
        <w:rPr>
          <w:bCs/>
          <w:b/>
        </w:rPr>
        <w:t xml:space="preserve">Low parameter count is a transparency property, not only a tractability one.</w:t>
      </w:r>
      <w:r>
        <w:t xml:space="preserve"> </w:t>
      </w:r>
      <w:r>
        <w:t xml:space="preserve">Every parameter is a thing someone has to defend. A structure with few of them can be defended line by line in a room with a finance ministry in it, which is where these numbers are ultimately contested.</w:t>
      </w:r>
    </w:p>
    <w:bookmarkEnd w:id="23"/>
    <w:bookmarkStart w:id="24" w:name="architecture-and-auditability"/>
    <w:p>
      <w:pPr>
        <w:pStyle w:val="Heading1"/>
      </w:pPr>
      <w:r>
        <w:t xml:space="preserve">3. Architecture and auditability</w:t>
      </w:r>
    </w:p>
    <w:p>
      <w:pPr>
        <w:pStyle w:val="FirstParagraph"/>
      </w:pPr>
      <w:r>
        <w:rPr>
          <w:bCs/>
          <w:b/>
        </w:rPr>
        <w:t xml:space="preserve">A mitigation model for country work faces three requirements that pull against each other.</w:t>
      </w:r>
      <w:r>
        <w:t xml:space="preserve"> </w:t>
      </w:r>
      <w:r>
        <w:t xml:space="preserve">It has to be detailed enough to capture sectoral policy interaction, simple enough to run on the data a country actually has, and transparent enough that the ministry can see what it did. Most models satisfy two.</w:t>
      </w:r>
    </w:p>
    <w:p>
      <w:pPr>
        <w:pStyle w:val="BodyText"/>
      </w:pPr>
      <w:r>
        <w:rPr>
          <w:bCs/>
          <w:b/>
        </w:rPr>
        <w:t xml:space="preserve">The power sector is where the tension is sharpest.</w:t>
      </w:r>
      <w:r>
        <w:t xml:space="preserve"> </w:t>
      </w:r>
      <w:r>
        <w:t xml:space="preserve">Representing investment response by a hard flow constraint is simple and wrong in a specific way: it makes the model insensitive to price in exactly the region where policy operates. A treatment based on system-adjusted marginal costs and shadow prices restores that sensitivity at the cost of more structure.</w:t>
      </w:r>
    </w:p>
    <w:p>
      <w:pPr>
        <w:pStyle w:val="BodyText"/>
      </w:pPr>
      <w:r>
        <w:rPr>
          <w:bCs/>
          <w:b/>
        </w:rPr>
        <w:t xml:space="preserve">Policy interaction is the reason a detailed treatment is needed at all.</w:t>
      </w:r>
      <w:r>
        <w:t xml:space="preserve"> </w:t>
      </w:r>
      <w:r>
        <w:t xml:space="preserve">A carbon price, a renewable subsidy and an emissions trading scheme applied together do not sum to the effect of each applied alone, and the overlap is where most real policy packages live.</w:t>
      </w:r>
    </w:p>
    <w:bookmarkEnd w:id="24"/>
    <w:bookmarkStart w:id="25" w:name="Xd8e9b165e19282ade319e52f5e95a469d35d2b6"/>
    <w:p>
      <w:pPr>
        <w:pStyle w:val="Heading1"/>
      </w:pPr>
      <w:r>
        <w:t xml:space="preserve">4. From emissions pathway to fiscal strategy</w:t>
      </w:r>
    </w:p>
    <w:p>
      <w:pPr>
        <w:pStyle w:val="FirstParagraph"/>
      </w:pPr>
      <w:r>
        <w:rPr>
          <w:bCs/>
          <w:b/>
        </w:rPr>
        <w:t xml:space="preserve">A mitigation scenario becomes usable when it carries a fiscal account with it.</w:t>
      </w:r>
      <w:r>
        <w:t xml:space="preserve"> </w:t>
      </w:r>
      <w:r>
        <w:t xml:space="preserve">Investment requirements split between public and private, revenue effects of the instruments themselves, contingent liabilities created by guarantees and contracts, and the implied debt path.</w:t>
      </w:r>
    </w:p>
    <w:p>
      <w:pPr>
        <w:pStyle w:val="BodyText"/>
      </w:pPr>
      <w:r>
        <w:rPr>
          <w:bCs/>
          <w:b/>
        </w:rPr>
        <w:t xml:space="preserve">This is the point of contact with sections 2 and 3.</w:t>
      </w:r>
      <w:r>
        <w:t xml:space="preserve"> </w:t>
      </w:r>
      <w:r>
        <w:t xml:space="preserve">The financing structures there exist to lower the cost of the investment this section sizes, and the incentive instruments exist to make the policies this section models worth adopting. A pathway with no financing plan and a financing plan with no pathway are the two halves of the same omission.</w:t>
      </w:r>
    </w:p>
    <w:bookmarkEnd w:id="25"/>
    <w:bookmarkStart w:id="29" w:name="the-papers-in-this-section"/>
    <w:p>
      <w:pPr>
        <w:pStyle w:val="Heading1"/>
      </w:pPr>
      <w:r>
        <w:t xml:space="preserve">5. The papers in this section</w:t>
      </w:r>
    </w:p>
    <w:p>
      <w:pPr>
        <w:pStyle w:val="FirstParagraph"/>
      </w:pPr>
      <w:r>
        <w:t xml:space="preserve">The abstracts below are those of the papers still under active development. The CBAM dashboard and its emission-factor work are retained in</w:t>
      </w:r>
      <w:r>
        <w:t xml:space="preserve"> </w:t>
      </w:r>
      <w:r>
        <w:rPr>
          <w:rStyle w:val="VerbatimChar"/>
        </w:rPr>
        <w:t xml:space="preserve">9.Additional</w:t>
      </w:r>
      <w:r>
        <w:t xml:space="preserve"> </w:t>
      </w:r>
      <w:r>
        <w:t xml:space="preserve">as 4.3.</w:t>
      </w:r>
    </w:p>
    <w:bookmarkStart w:id="27" w:name="X72ec96e57cb1958b96ea4bf3e68391a3011b9cf"/>
    <w:p>
      <w:pPr>
        <w:pStyle w:val="Heading2"/>
      </w:pPr>
      <w:r>
        <w:t xml:space="preserve">4.1 Policy-Equivalent Carbon Price and Constant Elasticity of Substitution Energy Consumption</w:t>
      </w:r>
    </w:p>
    <w:p>
      <w:pPr>
        <w:pStyle w:val="FirstParagraph"/>
      </w:pPr>
      <w:r>
        <w:t xml:space="preserve">Nominal carbon prices often misstate what climate policies actually do to emissions. This paper develops a common carbon-price-equivalent metric for comparing carbon taxes, feebates, subsidies, and other policies based on their emissions effects. It is supported by a nested constant elasticity of substitution demand framework that separates conservation, fuel switching, and heterogeneity within fuels or technologies, providing a low-parameter structure for static comparison and dynamic simulation.</w:t>
      </w:r>
    </w:p>
    <w:p>
      <w:pPr>
        <w:pStyle w:val="BodyText"/>
      </w:pPr>
      <w:hyperlink r:id="rId26">
        <w:r>
          <w:rPr>
            <w:rStyle w:val="Hyperlink"/>
          </w:rPr>
          <w:t xml:space="preserve">https://climatefiscalfinance.org/papers/PolicyEquivalentCarbonPriceAndCES.docx</w:t>
        </w:r>
      </w:hyperlink>
    </w:p>
    <w:bookmarkEnd w:id="27"/>
    <w:bookmarkStart w:id="28" w:name="Xef266432e03a93111998d1d1777a4be523f599a"/>
    <w:p>
      <w:pPr>
        <w:pStyle w:val="Heading2"/>
      </w:pPr>
      <w:r>
        <w:t xml:space="preserve">4.2 The Climate Policy Assessment Tool: Architecture, Recoding, and Fiscal Application</w:t>
      </w:r>
    </w:p>
    <w:p>
      <w:pPr>
        <w:pStyle w:val="FirstParagraph"/>
      </w:pPr>
      <w:r>
        <w:t xml:space="preserve">Policymakers need mitigation models that are detailed enough to capture sectoral policy interactions, but simple enough for real country work — and transparent enough that a finance ministry can audit what the model did. This paper sets out the core mitigation architecture of the Climate Policy Assessment Tool, with particular attention to the power sector, policy interaction, and country applications.</w:t>
      </w:r>
    </w:p>
    <w:p>
      <w:pPr>
        <w:pStyle w:val="BodyText"/>
      </w:pPr>
      <w:r>
        <w:t xml:space="preserve">Three strands run through it. The first replaces CPAT’s hard renewable-energy investment-flow constraint with a softer treatment based on system-adjusted marginal costs and shadow prices, representing realistic power-sector adjustment. The second reports on rebuilding the core price and demand logic as a transparent, testable kernel, using AI assistance for the translation and verification steps, and asks what that exercise implies for how policy models should be built and maintained. The third carries the output into fiscal strategy, linking long-term mitigation pathways to public and private investment, revenues, fiscal risk, and debt sustainability through a SiSePuede–CCDR–CPAT framing.</w:t>
      </w:r>
    </w:p>
    <w:p>
      <w:pPr>
        <w:pStyle w:val="BodyText"/>
      </w:pPr>
      <w:r>
        <w:rPr>
          <w:iCs/>
          <w:i/>
        </w:rPr>
        <w:t xml:space="preserve">No master document yet. Background material in the folder: the power investment equations in full; the prices-module recoding record across versions; the ETS and policy-overlap treatment; the fiscal long-term strategy material; and a reference note on the World Bank’s wider modelling landscape.</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climatefiscalfinance.org/papers/OverviewModelling.docx" TargetMode="External" /><Relationship Type="http://schemas.openxmlformats.org/officeDocument/2006/relationships/hyperlink" Id="rId26" Target="https://climatefiscalfinance.org/papers/PolicyEquivalentCarbonPriceAndCES.docx" TargetMode="External" /></Relationships>
</file>

<file path=word/_rels/footnotes.xml.rels><?xml version="1.0" encoding="UTF-8"?><Relationships xmlns="http://schemas.openxmlformats.org/package/2006/relationships"><Relationship Type="http://schemas.openxmlformats.org/officeDocument/2006/relationships/hyperlink" Id="rId20" Target="https://climatefiscalfinance.org/papers/OverviewModelling.docx" TargetMode="External" /><Relationship Type="http://schemas.openxmlformats.org/officeDocument/2006/relationships/hyperlink" Id="rId26" Target="https://climatefiscalfinance.org/papers/PolicyEquivalentCarbonPriceAndCES.doc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Comparable Metrics and Auditable Models</dc:title>
  <dc:creator>Stephen J. Stretton</dc:creator>
  <cp:keywords/>
  <dcterms:created xsi:type="dcterms:W3CDTF">2026-09-17T22:38:01Z</dcterms:created>
  <dcterms:modified xsi:type="dcterms:W3CDTF">2026-09-17T22:38:01Z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Climate policy advice fails in two characteristic ways. It compares instruments that are not comparable, ranking a carbon tax against a feebate against a standard by their headline rates rather than by what they do to emissions. And it rests on models a finance ministry cannot audit, so that the recommendation is accepted or rejected on the authority of whoever ran it. This section addresses both. The first paper develops a policy-equivalent carbon price — a common metric derived from emissions effect rather than nominal rate — supported by a nested demand structure that separates conservation, fuel switching and within-fuel heterogeneity on few enough parameters to be estimated and checked. The second sets out the architecture of the Climate Policy Assessment Tool, reports on rebuilding its core price and demand logic as a transparent testable kernel, and carries the output into fiscal strategy. Together they answer the same question from opposite ends: what number should be compared, and can the thing that produced it be inspected.</vt:lpwstr>
  </property>
  <property fmtid="{D5CDD505-2E9C-101B-9397-08002B2CF9AE}" pid="3" name="format">
    <vt:lpwstr/>
  </property>
  <property fmtid="{D5CDD505-2E9C-101B-9397-08002B2CF9AE}" pid="4" name="subtitle">
    <vt:lpwstr>Overview of section 4: modelling</vt:lpwstr>
  </property>
</Properties>
</file>