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7485A" w14:textId="45C699F2" w:rsidR="002B4A09" w:rsidRDefault="002B4A09" w:rsidP="002B4A09">
      <w:pPr>
        <w:pStyle w:val="IntenseQuote"/>
      </w:pPr>
      <w:r>
        <w:t xml:space="preserve">The Brief on The World Bank Climate Framework (Governance) </w:t>
      </w:r>
    </w:p>
    <w:p w14:paraId="06696DAF" w14:textId="521F373F" w:rsidR="002B4A09" w:rsidRPr="002B4A09" w:rsidRDefault="008B71C2" w:rsidP="002B4A09">
      <w:r w:rsidRPr="002B4A09">
        <w:t xml:space="preserve">The World Bank Group’s </w:t>
      </w:r>
      <w:r w:rsidR="002B4A09" w:rsidRPr="002B4A09">
        <w:t xml:space="preserve">does not have a one specific framework for </w:t>
      </w:r>
      <w:r w:rsidRPr="002B4A09">
        <w:t>climate change strategy,</w:t>
      </w:r>
      <w:r w:rsidR="002B4A09" w:rsidRPr="002B4A09">
        <w:t xml:space="preserve"> however it</w:t>
      </w:r>
      <w:r w:rsidRPr="002B4A09">
        <w:t xml:space="preserve"> laid ou</w:t>
      </w:r>
      <w:r w:rsidR="002B4A09" w:rsidRPr="002B4A09">
        <w:t>t</w:t>
      </w:r>
      <w:r w:rsidRPr="002B4A09">
        <w:t xml:space="preserve"> its</w:t>
      </w:r>
      <w:r w:rsidR="002B4A09" w:rsidRPr="002B4A09">
        <w:t xml:space="preserve"> commitments and goals in</w:t>
      </w:r>
      <w:r w:rsidRPr="002B4A09">
        <w:t xml:space="preserve"> 2025 Climate Targets and </w:t>
      </w:r>
      <w:r w:rsidR="002B4A09" w:rsidRPr="002B4A09">
        <w:t>Actions</w:t>
      </w:r>
      <w:r w:rsidR="002B4A09">
        <w:t>.</w:t>
      </w:r>
      <w:r w:rsidR="002B4A09" w:rsidRPr="002B4A09">
        <w:t xml:space="preserve"> </w:t>
      </w:r>
      <w:r w:rsidR="002B4A09">
        <w:t xml:space="preserve">It </w:t>
      </w:r>
      <w:r w:rsidRPr="002B4A09">
        <w:t>recognizes that governance will play a critical role in addressing climate change.</w:t>
      </w:r>
      <w:r w:rsidR="002B4A09" w:rsidRPr="002B4A09">
        <w:t xml:space="preserve"> It aligns its goals with Paris Agreement and Helsinki Coalition of Finance Ministers for Climate action, which emphasizes that countries should take climate change into account in macroeconomic policy, fiscal planning, budgeting, public investment management and procurement practices.</w:t>
      </w:r>
    </w:p>
    <w:p w14:paraId="410BB681" w14:textId="2D6578A4" w:rsidR="002B4A09" w:rsidRPr="002B4A09" w:rsidRDefault="002B4A09" w:rsidP="002B4A09">
      <w:pPr>
        <w:rPr>
          <w:b/>
          <w:bCs/>
        </w:rPr>
      </w:pPr>
      <w:r w:rsidRPr="002B4A09">
        <w:rPr>
          <w:b/>
          <w:bCs/>
        </w:rPr>
        <w:t>The CCAP 2025 commit</w:t>
      </w:r>
      <w:r w:rsidRPr="002B4A09">
        <w:rPr>
          <w:b/>
          <w:bCs/>
        </w:rPr>
        <w:t>s to</w:t>
      </w:r>
      <w:r w:rsidRPr="002B4A09">
        <w:rPr>
          <w:b/>
          <w:bCs/>
        </w:rPr>
        <w:t>:</w:t>
      </w:r>
      <w:r w:rsidRPr="002B4A09">
        <w:rPr>
          <w:b/>
          <w:bCs/>
        </w:rPr>
        <w:t xml:space="preserve"> </w:t>
      </w:r>
    </w:p>
    <w:p w14:paraId="73D541AD" w14:textId="18974EA6" w:rsidR="002B4A09" w:rsidRDefault="002B4A09" w:rsidP="002B4A09">
      <w:r>
        <w:t xml:space="preserve">1)Aligning WBG financing flows with the objective of Paris Agreement and increasing the share of WB financing with climate co-benefits to 35% of which 50% will be assigned to adaptation. </w:t>
      </w:r>
    </w:p>
    <w:p w14:paraId="7FB0EBA6" w14:textId="44DDAC25" w:rsidR="002B4A09" w:rsidRDefault="002B4A09" w:rsidP="002B4A09">
      <w:r>
        <w:t xml:space="preserve">2) Prioritize impact (implement climate and disaster risk screening, follow climate indicators, assess climate co-benefits, improve GHG emissions tracking and request carbon shadow pricing). </w:t>
      </w:r>
    </w:p>
    <w:p w14:paraId="5355B535" w14:textId="3B269BE0" w:rsidR="002B4A09" w:rsidRDefault="002B4A09" w:rsidP="002B4A09">
      <w:r>
        <w:t xml:space="preserve">3) Improve and expand climate diagnostics to support NDCs and LTCs. </w:t>
      </w:r>
    </w:p>
    <w:p w14:paraId="5336BDA9" w14:textId="115216CF" w:rsidR="002B4A09" w:rsidRDefault="002B4A09" w:rsidP="002B4A09">
      <w:r>
        <w:t>4) Prioritize transformative investments to lower GHG emissions in strategic sectors (energy, agriculture, food, water, cities, transport, manufacturing).</w:t>
      </w:r>
    </w:p>
    <w:p w14:paraId="4E3192ED" w14:textId="44FA1E7A" w:rsidR="002B4A09" w:rsidRPr="002B4A09" w:rsidRDefault="002B4A09" w:rsidP="002B4A09">
      <w:r>
        <w:t>5) Support just transition and coal phase-out.,</w:t>
      </w:r>
    </w:p>
    <w:p w14:paraId="1F7355E2" w14:textId="77777777" w:rsidR="002B4A09" w:rsidRPr="002B4A09" w:rsidRDefault="002B4A09" w:rsidP="002B4A09">
      <w:pPr>
        <w:pStyle w:val="Heading2"/>
        <w:rPr>
          <w:rStyle w:val="IntenseReference"/>
          <w:rFonts w:asciiTheme="minorHAnsi" w:eastAsiaTheme="minorHAnsi" w:hAnsiTheme="minorHAnsi" w:cstheme="minorBidi"/>
          <w:sz w:val="22"/>
          <w:szCs w:val="22"/>
        </w:rPr>
      </w:pPr>
      <w:r w:rsidRPr="002B4A09">
        <w:rPr>
          <w:rStyle w:val="IntenseReference"/>
          <w:rFonts w:asciiTheme="minorHAnsi" w:eastAsiaTheme="minorHAnsi" w:hAnsiTheme="minorHAnsi" w:cstheme="minorBidi"/>
          <w:sz w:val="22"/>
          <w:szCs w:val="22"/>
        </w:rPr>
        <w:t>Paris Alignment</w:t>
      </w:r>
    </w:p>
    <w:p w14:paraId="6493DE57" w14:textId="77777777" w:rsidR="002B4A09" w:rsidRDefault="002B4A09" w:rsidP="002B4A09">
      <w:r w:rsidRPr="002B4A09">
        <w:t>Through the CCAP 2025, the WBG has committed to aligning its financial flows with the objectives of</w:t>
      </w:r>
      <w:r>
        <w:t xml:space="preserve"> </w:t>
      </w:r>
      <w:r w:rsidRPr="002B4A09">
        <w:t>the Paris Agreement (“Paris Alignment</w:t>
      </w:r>
      <w:r w:rsidRPr="002B4A09">
        <w:t xml:space="preserve">”). </w:t>
      </w:r>
      <w:r w:rsidRPr="002B4A09">
        <w:t>For the Bank</w:t>
      </w:r>
      <w:r w:rsidRPr="002B4A09">
        <w:t xml:space="preserve"> (IBRD),</w:t>
      </w:r>
      <w:r w:rsidRPr="002B4A09">
        <w:t xml:space="preserve"> this means that all new Bank operations from July 1, 2023 onwards</w:t>
      </w:r>
      <w:r w:rsidRPr="002B4A09">
        <w:t xml:space="preserve"> </w:t>
      </w:r>
      <w:r w:rsidRPr="002B4A09">
        <w:t xml:space="preserve">have to be “Paris aligned.” The objectives of the Paris Agreement include: </w:t>
      </w:r>
    </w:p>
    <w:p w14:paraId="156C7015" w14:textId="77777777" w:rsidR="002B4A09" w:rsidRDefault="002B4A09" w:rsidP="002B4A09">
      <w:r w:rsidRPr="002B4A09">
        <w:t>(1) keeping global average</w:t>
      </w:r>
      <w:r w:rsidRPr="002B4A09">
        <w:t xml:space="preserve"> </w:t>
      </w:r>
      <w:r w:rsidRPr="002B4A09">
        <w:t>temperature increases to well below 2°C while pursuing efforts to keep such increases to 1.5°C above</w:t>
      </w:r>
      <w:r w:rsidRPr="002B4A09">
        <w:t xml:space="preserve"> </w:t>
      </w:r>
      <w:r w:rsidRPr="002B4A09">
        <w:t xml:space="preserve">pre-industrial levels (Mitigation Objective); </w:t>
      </w:r>
    </w:p>
    <w:p w14:paraId="3BB158E9" w14:textId="49F80E14" w:rsidR="002B4A09" w:rsidRDefault="002B4A09" w:rsidP="002B4A09">
      <w:r w:rsidRPr="002B4A09">
        <w:t>(2) increasing the ability to adapt to adverse impacts of</w:t>
      </w:r>
      <w:r w:rsidRPr="002B4A09">
        <w:t xml:space="preserve"> </w:t>
      </w:r>
      <w:r w:rsidRPr="002B4A09">
        <w:t>climate change and foster climate resilience and low GHG emissions development, in a manner that</w:t>
      </w:r>
      <w:r w:rsidRPr="002B4A09">
        <w:t xml:space="preserve"> </w:t>
      </w:r>
      <w:r w:rsidRPr="002B4A09">
        <w:t xml:space="preserve">does not threaten food production (Adaptation Objective); </w:t>
      </w:r>
    </w:p>
    <w:p w14:paraId="70F6BDED" w14:textId="77777777" w:rsidR="002B4A09" w:rsidRDefault="002B4A09" w:rsidP="002B4A09">
      <w:r w:rsidRPr="002B4A09">
        <w:t>(3) making finance flows consistent</w:t>
      </w:r>
      <w:r w:rsidRPr="002B4A09">
        <w:t xml:space="preserve"> </w:t>
      </w:r>
      <w:r w:rsidRPr="002B4A09">
        <w:t>with a pathway towards low GHG emissions and climate-resilient development (Finance Objective).</w:t>
      </w:r>
      <w:r w:rsidRPr="002B4A09">
        <w:t xml:space="preserve"> </w:t>
      </w:r>
    </w:p>
    <w:p w14:paraId="59163C95" w14:textId="4C40E750" w:rsidR="002B4A09" w:rsidRPr="002B4A09" w:rsidRDefault="002B4A09" w:rsidP="002B4A09">
      <w:r w:rsidRPr="002B4A09">
        <w:t>The Paris Agreement reaffirms that developed countries should take the lead in providing financial assistance to countries that are less endowed and more vulnerable, while for the first time also encouraging voluntary contributions by other Parties. Climate finance is needed for mitigation, because large-scale investments are required to significantly reduce emissions. Climate finance is equally important for adaptation, as significant financial resources are needed to adapt to the adverse effects and reduce the impacts of a changing climate.</w:t>
      </w:r>
    </w:p>
    <w:p w14:paraId="6BB80DB2" w14:textId="3220C1F2" w:rsidR="002B4A09" w:rsidRPr="002B4A09" w:rsidRDefault="002B4A09" w:rsidP="002B4A09">
      <w:pPr>
        <w:rPr>
          <w:b/>
          <w:bCs/>
          <w:smallCaps/>
        </w:rPr>
      </w:pPr>
      <w:r w:rsidRPr="002B4A09">
        <w:rPr>
          <w:b/>
          <w:bCs/>
          <w:smallCaps/>
        </w:rPr>
        <w:t xml:space="preserve">Helsinki </w:t>
      </w:r>
      <w:r w:rsidRPr="002B4A09">
        <w:rPr>
          <w:b/>
          <w:bCs/>
          <w:smallCaps/>
        </w:rPr>
        <w:t>Coalition of Finance Ministers for Climate Action</w:t>
      </w:r>
    </w:p>
    <w:p w14:paraId="2DBD3B5B" w14:textId="0E7F6A1E" w:rsidR="002B4A09" w:rsidRDefault="002B4A09" w:rsidP="002B4A09">
      <w:r w:rsidRPr="002B4A09">
        <w:lastRenderedPageBreak/>
        <w:t>Helsinki Coalition of Finance Ministers for Climate action</w:t>
      </w:r>
      <w:r w:rsidRPr="002B4A09">
        <w:t xml:space="preserve"> emphasizes that countries should take climate change into account in macroeconomic policy, fiscal planning, budgeting, public investment management and procurement practices.</w:t>
      </w:r>
    </w:p>
    <w:p w14:paraId="538F7E70" w14:textId="0DCFB6FE" w:rsidR="002B4A09" w:rsidRDefault="002B4A09" w:rsidP="002B4A09">
      <w:r>
        <w:t xml:space="preserve">• </w:t>
      </w:r>
      <w:r w:rsidRPr="002B4A09">
        <w:t>Macroeconomic policy</w:t>
      </w:r>
      <w:r>
        <w:t xml:space="preserve"> – consideration of climate change targets, risks, vulnerabilities and policy objectives in economic forecasts, debt sustainability analyses, fiscal risk assessments and other macroeconomic policy instruments; </w:t>
      </w:r>
      <w:r w:rsidRPr="002B4A09">
        <w:t>tracking of tax expenditures on fossil fuels and tax incentives for the consumption and production of fossil fuels, feed-in tariffs, investments in low-carbon technologies</w:t>
      </w:r>
      <w:r>
        <w:t>.</w:t>
      </w:r>
    </w:p>
    <w:p w14:paraId="6BB75126" w14:textId="7EFDCB91" w:rsidR="002B4A09" w:rsidRPr="002B4A09" w:rsidRDefault="002B4A09" w:rsidP="002B4A09">
      <w:r>
        <w:t xml:space="preserve"> • </w:t>
      </w:r>
      <w:r w:rsidRPr="002B4A09">
        <w:t>Fiscal planning</w:t>
      </w:r>
      <w:r>
        <w:t xml:space="preserve">– consideration of climate change targets, risks, </w:t>
      </w:r>
      <w:r w:rsidRPr="002B4A09">
        <w:t>vulnerabilities and policy objectives in the formulation and implementation of fiscal plans and frameworks and when undertaking expenditure reviews and program evaluations used to inform fiscal policies</w:t>
      </w:r>
      <w:r w:rsidRPr="002B4A09">
        <w:t>.</w:t>
      </w:r>
      <w:r w:rsidRPr="002B4A09">
        <w:t xml:space="preserve"> </w:t>
      </w:r>
    </w:p>
    <w:p w14:paraId="0CD1E600" w14:textId="28CD7001" w:rsidR="002B4A09" w:rsidRDefault="002B4A09" w:rsidP="002B4A09">
      <w:r>
        <w:t xml:space="preserve">• </w:t>
      </w:r>
      <w:r w:rsidRPr="002B4A09">
        <w:t xml:space="preserve">Budgeting </w:t>
      </w:r>
      <w:r>
        <w:t xml:space="preserve">– integration of climate change policy considerations in budget guidelines, pre-budget statements and budget documents and the </w:t>
      </w:r>
      <w:r w:rsidRPr="002B4A09">
        <w:t xml:space="preserve">tagging of climate-related expenditures, including those that have either a positive or adverse impact on climate outcomes, such as fossil fuel </w:t>
      </w:r>
      <w:r w:rsidRPr="002B4A09">
        <w:t>subsidies.</w:t>
      </w:r>
      <w:r>
        <w:t xml:space="preserve"> </w:t>
      </w:r>
    </w:p>
    <w:p w14:paraId="75289D20" w14:textId="1CD6E599" w:rsidR="002B4A09" w:rsidRPr="002B4A09" w:rsidRDefault="002B4A09" w:rsidP="002B4A09">
      <w:r>
        <w:t xml:space="preserve">• </w:t>
      </w:r>
      <w:r w:rsidRPr="002B4A09">
        <w:t>Public investment management</w:t>
      </w:r>
      <w:r>
        <w:t xml:space="preserve"> – integration of climate change considerations and policies in the guidance, procedures and methodologies used for program and project selection and appraisal, </w:t>
      </w:r>
      <w:r w:rsidRPr="002B4A09">
        <w:t>including the use of a shadow price of carbon in economic analysis and appropriate assessment of climate change risks and vulnerabilities</w:t>
      </w:r>
      <w:r w:rsidRPr="002B4A09">
        <w:t>.</w:t>
      </w:r>
    </w:p>
    <w:p w14:paraId="51A07E21" w14:textId="392A7D51" w:rsidR="002B4A09" w:rsidRPr="002B4A09" w:rsidRDefault="002B4A09" w:rsidP="002B4A09">
      <w:r>
        <w:t xml:space="preserve">• </w:t>
      </w:r>
      <w:r w:rsidRPr="002B4A09">
        <w:t>Procurement</w:t>
      </w:r>
      <w:r>
        <w:t xml:space="preserve"> </w:t>
      </w:r>
      <w:r>
        <w:t>– integration of climate change considerations in the guidance, procedures and methodologies for public procurement, including appropriate measures to improve energy-efficiency and favor low-carbon solutions.</w:t>
      </w:r>
    </w:p>
    <w:p w14:paraId="57BA6DAA" w14:textId="0F869970" w:rsidR="002B4A09" w:rsidRPr="002B4A09" w:rsidRDefault="002B4A09" w:rsidP="002B4A09">
      <w:pPr>
        <w:rPr>
          <w:b/>
          <w:bCs/>
        </w:rPr>
      </w:pPr>
      <w:r w:rsidRPr="002B4A09">
        <w:rPr>
          <w:b/>
          <w:bCs/>
        </w:rPr>
        <w:t>National institutional frameworks for sustained climate action</w:t>
      </w:r>
    </w:p>
    <w:p w14:paraId="5A3C4AEF" w14:textId="596987C8" w:rsidR="002B4A09" w:rsidRPr="002B4A09" w:rsidRDefault="002B4A09" w:rsidP="002B4A09">
      <w:pPr>
        <w:rPr>
          <w:b/>
          <w:bCs/>
          <w:smallCaps/>
        </w:rPr>
      </w:pPr>
      <w:r w:rsidRPr="002B4A09">
        <w:rPr>
          <w:b/>
          <w:bCs/>
          <w:smallCaps/>
        </w:rPr>
        <w:t xml:space="preserve">NDCs </w:t>
      </w:r>
    </w:p>
    <w:p w14:paraId="63ADAA05" w14:textId="5B2B0D9A" w:rsidR="002B4A09" w:rsidRDefault="002B4A09" w:rsidP="002B4A09">
      <w:r>
        <w:t xml:space="preserve">NDCs are country’s climate actions plans in which </w:t>
      </w:r>
      <w:r>
        <w:t xml:space="preserve">countries adopt action plans to cut emissions and adapt to climate impact. BTRs associated with NDCs report information on emissions levels, domestic actions to mitigate and adapt to climate change, and the status of financial, technology development, and transfer and capacity-building support for mitigation and adaptation activities in the country. </w:t>
      </w:r>
    </w:p>
    <w:p w14:paraId="1DB5A284" w14:textId="1E1B7F32" w:rsidR="002B4A09" w:rsidRPr="002B4A09" w:rsidRDefault="002B4A09" w:rsidP="002B4A09">
      <w:pPr>
        <w:rPr>
          <w:b/>
          <w:bCs/>
          <w:smallCaps/>
        </w:rPr>
      </w:pPr>
      <w:r w:rsidRPr="002B4A09">
        <w:rPr>
          <w:b/>
          <w:bCs/>
          <w:smallCaps/>
        </w:rPr>
        <w:t>Long Term Strategies</w:t>
      </w:r>
    </w:p>
    <w:p w14:paraId="1DD73E78" w14:textId="0EEAE05B" w:rsidR="002B4A09" w:rsidRPr="002B4A09" w:rsidRDefault="002B4A09" w:rsidP="002B4A09">
      <w:pPr>
        <w:rPr>
          <w:b/>
          <w:bCs/>
        </w:rPr>
      </w:pPr>
      <w:r>
        <w:t>Long-term strategies help to better frame the efforts toward the 2050 goal of carbon neutrality. They place the NDCs into the context of a country’s long-term planning and development priorities and provide a vision for future development.</w:t>
      </w:r>
    </w:p>
    <w:p w14:paraId="63E170B7" w14:textId="77777777" w:rsidR="002B4A09" w:rsidRPr="002B4A09" w:rsidRDefault="002B4A09" w:rsidP="002B4A09">
      <w:pPr>
        <w:rPr>
          <w:b/>
          <w:bCs/>
          <w:smallCaps/>
        </w:rPr>
      </w:pPr>
      <w:r w:rsidRPr="002B4A09">
        <w:rPr>
          <w:b/>
          <w:bCs/>
          <w:smallCaps/>
        </w:rPr>
        <w:t>Country Engagement</w:t>
      </w:r>
    </w:p>
    <w:p w14:paraId="59D969B4" w14:textId="2F54D0F7" w:rsidR="002B4A09" w:rsidRPr="002B4A09" w:rsidRDefault="002B4A09" w:rsidP="002B4A09">
      <w:r w:rsidRPr="002B4A09">
        <w:t xml:space="preserve"> In addition, the WBG's Country Climate and Development Reports (CCDRs) are a new, core country</w:t>
      </w:r>
      <w:r w:rsidRPr="002B4A09">
        <w:t xml:space="preserve"> </w:t>
      </w:r>
      <w:r w:rsidRPr="002B4A09">
        <w:t>diagnostic product that will inform country engagement and feed into Systematic Country Diagnostics</w:t>
      </w:r>
      <w:r w:rsidRPr="002B4A09">
        <w:t xml:space="preserve"> </w:t>
      </w:r>
      <w:r w:rsidRPr="002B4A09">
        <w:t>(SCD), Country Partnership Frameworks (CPF) and operations. CCDRs often assess a country’s</w:t>
      </w:r>
      <w:r w:rsidRPr="002B4A09">
        <w:t xml:space="preserve"> </w:t>
      </w:r>
      <w:r w:rsidRPr="002B4A09">
        <w:t>potential need for key legislative, regulatory, and policy frameworks and its institutional capacity to</w:t>
      </w:r>
      <w:r w:rsidRPr="002B4A09">
        <w:t xml:space="preserve"> </w:t>
      </w:r>
      <w:r w:rsidRPr="002B4A09">
        <w:t xml:space="preserve">meet (or even exceed) its NDC targets and commitments. </w:t>
      </w:r>
    </w:p>
    <w:p w14:paraId="3B362F16" w14:textId="28B93DEE" w:rsidR="002B4A09" w:rsidRDefault="002B4A09"/>
    <w:p w14:paraId="65898C41" w14:textId="39B90420" w:rsidR="002B4A09" w:rsidRPr="002B4A09" w:rsidRDefault="002B4A09">
      <w:pPr>
        <w:rPr>
          <w:b/>
          <w:bCs/>
          <w:smallCaps/>
        </w:rPr>
      </w:pPr>
      <w:r w:rsidRPr="002B4A09">
        <w:rPr>
          <w:b/>
          <w:bCs/>
          <w:smallCaps/>
        </w:rPr>
        <w:lastRenderedPageBreak/>
        <w:t>Green and resilient infrastructure governance</w:t>
      </w:r>
    </w:p>
    <w:p w14:paraId="701A35B3" w14:textId="77777777" w:rsidR="002B4A09" w:rsidRDefault="002B4A09">
      <w:r>
        <w:t>C</w:t>
      </w:r>
      <w:r>
        <w:t>limate change calls for a transformational approach to infrastructure governance</w:t>
      </w:r>
      <w:r>
        <w:t>.</w:t>
      </w:r>
      <w:r w:rsidRPr="002B4A09">
        <w:t xml:space="preserve"> </w:t>
      </w:r>
    </w:p>
    <w:p w14:paraId="1C38BDC5" w14:textId="77777777" w:rsidR="002B4A09" w:rsidRDefault="002B4A09" w:rsidP="002B4A09">
      <w:r>
        <w:t xml:space="preserve">From </w:t>
      </w:r>
      <w:r>
        <w:t>Public Asset Management</w:t>
      </w:r>
      <w:r>
        <w:t xml:space="preserve"> (PAM) point of view, e</w:t>
      </w:r>
      <w:r>
        <w:t>xisting infrastructure assets may</w:t>
      </w:r>
      <w:r>
        <w:t xml:space="preserve"> </w:t>
      </w:r>
      <w:r>
        <w:t>need to be retrofitted, or managed</w:t>
      </w:r>
      <w:r>
        <w:t xml:space="preserve"> </w:t>
      </w:r>
      <w:r>
        <w:t>differently, given climate change.</w:t>
      </w:r>
      <w:r>
        <w:t xml:space="preserve"> </w:t>
      </w:r>
      <w:r>
        <w:t>Lastly, additional infrastructure,</w:t>
      </w:r>
      <w:r>
        <w:t xml:space="preserve"> </w:t>
      </w:r>
      <w:r>
        <w:t>such as sea walls, will need to be</w:t>
      </w:r>
      <w:r>
        <w:t xml:space="preserve"> </w:t>
      </w:r>
      <w:r>
        <w:t>constructed to address the physical</w:t>
      </w:r>
      <w:r>
        <w:t xml:space="preserve"> </w:t>
      </w:r>
      <w:r>
        <w:t>impacts of climate change. This</w:t>
      </w:r>
      <w:r>
        <w:t xml:space="preserve"> </w:t>
      </w:r>
      <w:r>
        <w:t>additional infrastructure can</w:t>
      </w:r>
      <w:r>
        <w:t xml:space="preserve"> </w:t>
      </w:r>
      <w:r>
        <w:t>include traditional infrastructure,</w:t>
      </w:r>
      <w:r>
        <w:t xml:space="preserve"> </w:t>
      </w:r>
      <w:r>
        <w:t>such as hard defenses and other</w:t>
      </w:r>
      <w:r>
        <w:t xml:space="preserve"> </w:t>
      </w:r>
      <w:r>
        <w:t>engineered solutions, as well as</w:t>
      </w:r>
      <w:r>
        <w:t xml:space="preserve"> </w:t>
      </w:r>
      <w:r>
        <w:t>natural infrastructure, such as</w:t>
      </w:r>
      <w:r>
        <w:t xml:space="preserve"> </w:t>
      </w:r>
      <w:r>
        <w:t xml:space="preserve">wetlands and other </w:t>
      </w:r>
      <w:r>
        <w:t xml:space="preserve">nature-based </w:t>
      </w:r>
      <w:r>
        <w:t>solutions</w:t>
      </w:r>
      <w:r>
        <w:t>.</w:t>
      </w:r>
    </w:p>
    <w:p w14:paraId="40321776" w14:textId="5B7E73F1" w:rsidR="002B4A09" w:rsidRDefault="002B4A09" w:rsidP="002B4A09">
      <w:r>
        <w:t>The Public Investment Management (PIM) stresses that n</w:t>
      </w:r>
      <w:r>
        <w:t>ew infrastructure assets should</w:t>
      </w:r>
      <w:r>
        <w:t xml:space="preserve"> </w:t>
      </w:r>
      <w:r>
        <w:t>be prioritized, planned, designed,</w:t>
      </w:r>
      <w:r>
        <w:t xml:space="preserve"> built,</w:t>
      </w:r>
      <w:r>
        <w:t xml:space="preserve"> and operated to account for</w:t>
      </w:r>
      <w:r>
        <w:t xml:space="preserve"> </w:t>
      </w:r>
      <w:r>
        <w:t>the climate changes that may</w:t>
      </w:r>
      <w:r>
        <w:t xml:space="preserve"> </w:t>
      </w:r>
      <w:r>
        <w:t>occur over their lifetimes</w:t>
      </w:r>
      <w:r>
        <w:t>.</w:t>
      </w:r>
    </w:p>
    <w:p w14:paraId="481E0854" w14:textId="1D32CDAD" w:rsidR="002B4A09" w:rsidRDefault="002B4A09">
      <w:r>
        <w:t>The World Bank works on</w:t>
      </w:r>
      <w:r>
        <w:t xml:space="preserve"> </w:t>
      </w:r>
      <w:r>
        <w:t>i</w:t>
      </w:r>
      <w:r>
        <w:t>mproving understanding of climate change related risks and supporting decision making with evidence-based assessments</w:t>
      </w:r>
      <w:r>
        <w:t>,</w:t>
      </w:r>
      <w:r>
        <w:t xml:space="preserve"> </w:t>
      </w:r>
      <w:r>
        <w:t>c</w:t>
      </w:r>
      <w:r>
        <w:t>hanges to PIM diagnostic and PIMA to include Climate Change aspects</w:t>
      </w:r>
      <w:r>
        <w:t>, e</w:t>
      </w:r>
      <w:r>
        <w:t>nabling climate resilience through policy and regulation</w:t>
      </w:r>
      <w:r>
        <w:t>,</w:t>
      </w:r>
      <w:r>
        <w:t xml:space="preserve"> </w:t>
      </w:r>
      <w:r>
        <w:t>m</w:t>
      </w:r>
      <w:r>
        <w:t>obiliz</w:t>
      </w:r>
      <w:r>
        <w:t>e</w:t>
      </w:r>
      <w:r>
        <w:t xml:space="preserve"> investment in climate-resilient infrastructure</w:t>
      </w:r>
      <w:r>
        <w:t>, m</w:t>
      </w:r>
      <w:r>
        <w:t>ainstreaming climate resilience at the project investment level (PIM with climate change filter, subnational PIM with climate change filter)</w:t>
      </w:r>
      <w:r>
        <w:t>, and encourage</w:t>
      </w:r>
      <w:r>
        <w:t xml:space="preserve"> </w:t>
      </w:r>
      <w:r>
        <w:t>p</w:t>
      </w:r>
      <w:r>
        <w:t>rivate financing (integrating climate resilience into PPP)</w:t>
      </w:r>
      <w:r>
        <w:t>.</w:t>
      </w:r>
    </w:p>
    <w:p w14:paraId="26185794" w14:textId="090F6B84" w:rsidR="002B4A09" w:rsidRPr="002B4A09" w:rsidRDefault="002B4A09" w:rsidP="002B4A09">
      <w:pPr>
        <w:pStyle w:val="Default"/>
      </w:pPr>
      <w:r w:rsidRPr="002B4A09">
        <w:rPr>
          <w:rFonts w:asciiTheme="minorHAnsi" w:hAnsiTheme="minorHAnsi" w:cstheme="minorBidi"/>
          <w:color w:val="auto"/>
          <w:sz w:val="22"/>
          <w:szCs w:val="22"/>
        </w:rPr>
        <w:t>The World Bank also looks into m</w:t>
      </w:r>
      <w:r w:rsidRPr="002B4A09">
        <w:rPr>
          <w:rFonts w:asciiTheme="minorHAnsi" w:hAnsiTheme="minorHAnsi" w:cstheme="minorBidi"/>
          <w:color w:val="auto"/>
          <w:sz w:val="22"/>
          <w:szCs w:val="22"/>
        </w:rPr>
        <w:t>ainstreaming disruptive tech</w:t>
      </w:r>
      <w:r w:rsidRPr="002B4A09">
        <w:rPr>
          <w:rFonts w:asciiTheme="minorHAnsi" w:hAnsiTheme="minorHAnsi" w:cstheme="minorBidi"/>
          <w:color w:val="auto"/>
          <w:sz w:val="22"/>
          <w:szCs w:val="22"/>
        </w:rPr>
        <w:t xml:space="preserve"> – focused on digitalization</w:t>
      </w:r>
      <w:r w:rsidRPr="002B4A09">
        <w:rPr>
          <w:rFonts w:asciiTheme="minorHAnsi" w:hAnsiTheme="minorHAnsi" w:cstheme="minorBidi"/>
          <w:color w:val="auto"/>
          <w:sz w:val="22"/>
          <w:szCs w:val="22"/>
        </w:rPr>
        <w:t xml:space="preserve"> for</w:t>
      </w:r>
      <w:r w:rsidRPr="002B4A09">
        <w:rPr>
          <w:rFonts w:asciiTheme="minorHAnsi" w:hAnsiTheme="minorHAnsi" w:cstheme="minorBidi"/>
          <w:color w:val="auto"/>
          <w:sz w:val="22"/>
          <w:szCs w:val="22"/>
        </w:rPr>
        <w:t xml:space="preserve"> </w:t>
      </w:r>
      <w:r w:rsidRPr="002B4A09">
        <w:rPr>
          <w:rFonts w:asciiTheme="minorHAnsi" w:hAnsiTheme="minorHAnsi" w:cstheme="minorBidi"/>
          <w:color w:val="auto"/>
          <w:sz w:val="22"/>
          <w:szCs w:val="22"/>
        </w:rPr>
        <w:t>public assets and investments governance</w:t>
      </w:r>
      <w:r w:rsidRPr="002B4A09">
        <w:rPr>
          <w:rFonts w:asciiTheme="minorHAnsi" w:hAnsiTheme="minorHAnsi" w:cstheme="minorBidi"/>
          <w:color w:val="auto"/>
          <w:sz w:val="22"/>
          <w:szCs w:val="22"/>
        </w:rPr>
        <w:t xml:space="preserve">. </w:t>
      </w:r>
    </w:p>
    <w:p w14:paraId="51106B20" w14:textId="2F9C5AE1" w:rsidR="002B4A09" w:rsidRPr="002B4A09" w:rsidRDefault="002B4A09" w:rsidP="002B4A09">
      <w:pPr>
        <w:spacing w:before="100" w:beforeAutospacing="1" w:after="100" w:afterAutospacing="1"/>
        <w:rPr>
          <w:b/>
          <w:bCs/>
          <w:smallCaps/>
        </w:rPr>
      </w:pPr>
      <w:r w:rsidRPr="002B4A09">
        <w:rPr>
          <w:b/>
          <w:bCs/>
          <w:smallCaps/>
        </w:rPr>
        <w:t>Green and resilient public financial management</w:t>
      </w:r>
    </w:p>
    <w:p w14:paraId="7DF15AF4" w14:textId="1AF8AC7D" w:rsidR="002B4A09" w:rsidRPr="002B4A09" w:rsidRDefault="002B4A09" w:rsidP="002B4A09">
      <w:pPr>
        <w:spacing w:before="100" w:beforeAutospacing="1" w:after="100" w:afterAutospacing="1"/>
      </w:pPr>
      <w:r>
        <w:t>_____________________________________________________________________________________</w:t>
      </w:r>
      <w:r>
        <w:br/>
      </w:r>
      <w:r w:rsidRPr="002B4A09">
        <w:rPr>
          <w:b/>
          <w:bCs/>
          <w:smallCaps/>
        </w:rPr>
        <w:t>Green public procurement</w:t>
      </w:r>
      <w:r w:rsidRPr="002B4A09">
        <w:rPr>
          <w:b/>
          <w:bCs/>
          <w:smallCaps/>
        </w:rPr>
        <w:br/>
      </w:r>
      <w:r>
        <w:t xml:space="preserve">Green public procurement (GPP) is a powerful instrument in public sector. In institutional dimension the governments can support green market development by providing information, capacity building, financing, and fiscal incentives.  </w:t>
      </w:r>
    </w:p>
    <w:p w14:paraId="26C8C9DF" w14:textId="7FF53B50" w:rsidR="002B4A09" w:rsidRDefault="002B4A09" w:rsidP="002B4A09">
      <w:pPr>
        <w:spacing w:before="100" w:beforeAutospacing="1" w:after="100" w:afterAutospacing="1"/>
      </w:pPr>
      <w:r>
        <w:t xml:space="preserve">The World Bank enabling framework objective is to transform GPP from a pilot activity into policy and support implementation across the public sector. </w:t>
      </w:r>
    </w:p>
    <w:p w14:paraId="73547E77" w14:textId="39CF6520" w:rsidR="002B4A09" w:rsidRDefault="002B4A09" w:rsidP="002B4A09">
      <w:pPr>
        <w:spacing w:before="100" w:beforeAutospacing="1" w:after="100" w:afterAutospacing="1"/>
      </w:pPr>
      <w:r>
        <w:t xml:space="preserve">The elements of GPP include organization, regulation, incentives, monitoring and reporting, capacity building and technical support. GPP capacity building programs should equip public procurers with motivation and incentives to procure green, as well as inform about environmental and economic benefits of procuring green. The procurers should be guided on what constitutes green goods, services and work. </w:t>
      </w:r>
    </w:p>
    <w:p w14:paraId="426844A7" w14:textId="38780C90" w:rsidR="002B4A09" w:rsidRPr="002B4A09" w:rsidRDefault="002B4A09" w:rsidP="002B4A09">
      <w:pPr>
        <w:spacing w:before="100" w:beforeAutospacing="1" w:after="100" w:afterAutospacing="1"/>
        <w:rPr>
          <w:b/>
          <w:bCs/>
          <w:smallCaps/>
        </w:rPr>
      </w:pPr>
      <w:r w:rsidRPr="002B4A09">
        <w:rPr>
          <w:b/>
          <w:bCs/>
          <w:smallCaps/>
        </w:rPr>
        <w:t>Green and resilient state-owned enterprises</w:t>
      </w:r>
    </w:p>
    <w:p w14:paraId="7086CB7F" w14:textId="3EF957A7" w:rsidR="002B4A09" w:rsidRDefault="002B4A09" w:rsidP="002B4A09">
      <w:pPr>
        <w:spacing w:before="100" w:beforeAutospacing="1" w:after="100" w:afterAutospacing="1"/>
      </w:pPr>
      <w:r>
        <w:t xml:space="preserve">In most countries, state-owned enterprises (SOEs) play a strategic and significant economic role and deliver many essential services. They are therefore also important economic actors in achieving national and international climate mitigation and adaptation goals. SOEs should thus play an instrumental role in assisting governments in meeting their climate change commitments by taking appropriate impactful </w:t>
      </w:r>
      <w:r>
        <w:lastRenderedPageBreak/>
        <w:t xml:space="preserve">actions to prevent climate change and the resulting environmental damage. For SOE regulators, this means ensuring that SOEs are taking effective steps within the management of their organizations to understand and minimize their climate impacts and to adapt to those changes that are now unavoidable. This would entail </w:t>
      </w:r>
      <w:r>
        <w:t>those owners and regulators</w:t>
      </w:r>
      <w:r>
        <w:t xml:space="preserve"> require SOEs to create climate mitigation and adaptation strategies and to consider whether their governance models, strategies, and performance metrics and targets enable them to take the appropriate actions to protect their businesses and the services they deliver.</w:t>
      </w:r>
    </w:p>
    <w:p w14:paraId="6CDE3A4B" w14:textId="7AC10FD4" w:rsidR="002B4A09" w:rsidRPr="002B4A09" w:rsidRDefault="002B4A09" w:rsidP="002B4A09">
      <w:pPr>
        <w:spacing w:before="100" w:beforeAutospacing="1" w:after="100" w:afterAutospacing="1"/>
        <w:rPr>
          <w:b/>
          <w:bCs/>
          <w:smallCaps/>
        </w:rPr>
      </w:pPr>
      <w:r>
        <w:t xml:space="preserve">The World Bank developed </w:t>
      </w:r>
      <w:r>
        <w:t>the Climate-Related Management and Financial Disclosures for State-Owned Enterprises Toolkit. This mechanism can assist SOE boards and senior management to strategically identify and manage physical, transition, and litigation risks; to benefit from climate-related opportunities; and to appropriately report on the financial impact of adaption and mitigation actions. SOE owners and regulators should play an instrumental role in instituting these requirements and supporting SOEs to implement them.</w:t>
      </w:r>
    </w:p>
    <w:p w14:paraId="2E1C6EA3" w14:textId="190997F8" w:rsidR="002B4A09" w:rsidRPr="002B4A09" w:rsidRDefault="002B4A09" w:rsidP="002B4A09">
      <w:pPr>
        <w:spacing w:before="100" w:beforeAutospacing="1" w:after="100" w:afterAutospacing="1"/>
        <w:rPr>
          <w:b/>
          <w:bCs/>
          <w:smallCaps/>
        </w:rPr>
      </w:pPr>
      <w:r w:rsidRPr="002B4A09">
        <w:rPr>
          <w:b/>
          <w:bCs/>
          <w:smallCaps/>
        </w:rPr>
        <w:t>Subnational governance and climate change policy</w:t>
      </w:r>
    </w:p>
    <w:p w14:paraId="59E04BC7" w14:textId="53D4ECA7" w:rsidR="002B4A09" w:rsidRPr="002B4A09" w:rsidRDefault="002B4A09" w:rsidP="002B4A09">
      <w:pPr>
        <w:spacing w:before="100" w:beforeAutospacing="1" w:after="100" w:afterAutospacing="1"/>
      </w:pPr>
      <w:r w:rsidRPr="002B4A09">
        <w:t>Mobilizing all levels of government has long been recognized as a vital tool in climate action. </w:t>
      </w:r>
      <w:r w:rsidRPr="002B4A09">
        <w:t>T</w:t>
      </w:r>
      <w:r w:rsidRPr="002B4A09">
        <w:t>he starting point of World Bank's Subnational Governance and Decentralization Global Solution Group’s work on decentralization and climate change – is that both the theory and practice of climate change and decentralization have suffered from a partial and fragmented approach that undermines the comprehensive and strategic sequencing required for subnational climate action.</w:t>
      </w:r>
    </w:p>
    <w:p w14:paraId="20AB653C" w14:textId="32C8E9A6" w:rsidR="002B4A09" w:rsidRPr="002B4A09" w:rsidRDefault="002B4A09" w:rsidP="002B4A09">
      <w:pPr>
        <w:spacing w:before="100" w:beforeAutospacing="1" w:after="100" w:afterAutospacing="1"/>
      </w:pPr>
      <w:r w:rsidRPr="002B4A09">
        <w:t xml:space="preserve">There are </w:t>
      </w:r>
      <w:r w:rsidRPr="002B4A09">
        <w:t>four pillars of fiscal decentralization architecture: the assignment of functional expenditure responsibilities, the assignment of tax and other revenue sources, the systems of intergovernmental transfers, and subnational credit and borrowing.       </w:t>
      </w:r>
    </w:p>
    <w:p w14:paraId="6A578363" w14:textId="1CCDAF9E" w:rsidR="002B4A09" w:rsidRPr="002B4A09" w:rsidRDefault="002B4A09" w:rsidP="002B4A09">
      <w:pPr>
        <w:spacing w:before="100" w:beforeAutospacing="1" w:after="100" w:afterAutospacing="1"/>
      </w:pPr>
      <w:r w:rsidRPr="002B4A09">
        <w:t>Although some countries provide the central government with exclusive responsibility for these tasks, a greater number of nations assign joint responsibility to the central government and to the SNGs. Allowing subnational units to exceed national targets is a superior approach because it is best adapted to the peculiarities of climate change policies in a multilevel government setting.      </w:t>
      </w:r>
    </w:p>
    <w:p w14:paraId="3A586FF1" w14:textId="19D707E2" w:rsidR="002B4A09" w:rsidRPr="002B4A09" w:rsidRDefault="002B4A09" w:rsidP="002B4A09">
      <w:pPr>
        <w:spacing w:before="100" w:beforeAutospacing="1" w:after="100" w:afterAutospacing="1"/>
      </w:pPr>
      <w:r w:rsidRPr="002B4A09">
        <w:t xml:space="preserve">In terms of raising revenue, green taxation remains at very low levels in most countries around the world, which provides ample space for both central governments and SNGs to make much more extensive use of this type of levy. </w:t>
      </w:r>
    </w:p>
    <w:p w14:paraId="6DCB3781" w14:textId="33DD52DD" w:rsidR="002B4A09" w:rsidRDefault="002B4A09" w:rsidP="002B4A09">
      <w:pPr>
        <w:spacing w:before="100" w:beforeAutospacing="1" w:after="100" w:afterAutospacing="1"/>
      </w:pPr>
      <w:r w:rsidRPr="002B4A09">
        <w:t>Intergovernmental fiscal transfers are likely the most suitable financing instrument for decarbonization and adaptation programs. Conditional grants, for recurrent and capital expenditures, are generally well equipped for designing and implementing climate-specific transfers to SNGs. Conditional transfers can be used to compensate local jurisdictions for internalizing different types of externalities, to incentivize different conservation activities, to promote energy efficiency or to introduce land-use restrictions to prevent flooding damages.</w:t>
      </w:r>
    </w:p>
    <w:p w14:paraId="2017D665" w14:textId="0E6814FF" w:rsidR="002B4A09" w:rsidRPr="002B4A09" w:rsidRDefault="002B4A09" w:rsidP="002B4A09">
      <w:pPr>
        <w:spacing w:before="100" w:beforeAutospacing="1" w:after="100" w:afterAutospacing="1"/>
      </w:pPr>
      <w:r w:rsidRPr="002B4A09">
        <w:t xml:space="preserve">Finally, local borrowing can be a powerful financing instrument to enable SNGs to invest in infrastructure projects for decarbonization and adaptation activities. Provided that borrowing is prudent </w:t>
      </w:r>
      <w:r w:rsidRPr="002B4A09">
        <w:lastRenderedPageBreak/>
        <w:t>and within bounds, this form of financing is in general desirable from both efficiency and equity perspectives. These conclusions hold even more true for funding green infrastructure investments. The most encouraging recent development has been the introduction of green bonds (also known as climate bonds). These instruments often offer tax advantages, such as exemptions and credits, making them more attractive to investors relative to other types of bonds, while they are backed by the full faith and credit of the issuing SNG government.</w:t>
      </w:r>
    </w:p>
    <w:p w14:paraId="3834FDD4" w14:textId="6BF2DE23" w:rsidR="002B4A09" w:rsidRPr="002B4A09" w:rsidRDefault="002B4A09" w:rsidP="002B4A09">
      <w:pPr>
        <w:spacing w:before="100" w:beforeAutospacing="1" w:after="100" w:afterAutospacing="1"/>
        <w:rPr>
          <w:b/>
          <w:bCs/>
          <w:smallCaps/>
        </w:rPr>
      </w:pPr>
      <w:r w:rsidRPr="002B4A09">
        <w:rPr>
          <w:b/>
          <w:bCs/>
          <w:smallCaps/>
        </w:rPr>
        <w:t>Open government and the political economy of climate change reform</w:t>
      </w:r>
    </w:p>
    <w:p w14:paraId="585774C0" w14:textId="77777777" w:rsidR="002B4A09" w:rsidRDefault="002B4A09" w:rsidP="002B4A09">
      <w:pPr>
        <w:spacing w:before="100" w:beforeAutospacing="1" w:after="100" w:afterAutospacing="1"/>
      </w:pPr>
      <w:r w:rsidRPr="002B4A09">
        <w:t>The open government principles of participation, accountability and transparency can play an important role in supporting the climate change agenda</w:t>
      </w:r>
      <w:r>
        <w:t xml:space="preserve"> by improving legitimacy and trust, enabling informed policy dialogue, facilitate implementation, and reinforce sustainability and long-term commitment. </w:t>
      </w:r>
    </w:p>
    <w:p w14:paraId="222152E6" w14:textId="77777777" w:rsidR="002B4A09" w:rsidRDefault="002B4A09" w:rsidP="002B4A09">
      <w:pPr>
        <w:spacing w:before="100" w:beforeAutospacing="1" w:after="100" w:afterAutospacing="1"/>
      </w:pPr>
      <w:r w:rsidRPr="002B4A09">
        <w:t>Accountability mechanisms allow the public to demand results, policy compliance and service delivery from the government. Accountability mechanisms are important to demand more ambitious climate targets or more decisive action on commitments</w:t>
      </w:r>
      <w:r>
        <w:t xml:space="preserve"> under citizens control and auditing</w:t>
      </w:r>
      <w:r w:rsidRPr="002B4A09">
        <w:t>.</w:t>
      </w:r>
    </w:p>
    <w:p w14:paraId="6BF52E64" w14:textId="2F6F96EA" w:rsidR="002B4A09" w:rsidRPr="002B4A09" w:rsidRDefault="002B4A09" w:rsidP="002B4A09">
      <w:pPr>
        <w:spacing w:before="100" w:beforeAutospacing="1" w:after="100" w:afterAutospacing="1"/>
      </w:pPr>
      <w:r w:rsidRPr="002B4A09">
        <w:t>Transparency of regulatory frameworks and planning instruments, including risk assessments</w:t>
      </w:r>
      <w:r>
        <w:t>, t</w:t>
      </w:r>
      <w:r w:rsidRPr="002B4A09">
        <w:t>ransparency of budgeting and fiscal policy</w:t>
      </w:r>
      <w:r>
        <w:t>, t</w:t>
      </w:r>
      <w:r w:rsidRPr="002B4A09">
        <w:t>ransparency of measurement, reporting and verification</w:t>
      </w:r>
      <w:r>
        <w:t xml:space="preserve"> </w:t>
      </w:r>
      <w:r w:rsidRPr="002B4A09">
        <w:t>is crucial to engage citizens, to generate trust and to enable collective action.</w:t>
      </w:r>
    </w:p>
    <w:p w14:paraId="5F40D5EE" w14:textId="5AAE0647" w:rsidR="002B4A09" w:rsidRPr="002B4A09" w:rsidRDefault="002B4A09" w:rsidP="002B4A09">
      <w:pPr>
        <w:spacing w:beforeAutospacing="1" w:after="100" w:afterAutospacing="1"/>
      </w:pPr>
      <w:r>
        <w:t xml:space="preserve">Under the </w:t>
      </w:r>
      <w:proofErr w:type="spellStart"/>
      <w:r>
        <w:t>States</w:t>
      </w:r>
      <w:proofErr w:type="spellEnd"/>
      <w:r>
        <w:t xml:space="preserve"> Fiscal Transparency, Accountability and Sustainability (SFTAS) Additional Financing for Covid-19 Response </w:t>
      </w:r>
      <w:proofErr w:type="spellStart"/>
      <w:r>
        <w:t>PfoR</w:t>
      </w:r>
      <w:proofErr w:type="spellEnd"/>
      <w:r>
        <w:t xml:space="preserve"> supports the 36 fiscally autonomous states to include climate change budget tagging (CCBT) in their FY2021 and FY2022 Annual Budgets and subsequent presentation in their Citizens Budgets and reporting in budget implementation reports</w:t>
      </w:r>
      <w:r>
        <w:t xml:space="preserve">. </w:t>
      </w:r>
      <w:r>
        <w:t xml:space="preserve">To enhance effectiveness, </w:t>
      </w:r>
      <w:r>
        <w:t>it</w:t>
      </w:r>
      <w:r>
        <w:t xml:space="preserve"> also supports green and climate sensitive procurement approaches</w:t>
      </w:r>
      <w:r>
        <w:t>, e</w:t>
      </w:r>
      <w:r>
        <w:t>nable policy makers in the States to obtain a better understanding on (</w:t>
      </w:r>
      <w:proofErr w:type="spellStart"/>
      <w:r>
        <w:t>i</w:t>
      </w:r>
      <w:proofErr w:type="spellEnd"/>
      <w:r>
        <w:t>) the funding of its climate response, (ii) how priorities shift across budget cycles, and (iii) to uncover potential gaps and areas for improved coordination</w:t>
      </w:r>
    </w:p>
    <w:p w14:paraId="33355299" w14:textId="4BD4D41B" w:rsidR="002B4A09" w:rsidRPr="002B4A09" w:rsidRDefault="002B4A09" w:rsidP="002B4A09">
      <w:pPr>
        <w:spacing w:before="100" w:beforeAutospacing="1" w:after="100" w:afterAutospacing="1"/>
        <w:rPr>
          <w:b/>
          <w:bCs/>
          <w:smallCaps/>
        </w:rPr>
      </w:pPr>
      <w:r w:rsidRPr="002B4A09">
        <w:rPr>
          <w:b/>
          <w:bCs/>
          <w:smallCaps/>
        </w:rPr>
        <w:t xml:space="preserve">Green </w:t>
      </w:r>
      <w:proofErr w:type="spellStart"/>
      <w:r w:rsidRPr="002B4A09">
        <w:rPr>
          <w:b/>
          <w:bCs/>
          <w:smallCaps/>
        </w:rPr>
        <w:t>GovTech</w:t>
      </w:r>
      <w:proofErr w:type="spellEnd"/>
    </w:p>
    <w:p w14:paraId="0A060D8D" w14:textId="7EA485C5" w:rsidR="002B4A09" w:rsidRDefault="002B4A09" w:rsidP="002B4A09">
      <w:pPr>
        <w:shd w:val="clear" w:color="auto" w:fill="FFFFFF"/>
        <w:spacing w:after="240" w:line="240" w:lineRule="auto"/>
      </w:pPr>
      <w:proofErr w:type="spellStart"/>
      <w:r w:rsidRPr="002B4A09">
        <w:t>GovTech</w:t>
      </w:r>
      <w:proofErr w:type="spellEnd"/>
      <w:r w:rsidRPr="002B4A09">
        <w:t xml:space="preserve"> is a whole-of-government approach to public sector modernization and promotes simple, </w:t>
      </w:r>
      <w:r w:rsidRPr="002B4A09">
        <w:t>efficient,</w:t>
      </w:r>
      <w:r w:rsidRPr="002B4A09">
        <w:t xml:space="preserve"> and transparent government with the citizen at the center of reforms.</w:t>
      </w:r>
      <w:r>
        <w:t xml:space="preserve"> </w:t>
      </w:r>
      <w:r>
        <w:t xml:space="preserve">Efficiency, savings, and public service delivery are important for managing fiscal constraints, debt, and citizen expectations, while Covid 19 has amplified the importance of resilient government operations and job creation. The </w:t>
      </w:r>
      <w:proofErr w:type="spellStart"/>
      <w:r>
        <w:t>GovTech</w:t>
      </w:r>
      <w:proofErr w:type="spellEnd"/>
      <w:r>
        <w:t xml:space="preserve"> Strategic Plan, therefore, will focus on these areas for the next couple of fiscal years by using </w:t>
      </w:r>
      <w:proofErr w:type="spellStart"/>
      <w:r>
        <w:t>GovTech</w:t>
      </w:r>
      <w:proofErr w:type="spellEnd"/>
      <w:r>
        <w:t xml:space="preserve"> drivers as pillars for action</w:t>
      </w:r>
      <w:r>
        <w:t xml:space="preserve"> including climate and green agenda</w:t>
      </w:r>
      <w:r>
        <w:t>.</w:t>
      </w:r>
    </w:p>
    <w:p w14:paraId="08907DC1" w14:textId="2A3504FE" w:rsidR="002B4A09" w:rsidRDefault="002B4A09"/>
    <w:p w14:paraId="4F0D60BC" w14:textId="4F44EBAE" w:rsidR="002B4A09" w:rsidRDefault="002B4A09"/>
    <w:p w14:paraId="15800E90" w14:textId="77777777" w:rsidR="002B4A09" w:rsidRDefault="002B4A09"/>
    <w:sectPr w:rsidR="002B4A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4F455" w14:textId="77777777" w:rsidR="002B4A09" w:rsidRDefault="002B4A09" w:rsidP="002B4A09">
      <w:pPr>
        <w:spacing w:after="0" w:line="240" w:lineRule="auto"/>
      </w:pPr>
      <w:r>
        <w:separator/>
      </w:r>
    </w:p>
  </w:endnote>
  <w:endnote w:type="continuationSeparator" w:id="0">
    <w:p w14:paraId="0C491D46" w14:textId="77777777" w:rsidR="002B4A09" w:rsidRDefault="002B4A09" w:rsidP="002B4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C84FD" w14:textId="77777777" w:rsidR="002B4A09" w:rsidRDefault="002B4A09" w:rsidP="002B4A09">
      <w:pPr>
        <w:spacing w:after="0" w:line="240" w:lineRule="auto"/>
      </w:pPr>
      <w:r>
        <w:separator/>
      </w:r>
    </w:p>
  </w:footnote>
  <w:footnote w:type="continuationSeparator" w:id="0">
    <w:p w14:paraId="704A79FF" w14:textId="77777777" w:rsidR="002B4A09" w:rsidRDefault="002B4A09" w:rsidP="002B4A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B54F6"/>
    <w:multiLevelType w:val="hybridMultilevel"/>
    <w:tmpl w:val="691AA438"/>
    <w:lvl w:ilvl="0" w:tplc="76C85880">
      <w:start w:val="1"/>
      <w:numFmt w:val="bullet"/>
      <w:lvlText w:val="•"/>
      <w:lvlJc w:val="left"/>
      <w:pPr>
        <w:tabs>
          <w:tab w:val="num" w:pos="720"/>
        </w:tabs>
        <w:ind w:left="720" w:hanging="360"/>
      </w:pPr>
      <w:rPr>
        <w:rFonts w:ascii="Arial" w:hAnsi="Arial" w:hint="default"/>
      </w:rPr>
    </w:lvl>
    <w:lvl w:ilvl="1" w:tplc="9976B122">
      <w:start w:val="1"/>
      <w:numFmt w:val="bullet"/>
      <w:lvlText w:val="•"/>
      <w:lvlJc w:val="left"/>
      <w:pPr>
        <w:tabs>
          <w:tab w:val="num" w:pos="1440"/>
        </w:tabs>
        <w:ind w:left="1440" w:hanging="360"/>
      </w:pPr>
      <w:rPr>
        <w:rFonts w:ascii="Arial" w:hAnsi="Arial" w:hint="default"/>
      </w:rPr>
    </w:lvl>
    <w:lvl w:ilvl="2" w:tplc="0E040E6E" w:tentative="1">
      <w:start w:val="1"/>
      <w:numFmt w:val="bullet"/>
      <w:lvlText w:val="•"/>
      <w:lvlJc w:val="left"/>
      <w:pPr>
        <w:tabs>
          <w:tab w:val="num" w:pos="2160"/>
        </w:tabs>
        <w:ind w:left="2160" w:hanging="360"/>
      </w:pPr>
      <w:rPr>
        <w:rFonts w:ascii="Arial" w:hAnsi="Arial" w:hint="default"/>
      </w:rPr>
    </w:lvl>
    <w:lvl w:ilvl="3" w:tplc="CDA8554C" w:tentative="1">
      <w:start w:val="1"/>
      <w:numFmt w:val="bullet"/>
      <w:lvlText w:val="•"/>
      <w:lvlJc w:val="left"/>
      <w:pPr>
        <w:tabs>
          <w:tab w:val="num" w:pos="2880"/>
        </w:tabs>
        <w:ind w:left="2880" w:hanging="360"/>
      </w:pPr>
      <w:rPr>
        <w:rFonts w:ascii="Arial" w:hAnsi="Arial" w:hint="default"/>
      </w:rPr>
    </w:lvl>
    <w:lvl w:ilvl="4" w:tplc="D6BA39D2" w:tentative="1">
      <w:start w:val="1"/>
      <w:numFmt w:val="bullet"/>
      <w:lvlText w:val="•"/>
      <w:lvlJc w:val="left"/>
      <w:pPr>
        <w:tabs>
          <w:tab w:val="num" w:pos="3600"/>
        </w:tabs>
        <w:ind w:left="3600" w:hanging="360"/>
      </w:pPr>
      <w:rPr>
        <w:rFonts w:ascii="Arial" w:hAnsi="Arial" w:hint="default"/>
      </w:rPr>
    </w:lvl>
    <w:lvl w:ilvl="5" w:tplc="8362F020" w:tentative="1">
      <w:start w:val="1"/>
      <w:numFmt w:val="bullet"/>
      <w:lvlText w:val="•"/>
      <w:lvlJc w:val="left"/>
      <w:pPr>
        <w:tabs>
          <w:tab w:val="num" w:pos="4320"/>
        </w:tabs>
        <w:ind w:left="4320" w:hanging="360"/>
      </w:pPr>
      <w:rPr>
        <w:rFonts w:ascii="Arial" w:hAnsi="Arial" w:hint="default"/>
      </w:rPr>
    </w:lvl>
    <w:lvl w:ilvl="6" w:tplc="A9D26E06" w:tentative="1">
      <w:start w:val="1"/>
      <w:numFmt w:val="bullet"/>
      <w:lvlText w:val="•"/>
      <w:lvlJc w:val="left"/>
      <w:pPr>
        <w:tabs>
          <w:tab w:val="num" w:pos="5040"/>
        </w:tabs>
        <w:ind w:left="5040" w:hanging="360"/>
      </w:pPr>
      <w:rPr>
        <w:rFonts w:ascii="Arial" w:hAnsi="Arial" w:hint="default"/>
      </w:rPr>
    </w:lvl>
    <w:lvl w:ilvl="7" w:tplc="51849E5A" w:tentative="1">
      <w:start w:val="1"/>
      <w:numFmt w:val="bullet"/>
      <w:lvlText w:val="•"/>
      <w:lvlJc w:val="left"/>
      <w:pPr>
        <w:tabs>
          <w:tab w:val="num" w:pos="5760"/>
        </w:tabs>
        <w:ind w:left="5760" w:hanging="360"/>
      </w:pPr>
      <w:rPr>
        <w:rFonts w:ascii="Arial" w:hAnsi="Arial" w:hint="default"/>
      </w:rPr>
    </w:lvl>
    <w:lvl w:ilvl="8" w:tplc="48F4468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C2D5AD9"/>
    <w:multiLevelType w:val="hybridMultilevel"/>
    <w:tmpl w:val="E0D83D10"/>
    <w:lvl w:ilvl="0" w:tplc="DA10112E">
      <w:start w:val="1"/>
      <w:numFmt w:val="bullet"/>
      <w:lvlText w:val="•"/>
      <w:lvlJc w:val="left"/>
      <w:pPr>
        <w:tabs>
          <w:tab w:val="num" w:pos="720"/>
        </w:tabs>
        <w:ind w:left="720" w:hanging="360"/>
      </w:pPr>
      <w:rPr>
        <w:rFonts w:ascii="Arial" w:hAnsi="Arial" w:hint="default"/>
      </w:rPr>
    </w:lvl>
    <w:lvl w:ilvl="1" w:tplc="74544A20" w:tentative="1">
      <w:start w:val="1"/>
      <w:numFmt w:val="bullet"/>
      <w:lvlText w:val="•"/>
      <w:lvlJc w:val="left"/>
      <w:pPr>
        <w:tabs>
          <w:tab w:val="num" w:pos="1440"/>
        </w:tabs>
        <w:ind w:left="1440" w:hanging="360"/>
      </w:pPr>
      <w:rPr>
        <w:rFonts w:ascii="Arial" w:hAnsi="Arial" w:hint="default"/>
      </w:rPr>
    </w:lvl>
    <w:lvl w:ilvl="2" w:tplc="00BA3112" w:tentative="1">
      <w:start w:val="1"/>
      <w:numFmt w:val="bullet"/>
      <w:lvlText w:val="•"/>
      <w:lvlJc w:val="left"/>
      <w:pPr>
        <w:tabs>
          <w:tab w:val="num" w:pos="2160"/>
        </w:tabs>
        <w:ind w:left="2160" w:hanging="360"/>
      </w:pPr>
      <w:rPr>
        <w:rFonts w:ascii="Arial" w:hAnsi="Arial" w:hint="default"/>
      </w:rPr>
    </w:lvl>
    <w:lvl w:ilvl="3" w:tplc="D0A24B7A" w:tentative="1">
      <w:start w:val="1"/>
      <w:numFmt w:val="bullet"/>
      <w:lvlText w:val="•"/>
      <w:lvlJc w:val="left"/>
      <w:pPr>
        <w:tabs>
          <w:tab w:val="num" w:pos="2880"/>
        </w:tabs>
        <w:ind w:left="2880" w:hanging="360"/>
      </w:pPr>
      <w:rPr>
        <w:rFonts w:ascii="Arial" w:hAnsi="Arial" w:hint="default"/>
      </w:rPr>
    </w:lvl>
    <w:lvl w:ilvl="4" w:tplc="06321B28" w:tentative="1">
      <w:start w:val="1"/>
      <w:numFmt w:val="bullet"/>
      <w:lvlText w:val="•"/>
      <w:lvlJc w:val="left"/>
      <w:pPr>
        <w:tabs>
          <w:tab w:val="num" w:pos="3600"/>
        </w:tabs>
        <w:ind w:left="3600" w:hanging="360"/>
      </w:pPr>
      <w:rPr>
        <w:rFonts w:ascii="Arial" w:hAnsi="Arial" w:hint="default"/>
      </w:rPr>
    </w:lvl>
    <w:lvl w:ilvl="5" w:tplc="1B8C09B4" w:tentative="1">
      <w:start w:val="1"/>
      <w:numFmt w:val="bullet"/>
      <w:lvlText w:val="•"/>
      <w:lvlJc w:val="left"/>
      <w:pPr>
        <w:tabs>
          <w:tab w:val="num" w:pos="4320"/>
        </w:tabs>
        <w:ind w:left="4320" w:hanging="360"/>
      </w:pPr>
      <w:rPr>
        <w:rFonts w:ascii="Arial" w:hAnsi="Arial" w:hint="default"/>
      </w:rPr>
    </w:lvl>
    <w:lvl w:ilvl="6" w:tplc="A1829A6A" w:tentative="1">
      <w:start w:val="1"/>
      <w:numFmt w:val="bullet"/>
      <w:lvlText w:val="•"/>
      <w:lvlJc w:val="left"/>
      <w:pPr>
        <w:tabs>
          <w:tab w:val="num" w:pos="5040"/>
        </w:tabs>
        <w:ind w:left="5040" w:hanging="360"/>
      </w:pPr>
      <w:rPr>
        <w:rFonts w:ascii="Arial" w:hAnsi="Arial" w:hint="default"/>
      </w:rPr>
    </w:lvl>
    <w:lvl w:ilvl="7" w:tplc="6A3877E0" w:tentative="1">
      <w:start w:val="1"/>
      <w:numFmt w:val="bullet"/>
      <w:lvlText w:val="•"/>
      <w:lvlJc w:val="left"/>
      <w:pPr>
        <w:tabs>
          <w:tab w:val="num" w:pos="5760"/>
        </w:tabs>
        <w:ind w:left="5760" w:hanging="360"/>
      </w:pPr>
      <w:rPr>
        <w:rFonts w:ascii="Arial" w:hAnsi="Arial" w:hint="default"/>
      </w:rPr>
    </w:lvl>
    <w:lvl w:ilvl="8" w:tplc="41CC8AD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CE43D56"/>
    <w:multiLevelType w:val="hybridMultilevel"/>
    <w:tmpl w:val="AC943076"/>
    <w:lvl w:ilvl="0" w:tplc="663ED054">
      <w:start w:val="1"/>
      <w:numFmt w:val="bullet"/>
      <w:lvlText w:val="•"/>
      <w:lvlJc w:val="left"/>
      <w:pPr>
        <w:tabs>
          <w:tab w:val="num" w:pos="720"/>
        </w:tabs>
        <w:ind w:left="720" w:hanging="360"/>
      </w:pPr>
      <w:rPr>
        <w:rFonts w:ascii="Arial" w:hAnsi="Arial" w:hint="default"/>
      </w:rPr>
    </w:lvl>
    <w:lvl w:ilvl="1" w:tplc="D624A68A" w:tentative="1">
      <w:start w:val="1"/>
      <w:numFmt w:val="bullet"/>
      <w:lvlText w:val="•"/>
      <w:lvlJc w:val="left"/>
      <w:pPr>
        <w:tabs>
          <w:tab w:val="num" w:pos="1440"/>
        </w:tabs>
        <w:ind w:left="1440" w:hanging="360"/>
      </w:pPr>
      <w:rPr>
        <w:rFonts w:ascii="Arial" w:hAnsi="Arial" w:hint="default"/>
      </w:rPr>
    </w:lvl>
    <w:lvl w:ilvl="2" w:tplc="9CE69F50" w:tentative="1">
      <w:start w:val="1"/>
      <w:numFmt w:val="bullet"/>
      <w:lvlText w:val="•"/>
      <w:lvlJc w:val="left"/>
      <w:pPr>
        <w:tabs>
          <w:tab w:val="num" w:pos="2160"/>
        </w:tabs>
        <w:ind w:left="2160" w:hanging="360"/>
      </w:pPr>
      <w:rPr>
        <w:rFonts w:ascii="Arial" w:hAnsi="Arial" w:hint="default"/>
      </w:rPr>
    </w:lvl>
    <w:lvl w:ilvl="3" w:tplc="4552B5F0" w:tentative="1">
      <w:start w:val="1"/>
      <w:numFmt w:val="bullet"/>
      <w:lvlText w:val="•"/>
      <w:lvlJc w:val="left"/>
      <w:pPr>
        <w:tabs>
          <w:tab w:val="num" w:pos="2880"/>
        </w:tabs>
        <w:ind w:left="2880" w:hanging="360"/>
      </w:pPr>
      <w:rPr>
        <w:rFonts w:ascii="Arial" w:hAnsi="Arial" w:hint="default"/>
      </w:rPr>
    </w:lvl>
    <w:lvl w:ilvl="4" w:tplc="276E2C48" w:tentative="1">
      <w:start w:val="1"/>
      <w:numFmt w:val="bullet"/>
      <w:lvlText w:val="•"/>
      <w:lvlJc w:val="left"/>
      <w:pPr>
        <w:tabs>
          <w:tab w:val="num" w:pos="3600"/>
        </w:tabs>
        <w:ind w:left="3600" w:hanging="360"/>
      </w:pPr>
      <w:rPr>
        <w:rFonts w:ascii="Arial" w:hAnsi="Arial" w:hint="default"/>
      </w:rPr>
    </w:lvl>
    <w:lvl w:ilvl="5" w:tplc="1B060E0E" w:tentative="1">
      <w:start w:val="1"/>
      <w:numFmt w:val="bullet"/>
      <w:lvlText w:val="•"/>
      <w:lvlJc w:val="left"/>
      <w:pPr>
        <w:tabs>
          <w:tab w:val="num" w:pos="4320"/>
        </w:tabs>
        <w:ind w:left="4320" w:hanging="360"/>
      </w:pPr>
      <w:rPr>
        <w:rFonts w:ascii="Arial" w:hAnsi="Arial" w:hint="default"/>
      </w:rPr>
    </w:lvl>
    <w:lvl w:ilvl="6" w:tplc="6DB40CDA" w:tentative="1">
      <w:start w:val="1"/>
      <w:numFmt w:val="bullet"/>
      <w:lvlText w:val="•"/>
      <w:lvlJc w:val="left"/>
      <w:pPr>
        <w:tabs>
          <w:tab w:val="num" w:pos="5040"/>
        </w:tabs>
        <w:ind w:left="5040" w:hanging="360"/>
      </w:pPr>
      <w:rPr>
        <w:rFonts w:ascii="Arial" w:hAnsi="Arial" w:hint="default"/>
      </w:rPr>
    </w:lvl>
    <w:lvl w:ilvl="7" w:tplc="761439D6" w:tentative="1">
      <w:start w:val="1"/>
      <w:numFmt w:val="bullet"/>
      <w:lvlText w:val="•"/>
      <w:lvlJc w:val="left"/>
      <w:pPr>
        <w:tabs>
          <w:tab w:val="num" w:pos="5760"/>
        </w:tabs>
        <w:ind w:left="5760" w:hanging="360"/>
      </w:pPr>
      <w:rPr>
        <w:rFonts w:ascii="Arial" w:hAnsi="Arial" w:hint="default"/>
      </w:rPr>
    </w:lvl>
    <w:lvl w:ilvl="8" w:tplc="46C2DEC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1A170EC"/>
    <w:multiLevelType w:val="hybridMultilevel"/>
    <w:tmpl w:val="DC040ADE"/>
    <w:lvl w:ilvl="0" w:tplc="407EA4F0">
      <w:start w:val="1"/>
      <w:numFmt w:val="bullet"/>
      <w:lvlText w:val="•"/>
      <w:lvlJc w:val="left"/>
      <w:pPr>
        <w:tabs>
          <w:tab w:val="num" w:pos="720"/>
        </w:tabs>
        <w:ind w:left="720" w:hanging="360"/>
      </w:pPr>
      <w:rPr>
        <w:rFonts w:ascii="Arial" w:hAnsi="Arial" w:hint="default"/>
      </w:rPr>
    </w:lvl>
    <w:lvl w:ilvl="1" w:tplc="3094FB7C">
      <w:start w:val="1"/>
      <w:numFmt w:val="bullet"/>
      <w:lvlText w:val="•"/>
      <w:lvlJc w:val="left"/>
      <w:pPr>
        <w:tabs>
          <w:tab w:val="num" w:pos="1440"/>
        </w:tabs>
        <w:ind w:left="1440" w:hanging="360"/>
      </w:pPr>
      <w:rPr>
        <w:rFonts w:ascii="Arial" w:hAnsi="Arial" w:hint="default"/>
      </w:rPr>
    </w:lvl>
    <w:lvl w:ilvl="2" w:tplc="7A22CD72" w:tentative="1">
      <w:start w:val="1"/>
      <w:numFmt w:val="bullet"/>
      <w:lvlText w:val="•"/>
      <w:lvlJc w:val="left"/>
      <w:pPr>
        <w:tabs>
          <w:tab w:val="num" w:pos="2160"/>
        </w:tabs>
        <w:ind w:left="2160" w:hanging="360"/>
      </w:pPr>
      <w:rPr>
        <w:rFonts w:ascii="Arial" w:hAnsi="Arial" w:hint="default"/>
      </w:rPr>
    </w:lvl>
    <w:lvl w:ilvl="3" w:tplc="05665B60" w:tentative="1">
      <w:start w:val="1"/>
      <w:numFmt w:val="bullet"/>
      <w:lvlText w:val="•"/>
      <w:lvlJc w:val="left"/>
      <w:pPr>
        <w:tabs>
          <w:tab w:val="num" w:pos="2880"/>
        </w:tabs>
        <w:ind w:left="2880" w:hanging="360"/>
      </w:pPr>
      <w:rPr>
        <w:rFonts w:ascii="Arial" w:hAnsi="Arial" w:hint="default"/>
      </w:rPr>
    </w:lvl>
    <w:lvl w:ilvl="4" w:tplc="D590B61E" w:tentative="1">
      <w:start w:val="1"/>
      <w:numFmt w:val="bullet"/>
      <w:lvlText w:val="•"/>
      <w:lvlJc w:val="left"/>
      <w:pPr>
        <w:tabs>
          <w:tab w:val="num" w:pos="3600"/>
        </w:tabs>
        <w:ind w:left="3600" w:hanging="360"/>
      </w:pPr>
      <w:rPr>
        <w:rFonts w:ascii="Arial" w:hAnsi="Arial" w:hint="default"/>
      </w:rPr>
    </w:lvl>
    <w:lvl w:ilvl="5" w:tplc="0E7267AC" w:tentative="1">
      <w:start w:val="1"/>
      <w:numFmt w:val="bullet"/>
      <w:lvlText w:val="•"/>
      <w:lvlJc w:val="left"/>
      <w:pPr>
        <w:tabs>
          <w:tab w:val="num" w:pos="4320"/>
        </w:tabs>
        <w:ind w:left="4320" w:hanging="360"/>
      </w:pPr>
      <w:rPr>
        <w:rFonts w:ascii="Arial" w:hAnsi="Arial" w:hint="default"/>
      </w:rPr>
    </w:lvl>
    <w:lvl w:ilvl="6" w:tplc="D122C3F0" w:tentative="1">
      <w:start w:val="1"/>
      <w:numFmt w:val="bullet"/>
      <w:lvlText w:val="•"/>
      <w:lvlJc w:val="left"/>
      <w:pPr>
        <w:tabs>
          <w:tab w:val="num" w:pos="5040"/>
        </w:tabs>
        <w:ind w:left="5040" w:hanging="360"/>
      </w:pPr>
      <w:rPr>
        <w:rFonts w:ascii="Arial" w:hAnsi="Arial" w:hint="default"/>
      </w:rPr>
    </w:lvl>
    <w:lvl w:ilvl="7" w:tplc="585AF454" w:tentative="1">
      <w:start w:val="1"/>
      <w:numFmt w:val="bullet"/>
      <w:lvlText w:val="•"/>
      <w:lvlJc w:val="left"/>
      <w:pPr>
        <w:tabs>
          <w:tab w:val="num" w:pos="5760"/>
        </w:tabs>
        <w:ind w:left="5760" w:hanging="360"/>
      </w:pPr>
      <w:rPr>
        <w:rFonts w:ascii="Arial" w:hAnsi="Arial" w:hint="default"/>
      </w:rPr>
    </w:lvl>
    <w:lvl w:ilvl="8" w:tplc="F6CA5830"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1C2"/>
    <w:rsid w:val="002B4A09"/>
    <w:rsid w:val="008B71C2"/>
    <w:rsid w:val="00DA3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0E86B3"/>
  <w15:docId w15:val="{8CC8F9FD-0F50-4DC7-9415-7497EA7AB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B4A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4A09"/>
    <w:rPr>
      <w:rFonts w:asciiTheme="majorHAnsi" w:eastAsiaTheme="majorEastAsia" w:hAnsiTheme="majorHAnsi" w:cstheme="majorBidi"/>
      <w:color w:val="2F5496" w:themeColor="accent1" w:themeShade="BF"/>
      <w:sz w:val="26"/>
      <w:szCs w:val="26"/>
    </w:rPr>
  </w:style>
  <w:style w:type="character" w:styleId="IntenseEmphasis">
    <w:name w:val="Intense Emphasis"/>
    <w:basedOn w:val="DefaultParagraphFont"/>
    <w:uiPriority w:val="21"/>
    <w:qFormat/>
    <w:rsid w:val="002B4A09"/>
    <w:rPr>
      <w:i/>
      <w:iCs/>
      <w:color w:val="4472C4" w:themeColor="accent1"/>
    </w:rPr>
  </w:style>
  <w:style w:type="paragraph" w:styleId="ListParagraph">
    <w:name w:val="List Paragraph"/>
    <w:basedOn w:val="Normal"/>
    <w:uiPriority w:val="34"/>
    <w:qFormat/>
    <w:rsid w:val="002B4A09"/>
    <w:pPr>
      <w:ind w:left="720"/>
      <w:contextualSpacing/>
    </w:pPr>
  </w:style>
  <w:style w:type="character" w:styleId="Strong">
    <w:name w:val="Strong"/>
    <w:basedOn w:val="DefaultParagraphFont"/>
    <w:uiPriority w:val="22"/>
    <w:qFormat/>
    <w:rsid w:val="002B4A09"/>
    <w:rPr>
      <w:b/>
      <w:bCs/>
    </w:rPr>
  </w:style>
  <w:style w:type="character" w:styleId="IntenseReference">
    <w:name w:val="Intense Reference"/>
    <w:basedOn w:val="DefaultParagraphFont"/>
    <w:uiPriority w:val="32"/>
    <w:qFormat/>
    <w:rsid w:val="002B4A09"/>
    <w:rPr>
      <w:b/>
      <w:bCs/>
      <w:smallCaps/>
      <w:color w:val="4472C4" w:themeColor="accent1"/>
      <w:spacing w:val="5"/>
    </w:rPr>
  </w:style>
  <w:style w:type="paragraph" w:styleId="NormalWeb">
    <w:name w:val="Normal (Web)"/>
    <w:basedOn w:val="Normal"/>
    <w:uiPriority w:val="99"/>
    <w:semiHidden/>
    <w:unhideWhenUsed/>
    <w:rsid w:val="002B4A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hareable-quote">
    <w:name w:val="shareable-quote"/>
    <w:basedOn w:val="DefaultParagraphFont"/>
    <w:rsid w:val="002B4A09"/>
  </w:style>
  <w:style w:type="character" w:styleId="Hyperlink">
    <w:name w:val="Hyperlink"/>
    <w:basedOn w:val="DefaultParagraphFont"/>
    <w:uiPriority w:val="99"/>
    <w:semiHidden/>
    <w:unhideWhenUsed/>
    <w:rsid w:val="002B4A09"/>
    <w:rPr>
      <w:color w:val="0000FF"/>
      <w:u w:val="single"/>
    </w:rPr>
  </w:style>
  <w:style w:type="character" w:styleId="FollowedHyperlink">
    <w:name w:val="FollowedHyperlink"/>
    <w:basedOn w:val="DefaultParagraphFont"/>
    <w:uiPriority w:val="99"/>
    <w:semiHidden/>
    <w:unhideWhenUsed/>
    <w:rsid w:val="002B4A09"/>
    <w:rPr>
      <w:color w:val="954F72" w:themeColor="followedHyperlink"/>
      <w:u w:val="single"/>
    </w:rPr>
  </w:style>
  <w:style w:type="paragraph" w:customStyle="1" w:styleId="Default">
    <w:name w:val="Default"/>
    <w:rsid w:val="002B4A09"/>
    <w:pPr>
      <w:autoSpaceDE w:val="0"/>
      <w:autoSpaceDN w:val="0"/>
      <w:adjustRightInd w:val="0"/>
      <w:spacing w:after="0" w:line="240" w:lineRule="auto"/>
    </w:pPr>
    <w:rPr>
      <w:rFonts w:ascii="Calibri" w:hAnsi="Calibri" w:cs="Calibri"/>
      <w:color w:val="000000"/>
      <w:sz w:val="24"/>
      <w:szCs w:val="24"/>
    </w:rPr>
  </w:style>
  <w:style w:type="paragraph" w:styleId="IntenseQuote">
    <w:name w:val="Intense Quote"/>
    <w:basedOn w:val="Normal"/>
    <w:next w:val="Normal"/>
    <w:link w:val="IntenseQuoteChar"/>
    <w:uiPriority w:val="30"/>
    <w:qFormat/>
    <w:rsid w:val="002B4A0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B4A09"/>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07221">
      <w:bodyDiv w:val="1"/>
      <w:marLeft w:val="0"/>
      <w:marRight w:val="0"/>
      <w:marTop w:val="0"/>
      <w:marBottom w:val="0"/>
      <w:divBdr>
        <w:top w:val="none" w:sz="0" w:space="0" w:color="auto"/>
        <w:left w:val="none" w:sz="0" w:space="0" w:color="auto"/>
        <w:bottom w:val="none" w:sz="0" w:space="0" w:color="auto"/>
        <w:right w:val="none" w:sz="0" w:space="0" w:color="auto"/>
      </w:divBdr>
    </w:div>
    <w:div w:id="351031777">
      <w:bodyDiv w:val="1"/>
      <w:marLeft w:val="0"/>
      <w:marRight w:val="0"/>
      <w:marTop w:val="0"/>
      <w:marBottom w:val="0"/>
      <w:divBdr>
        <w:top w:val="none" w:sz="0" w:space="0" w:color="auto"/>
        <w:left w:val="none" w:sz="0" w:space="0" w:color="auto"/>
        <w:bottom w:val="none" w:sz="0" w:space="0" w:color="auto"/>
        <w:right w:val="none" w:sz="0" w:space="0" w:color="auto"/>
      </w:divBdr>
      <w:divsChild>
        <w:div w:id="1002583072">
          <w:marLeft w:val="1080"/>
          <w:marRight w:val="0"/>
          <w:marTop w:val="100"/>
          <w:marBottom w:val="0"/>
          <w:divBdr>
            <w:top w:val="none" w:sz="0" w:space="0" w:color="auto"/>
            <w:left w:val="none" w:sz="0" w:space="0" w:color="auto"/>
            <w:bottom w:val="none" w:sz="0" w:space="0" w:color="auto"/>
            <w:right w:val="none" w:sz="0" w:space="0" w:color="auto"/>
          </w:divBdr>
        </w:div>
        <w:div w:id="554312713">
          <w:marLeft w:val="1080"/>
          <w:marRight w:val="0"/>
          <w:marTop w:val="100"/>
          <w:marBottom w:val="0"/>
          <w:divBdr>
            <w:top w:val="none" w:sz="0" w:space="0" w:color="auto"/>
            <w:left w:val="none" w:sz="0" w:space="0" w:color="auto"/>
            <w:bottom w:val="none" w:sz="0" w:space="0" w:color="auto"/>
            <w:right w:val="none" w:sz="0" w:space="0" w:color="auto"/>
          </w:divBdr>
        </w:div>
        <w:div w:id="930164826">
          <w:marLeft w:val="1080"/>
          <w:marRight w:val="0"/>
          <w:marTop w:val="100"/>
          <w:marBottom w:val="0"/>
          <w:divBdr>
            <w:top w:val="none" w:sz="0" w:space="0" w:color="auto"/>
            <w:left w:val="none" w:sz="0" w:space="0" w:color="auto"/>
            <w:bottom w:val="none" w:sz="0" w:space="0" w:color="auto"/>
            <w:right w:val="none" w:sz="0" w:space="0" w:color="auto"/>
          </w:divBdr>
        </w:div>
      </w:divsChild>
    </w:div>
    <w:div w:id="399521860">
      <w:bodyDiv w:val="1"/>
      <w:marLeft w:val="0"/>
      <w:marRight w:val="0"/>
      <w:marTop w:val="0"/>
      <w:marBottom w:val="0"/>
      <w:divBdr>
        <w:top w:val="none" w:sz="0" w:space="0" w:color="auto"/>
        <w:left w:val="none" w:sz="0" w:space="0" w:color="auto"/>
        <w:bottom w:val="none" w:sz="0" w:space="0" w:color="auto"/>
        <w:right w:val="none" w:sz="0" w:space="0" w:color="auto"/>
      </w:divBdr>
    </w:div>
    <w:div w:id="406999381">
      <w:bodyDiv w:val="1"/>
      <w:marLeft w:val="0"/>
      <w:marRight w:val="0"/>
      <w:marTop w:val="0"/>
      <w:marBottom w:val="0"/>
      <w:divBdr>
        <w:top w:val="none" w:sz="0" w:space="0" w:color="auto"/>
        <w:left w:val="none" w:sz="0" w:space="0" w:color="auto"/>
        <w:bottom w:val="none" w:sz="0" w:space="0" w:color="auto"/>
        <w:right w:val="none" w:sz="0" w:space="0" w:color="auto"/>
      </w:divBdr>
    </w:div>
    <w:div w:id="576523195">
      <w:bodyDiv w:val="1"/>
      <w:marLeft w:val="0"/>
      <w:marRight w:val="0"/>
      <w:marTop w:val="0"/>
      <w:marBottom w:val="0"/>
      <w:divBdr>
        <w:top w:val="none" w:sz="0" w:space="0" w:color="auto"/>
        <w:left w:val="none" w:sz="0" w:space="0" w:color="auto"/>
        <w:bottom w:val="none" w:sz="0" w:space="0" w:color="auto"/>
        <w:right w:val="none" w:sz="0" w:space="0" w:color="auto"/>
      </w:divBdr>
      <w:divsChild>
        <w:div w:id="1406298187">
          <w:marLeft w:val="1080"/>
          <w:marRight w:val="0"/>
          <w:marTop w:val="100"/>
          <w:marBottom w:val="0"/>
          <w:divBdr>
            <w:top w:val="none" w:sz="0" w:space="0" w:color="auto"/>
            <w:left w:val="none" w:sz="0" w:space="0" w:color="auto"/>
            <w:bottom w:val="none" w:sz="0" w:space="0" w:color="auto"/>
            <w:right w:val="none" w:sz="0" w:space="0" w:color="auto"/>
          </w:divBdr>
        </w:div>
        <w:div w:id="445539833">
          <w:marLeft w:val="1080"/>
          <w:marRight w:val="0"/>
          <w:marTop w:val="100"/>
          <w:marBottom w:val="0"/>
          <w:divBdr>
            <w:top w:val="none" w:sz="0" w:space="0" w:color="auto"/>
            <w:left w:val="none" w:sz="0" w:space="0" w:color="auto"/>
            <w:bottom w:val="none" w:sz="0" w:space="0" w:color="auto"/>
            <w:right w:val="none" w:sz="0" w:space="0" w:color="auto"/>
          </w:divBdr>
        </w:div>
        <w:div w:id="109132902">
          <w:marLeft w:val="1080"/>
          <w:marRight w:val="0"/>
          <w:marTop w:val="100"/>
          <w:marBottom w:val="0"/>
          <w:divBdr>
            <w:top w:val="none" w:sz="0" w:space="0" w:color="auto"/>
            <w:left w:val="none" w:sz="0" w:space="0" w:color="auto"/>
            <w:bottom w:val="none" w:sz="0" w:space="0" w:color="auto"/>
            <w:right w:val="none" w:sz="0" w:space="0" w:color="auto"/>
          </w:divBdr>
        </w:div>
        <w:div w:id="978799782">
          <w:marLeft w:val="1080"/>
          <w:marRight w:val="0"/>
          <w:marTop w:val="100"/>
          <w:marBottom w:val="0"/>
          <w:divBdr>
            <w:top w:val="none" w:sz="0" w:space="0" w:color="auto"/>
            <w:left w:val="none" w:sz="0" w:space="0" w:color="auto"/>
            <w:bottom w:val="none" w:sz="0" w:space="0" w:color="auto"/>
            <w:right w:val="none" w:sz="0" w:space="0" w:color="auto"/>
          </w:divBdr>
        </w:div>
      </w:divsChild>
    </w:div>
    <w:div w:id="937326677">
      <w:bodyDiv w:val="1"/>
      <w:marLeft w:val="0"/>
      <w:marRight w:val="0"/>
      <w:marTop w:val="0"/>
      <w:marBottom w:val="0"/>
      <w:divBdr>
        <w:top w:val="none" w:sz="0" w:space="0" w:color="auto"/>
        <w:left w:val="none" w:sz="0" w:space="0" w:color="auto"/>
        <w:bottom w:val="none" w:sz="0" w:space="0" w:color="auto"/>
        <w:right w:val="none" w:sz="0" w:space="0" w:color="auto"/>
      </w:divBdr>
    </w:div>
    <w:div w:id="973414392">
      <w:bodyDiv w:val="1"/>
      <w:marLeft w:val="0"/>
      <w:marRight w:val="0"/>
      <w:marTop w:val="0"/>
      <w:marBottom w:val="0"/>
      <w:divBdr>
        <w:top w:val="none" w:sz="0" w:space="0" w:color="auto"/>
        <w:left w:val="none" w:sz="0" w:space="0" w:color="auto"/>
        <w:bottom w:val="none" w:sz="0" w:space="0" w:color="auto"/>
        <w:right w:val="none" w:sz="0" w:space="0" w:color="auto"/>
      </w:divBdr>
    </w:div>
    <w:div w:id="1014459554">
      <w:bodyDiv w:val="1"/>
      <w:marLeft w:val="0"/>
      <w:marRight w:val="0"/>
      <w:marTop w:val="0"/>
      <w:marBottom w:val="0"/>
      <w:divBdr>
        <w:top w:val="none" w:sz="0" w:space="0" w:color="auto"/>
        <w:left w:val="none" w:sz="0" w:space="0" w:color="auto"/>
        <w:bottom w:val="none" w:sz="0" w:space="0" w:color="auto"/>
        <w:right w:val="none" w:sz="0" w:space="0" w:color="auto"/>
      </w:divBdr>
      <w:divsChild>
        <w:div w:id="1194660586">
          <w:marLeft w:val="360"/>
          <w:marRight w:val="0"/>
          <w:marTop w:val="200"/>
          <w:marBottom w:val="0"/>
          <w:divBdr>
            <w:top w:val="none" w:sz="0" w:space="0" w:color="auto"/>
            <w:left w:val="none" w:sz="0" w:space="0" w:color="auto"/>
            <w:bottom w:val="none" w:sz="0" w:space="0" w:color="auto"/>
            <w:right w:val="none" w:sz="0" w:space="0" w:color="auto"/>
          </w:divBdr>
        </w:div>
        <w:div w:id="1879656555">
          <w:marLeft w:val="360"/>
          <w:marRight w:val="0"/>
          <w:marTop w:val="200"/>
          <w:marBottom w:val="0"/>
          <w:divBdr>
            <w:top w:val="none" w:sz="0" w:space="0" w:color="auto"/>
            <w:left w:val="none" w:sz="0" w:space="0" w:color="auto"/>
            <w:bottom w:val="none" w:sz="0" w:space="0" w:color="auto"/>
            <w:right w:val="none" w:sz="0" w:space="0" w:color="auto"/>
          </w:divBdr>
        </w:div>
      </w:divsChild>
    </w:div>
    <w:div w:id="1335494078">
      <w:bodyDiv w:val="1"/>
      <w:marLeft w:val="0"/>
      <w:marRight w:val="0"/>
      <w:marTop w:val="0"/>
      <w:marBottom w:val="0"/>
      <w:divBdr>
        <w:top w:val="none" w:sz="0" w:space="0" w:color="auto"/>
        <w:left w:val="none" w:sz="0" w:space="0" w:color="auto"/>
        <w:bottom w:val="none" w:sz="0" w:space="0" w:color="auto"/>
        <w:right w:val="none" w:sz="0" w:space="0" w:color="auto"/>
      </w:divBdr>
      <w:divsChild>
        <w:div w:id="2066566308">
          <w:marLeft w:val="360"/>
          <w:marRight w:val="0"/>
          <w:marTop w:val="200"/>
          <w:marBottom w:val="0"/>
          <w:divBdr>
            <w:top w:val="none" w:sz="0" w:space="0" w:color="auto"/>
            <w:left w:val="none" w:sz="0" w:space="0" w:color="auto"/>
            <w:bottom w:val="none" w:sz="0" w:space="0" w:color="auto"/>
            <w:right w:val="none" w:sz="0" w:space="0" w:color="auto"/>
          </w:divBdr>
        </w:div>
        <w:div w:id="1286621771">
          <w:marLeft w:val="360"/>
          <w:marRight w:val="0"/>
          <w:marTop w:val="200"/>
          <w:marBottom w:val="0"/>
          <w:divBdr>
            <w:top w:val="none" w:sz="0" w:space="0" w:color="auto"/>
            <w:left w:val="none" w:sz="0" w:space="0" w:color="auto"/>
            <w:bottom w:val="none" w:sz="0" w:space="0" w:color="auto"/>
            <w:right w:val="none" w:sz="0" w:space="0" w:color="auto"/>
          </w:divBdr>
        </w:div>
      </w:divsChild>
    </w:div>
    <w:div w:id="1690525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5</Pages>
  <Words>2190</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Faustyna Gawryluk</dc:creator>
  <cp:keywords/>
  <dc:description/>
  <cp:lastModifiedBy>Faustyna Gawryluk</cp:lastModifiedBy>
  <cp:revision>1</cp:revision>
  <dcterms:created xsi:type="dcterms:W3CDTF">2023-01-31T06:25:00Z</dcterms:created>
  <dcterms:modified xsi:type="dcterms:W3CDTF">2023-01-31T16:20:00Z</dcterms:modified>
</cp:coreProperties>
</file>