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ptos Display" w:hAnsi="Aptos Display"/>
          <w:b/>
          <w:color w:val="0F4C81"/>
          <w:sz w:val="36"/>
        </w:rPr>
        <w:t>AI-Driven Incident Response and Self-Healing Cloud Systems</w:t>
      </w:r>
    </w:p>
    <w:p>
      <w:pPr>
        <w:spacing w:after="120"/>
      </w:pPr>
      <w:r>
        <w:rPr>
          <w:rFonts w:ascii="Aptos" w:hAnsi="Aptos"/>
          <w:b/>
          <w:color w:val="555555"/>
          <w:sz w:val="19"/>
        </w:rPr>
        <w:t>Checkpoint 1 Demo Memo | DATA 298A | Team 1 | Section 22 | Topic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9288"/>
      </w:tblGrid>
      <w:tr>
        <w:trPr>
          <w:cantSplit/>
        </w:trPr>
        <w:tc>
          <w:tcPr>
            <w:tcW w:type="dxa" w:w="522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7EE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Team</w:t>
            </w:r>
          </w:p>
        </w:tc>
        <w:tc>
          <w:tcPr>
            <w:tcW w:type="dxa" w:w="522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Fnu Akhilesh, Khushi Donda, Nikhil Kanaparthi, Bhoomika Lnu, Saketh Prudhvi Marru</w:t>
            </w:r>
          </w:p>
        </w:tc>
      </w:tr>
      <w:tr>
        <w:trPr>
          <w:cantSplit/>
        </w:trPr>
        <w:tc>
          <w:tcPr>
            <w:tcW w:type="dxa" w:w="522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7EE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GitHub</w:t>
            </w:r>
          </w:p>
        </w:tc>
        <w:tc>
          <w:tcPr>
            <w:tcW w:type="dxa" w:w="522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hyperlink r:id="rId9">
              <w:r>
                <w:rPr>
                  <w:color w:val="0563C1"/>
                  <w:u w:val="single"/>
                  <w:rFonts w:ascii="Aptos" w:hAnsi="Aptos"/>
                  <w:sz w:val="19"/>
                </w:rPr>
                <w:t>https://github.com/sjsu-298a-team1/self-healing-cloud-systems</w:t>
              </w:r>
            </w:hyperlink>
          </w:p>
        </w:tc>
      </w:tr>
      <w:tr>
        <w:trPr>
          <w:cantSplit/>
        </w:trPr>
        <w:tc>
          <w:tcPr>
            <w:tcW w:type="dxa" w:w="522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7EE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Linear Board</w:t>
            </w:r>
          </w:p>
        </w:tc>
        <w:tc>
          <w:tcPr>
            <w:tcW w:type="dxa" w:w="522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hyperlink r:id="rId10">
              <w:r>
                <w:rPr>
                  <w:color w:val="0563C1"/>
                  <w:u w:val="single"/>
                  <w:rFonts w:ascii="Aptos" w:hAnsi="Aptos"/>
                  <w:sz w:val="19"/>
                </w:rPr>
                <w:t>https://linear.app/298a-team-1-self-healing-cloud/team/298/all</w:t>
              </w:r>
            </w:hyperlink>
          </w:p>
        </w:tc>
      </w:tr>
    </w:tbl>
    <w:p>
      <w:pPr>
        <w:pStyle w:val="Heading1"/>
      </w:pPr>
      <w:r>
        <w:t>1. Project Status, Problem, and Goal</w:t>
      </w:r>
    </w:p>
    <w:p>
      <w:pPr>
        <w:spacing w:after="60"/>
      </w:pPr>
      <w:r>
        <w:rPr>
          <w:rFonts w:ascii="Aptos" w:hAnsi="Aptos"/>
          <w:b/>
          <w:sz w:val="19"/>
        </w:rPr>
        <w:t xml:space="preserve">Problem. </w:t>
      </w:r>
      <w:r>
        <w:rPr>
          <w:rFonts w:ascii="Aptos" w:hAnsi="Aptos"/>
          <w:sz w:val="19"/>
        </w:rPr>
        <w:t>Cloud applications are composed of interacting microservices, so a fault in one service can create symptoms in dependent services. On-call engineers must separate the original failure from downstream effects, which can delay resolution and increase the risk of remediating a healthy component.</w:t>
      </w:r>
    </w:p>
    <w:p>
      <w:pPr>
        <w:spacing w:after="80"/>
      </w:pPr>
      <w:r>
        <w:rPr>
          <w:rFonts w:ascii="Aptos" w:hAnsi="Aptos"/>
          <w:b/>
          <w:sz w:val="19"/>
        </w:rPr>
        <w:t xml:space="preserve">Goal. </w:t>
      </w:r>
      <w:r>
        <w:rPr>
          <w:rFonts w:ascii="Aptos" w:hAnsi="Aptos"/>
          <w:sz w:val="19"/>
        </w:rPr>
        <w:t>Develop an AI-driven incident-response pipeline that detects abnormal behavior, localizes the responsible service or metric, proposes a remediation, and determines whether that remediation is safe enough to execute automatically.</w:t>
      </w:r>
    </w:p>
    <w:p>
      <w:pPr>
        <w:pStyle w:val="Heading1"/>
      </w:pPr>
      <w:r>
        <w:t>2. Technical Direction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176"/>
        <w:gridCol w:w="5904"/>
      </w:tblGrid>
      <w:tr>
        <w:trPr>
          <w:tblHeader w:val="true"/>
          <w:cantSplit/>
        </w:trPr>
        <w:tc>
          <w:tcPr>
            <w:tcW w:type="dxa" w:w="348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#</w:t>
            </w:r>
          </w:p>
        </w:tc>
        <w:tc>
          <w:tcPr>
            <w:tcW w:type="dxa" w:w="348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7"/>
              </w:rPr>
              <w:t>Model / Component</w:t>
            </w:r>
          </w:p>
        </w:tc>
        <w:tc>
          <w:tcPr>
            <w:tcW w:type="dxa" w:w="348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2CC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7"/>
              </w:rPr>
              <w:t>Multivariate time-series anomaly detector</w:t>
            </w:r>
          </w:p>
        </w:tc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2CC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7"/>
              </w:rPr>
              <w:t>Build first in DATA 298A; detect abnormal SMD telemetry.</w:t>
            </w:r>
          </w:p>
        </w:tc>
      </w:tr>
      <w:tr>
        <w:trPr>
          <w:cantSplit/>
        </w:trPr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7"/>
              </w:rPr>
              <w:t>Service-graph root-cause localizer</w:t>
            </w:r>
          </w:p>
        </w:tc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7"/>
              </w:rPr>
              <w:t>Use service/dependency evidence to rank the responsible service or metric.</w:t>
            </w:r>
          </w:p>
        </w:tc>
      </w:tr>
      <w:tr>
        <w:trPr>
          <w:cantSplit/>
        </w:trPr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7"/>
              </w:rPr>
              <w:t>LLM incident diagnosis + remediation proposal</w:t>
            </w:r>
          </w:p>
        </w:tc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7"/>
              </w:rPr>
              <w:t>Generate a grounded diagnosis and candidate remediation plan.</w:t>
            </w:r>
          </w:p>
        </w:tc>
      </w:tr>
      <w:tr>
        <w:trPr>
          <w:cantSplit/>
        </w:trPr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7"/>
              </w:rPr>
              <w:t>Action-risk gating model</w:t>
            </w:r>
          </w:p>
        </w:tc>
        <w:tc>
          <w:tcPr>
            <w:tcW w:type="dxa" w:w="34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7"/>
              </w:rPr>
              <w:t>Score blast radius, reversibility, and uncertainty before autonomous execution.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sz w:val="18"/>
        </w:rPr>
        <w:t xml:space="preserve">Scope by semester: </w:t>
      </w:r>
      <w:r>
        <w:rPr>
          <w:rFonts w:ascii="Aptos" w:hAnsi="Aptos"/>
          <w:sz w:val="18"/>
        </w:rPr>
        <w:t>DATA 298A focuses on Model 1 plus an end-to-end prototype; Models 2–4 are planned for DATA 298B.</w:t>
      </w:r>
    </w:p>
    <w:p>
      <w:pPr>
        <w:pStyle w:val="Heading1"/>
      </w:pPr>
      <w:r>
        <w:t>3. Data, Benchmark, and Access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3888"/>
        <w:gridCol w:w="1872"/>
      </w:tblGrid>
      <w:tr>
        <w:trPr>
          <w:cantSplit/>
        </w:trPr>
        <w:tc>
          <w:tcPr>
            <w:tcW w:type="dxa" w:w="2613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Resource</w:t>
            </w:r>
          </w:p>
        </w:tc>
        <w:tc>
          <w:tcPr>
            <w:tcW w:type="dxa" w:w="2613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2613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Key evidence</w:t>
            </w:r>
          </w:p>
        </w:tc>
        <w:tc>
          <w:tcPr>
            <w:tcW w:type="dxa" w:w="2613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9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SMD</w:t>
            </w:r>
          </w:p>
        </w:tc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9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anomaly-detection benchmark</w:t>
            </w:r>
          </w:p>
        </w:tc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9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 weeks; 28 machines; 38 metrics per machine; train/test data with point-level anomaly labels.</w:t>
            </w:r>
          </w:p>
        </w:tc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9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Access verified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RCAEval</w:t>
            </w:r>
          </w:p>
        </w:tc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Later root-cause evaluation</w:t>
            </w:r>
          </w:p>
        </w:tc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Multi-source telemetry and annotated failure/root-cause cases.</w:t>
            </w:r>
          </w:p>
        </w:tc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Publicly accessible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OpenTelemetry Demo + Chaos Mesh</w:t>
            </w:r>
          </w:p>
        </w:tc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Planned end-to-end testbed</w:t>
            </w:r>
          </w:p>
        </w:tc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Microservice telemetry plus controlled fault injection for labeled incident scenarios.</w:t>
            </w:r>
          </w:p>
        </w:tc>
        <w:tc>
          <w:tcPr>
            <w:tcW w:type="dxa" w:w="26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Setup planned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sz w:val="18"/>
        </w:rPr>
        <w:t xml:space="preserve">Access proof. </w:t>
      </w:r>
      <w:r>
        <w:rPr>
          <w:rFonts w:ascii="Aptos" w:hAnsi="Aptos"/>
          <w:sz w:val="18"/>
        </w:rPr>
        <w:t xml:space="preserve">SMD access was verified on September 9, 2026: the team opened </w:t>
      </w:r>
      <w:r>
        <w:rPr>
          <w:rFonts w:ascii="Aptos" w:hAnsi="Aptos"/>
          <w:sz w:val="18"/>
        </w:rPr>
        <w:t>ServerMachineDataset/train/machine-1-1.txt</w:t>
      </w:r>
      <w:r>
        <w:rPr>
          <w:rFonts w:ascii="Aptos" w:hAnsi="Aptos"/>
          <w:sz w:val="18"/>
        </w:rPr>
        <w:t xml:space="preserve"> on GitHub, downloaded the file, and inspected the numeric telemetry locally.</w:t>
      </w:r>
    </w:p>
    <w:p>
      <w:pPr>
        <w:pStyle w:val="Heading1"/>
      </w:pPr>
      <w:r>
        <w:t>4. Evaluation Target and Published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520"/>
        <w:gridCol w:w="3240"/>
        <w:gridCol w:w="2880"/>
      </w:tblGrid>
      <w:tr>
        <w:trPr>
          <w:cantSplit/>
        </w:trPr>
        <w:tc>
          <w:tcPr>
            <w:tcW w:type="dxa" w:w="2613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Evaluation</w:t>
            </w:r>
          </w:p>
        </w:tc>
        <w:tc>
          <w:tcPr>
            <w:tcW w:type="dxa" w:w="2613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Benchmark</w:t>
            </w:r>
          </w:p>
        </w:tc>
        <w:tc>
          <w:tcPr>
            <w:tcW w:type="dxa" w:w="2613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2613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Target / Published result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Anomaly detection</w:t>
            </w:r>
          </w:p>
        </w:tc>
        <w:tc>
          <w:tcPr>
            <w:tcW w:type="dxa" w:w="26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SMD</w:t>
            </w:r>
          </w:p>
        </w:tc>
        <w:tc>
          <w:tcPr>
            <w:tcW w:type="dxa" w:w="26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F1-score</w:t>
            </w:r>
          </w:p>
        </w:tc>
        <w:tc>
          <w:tcPr>
            <w:tcW w:type="dxa" w:w="26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 target: F1 &gt;= 0.85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Published baseline</w:t>
            </w:r>
          </w:p>
        </w:tc>
        <w:tc>
          <w:tcPr>
            <w:tcW w:type="dxa" w:w="26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CausalRCA (Xin, Chen &amp; Zhao, 2023)</w:t>
            </w:r>
          </w:p>
        </w:tc>
        <w:tc>
          <w:tcPr>
            <w:tcW w:type="dxa" w:w="26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Table 4: fine-grained root-cause metric localization</w:t>
            </w:r>
          </w:p>
        </w:tc>
        <w:tc>
          <w:tcPr>
            <w:tcW w:type="dxa" w:w="261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AC@1=0.2476; AC@3=0.7190; Avg@5=0.6681</w:t>
            </w:r>
          </w:p>
        </w:tc>
      </w:tr>
    </w:tbl>
    <w:p>
      <w:r>
        <w:br w:type="page"/>
      </w:r>
    </w:p>
    <w:p>
      <w:pPr>
        <w:pStyle w:val="Heading1"/>
      </w:pPr>
      <w:r>
        <w:t>5. Literature and Research Direction</w:t>
      </w:r>
    </w:p>
    <w:p>
      <w:pPr>
        <w:spacing w:after="60"/>
      </w:pPr>
      <w:r>
        <w:rPr>
          <w:rFonts w:ascii="Aptos" w:hAnsi="Aptos"/>
          <w:b/>
          <w:sz w:val="18"/>
        </w:rPr>
        <w:t xml:space="preserve">The team’s initial state-of-the-art review spans four areas: </w:t>
      </w:r>
      <w:r>
        <w:rPr>
          <w:rFonts w:ascii="Aptos" w:hAnsi="Aptos"/>
          <w:sz w:val="18"/>
        </w:rPr>
        <w:t>multivariate anomaly detection, service-graph/root-cause localization, LLM-based incident diagnosis and remediation planning, and safe autonomous remediation/action-risk gating. The current direction is a staged system: establish reliable anomaly detection first, then add root-cause localization, diagnosis/remediation planning, and safety gating.</w:t>
      </w:r>
    </w:p>
    <w:p>
      <w:pPr>
        <w:pStyle w:val="Heading1"/>
      </w:pPr>
      <w:r>
        <w:t>6. Compute and Resource Summary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Current resources: five personal laptops for development, data preparation, local testing, and CPU-based experiments; free notebook/cloud compute when available; no dedicated paid cloud infrastructure or team-owned GPU is committed for Checkpoint 1.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298A needs: SMD anomaly detection is low-to-moderate compute and suitable for local development; focused CausalRCA reproduction is moderate. Current resources are sufficient for the first 298A model. RCAEval later recommends about 8 CPU cores, 16 GB RAM, and ~50 GB disk for its full workflow.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Main future gap: the OpenTelemetry Demo + Chaos Mesh environment and later LLM work may need additional CPU/RAM or GPU capacity. The team will scale in this order: lightweight local development, free notebook/cloud resources, SJSU cluster/HPC access, academic cloud credits, then smaller-model/hosted-inference fallbacks. Current committed paid cloud cost is $0.</w:t>
      </w:r>
    </w:p>
    <w:p>
      <w:pPr>
        <w:pStyle w:val="Heading1"/>
      </w:pPr>
      <w:r>
        <w:t>7. Top Risks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632"/>
      </w:tblGrid>
      <w:tr>
        <w:trPr>
          <w:cantSplit/>
        </w:trPr>
        <w:tc>
          <w:tcPr>
            <w:tcW w:type="dxa" w:w="522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Risk</w:t>
            </w:r>
          </w:p>
        </w:tc>
        <w:tc>
          <w:tcPr>
            <w:tcW w:type="dxa" w:w="522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Mitigation</w:t>
            </w:r>
          </w:p>
        </w:tc>
      </w:tr>
      <w:tr>
        <w:trPr>
          <w:cantSplit/>
        </w:trPr>
        <w:tc>
          <w:tcPr>
            <w:tcW w:type="dxa" w:w="522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Incomplete or unsynchronized telemetry</w:t>
            </w:r>
          </w:p>
        </w:tc>
        <w:tc>
          <w:tcPr>
            <w:tcW w:type="dxa" w:w="522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Validate collection early, use common timestamps/incident windows, and start with SMD before multi-source integration. Fallback: use RCAEval or another pre-labeled benchmark if team-generated telemetry is unreliable.</w:t>
            </w:r>
          </w:p>
        </w:tc>
      </w:tr>
      <w:tr>
        <w:trPr>
          <w:cantSplit/>
        </w:trPr>
        <w:tc>
          <w:tcPr>
            <w:tcW w:type="dxa" w:w="522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Compute or environment limitations</w:t>
            </w:r>
          </w:p>
        </w:tc>
        <w:tc>
          <w:tcPr>
            <w:tcW w:type="dxa" w:w="522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Start with lightweight models and dataset subsets; use free cloud/SJSU compute only when local execution becomes a blocker. Fallback: reduce model size, dataset size, or experiment scope while preserving the evaluation method.</w:t>
            </w:r>
          </w:p>
        </w:tc>
      </w:tr>
      <w:tr>
        <w:trPr>
          <w:cantSplit/>
        </w:trPr>
        <w:tc>
          <w:tcPr>
            <w:tcW w:type="dxa" w:w="522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Unsafe or incorrect automated remediation</w:t>
            </w:r>
          </w:p>
        </w:tc>
        <w:tc>
          <w:tcPr>
            <w:tcW w:type="dxa" w:w="522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t>Gate actions using blast radius, reversibility, and uncertainty; require human approval for high-risk actions and test in isolation first. Fallback: recommendation-only mode with autonomous execution disabled.</w:t>
            </w:r>
          </w:p>
        </w:tc>
      </w:tr>
    </w:tbl>
    <w:p>
      <w:pPr>
        <w:pStyle w:val="Heading1"/>
      </w:pPr>
      <w:r>
        <w:t>8. Current Status, Open Items, and Next Steps</w:t>
      </w:r>
    </w:p>
    <w:p>
      <w:pPr>
        <w:spacing w:after="40"/>
      </w:pPr>
      <w:r>
        <w:rPr>
          <w:rFonts w:ascii="Aptos" w:hAnsi="Aptos"/>
          <w:b/>
          <w:sz w:val="18"/>
        </w:rPr>
        <w:t>Completed / ready:</w:t>
      </w:r>
      <w:r>
        <w:rPr>
          <w:rFonts w:ascii="Aptos" w:hAnsi="Aptos"/>
          <w:sz w:val="18"/>
        </w:rPr>
      </w:r>
      <w:r>
        <w:rPr>
          <w:rFonts w:ascii="Aptos" w:hAnsi="Aptos"/>
        </w:rPr>
        <w:t xml:space="preserve"> GitHub and Linear setup, dataset/benchmark evaluation, SMD access verification, literature reviews, published baseline selection, compute/resource and risk assessment, and most presentation sections.</w:t>
      </w:r>
    </w:p>
    <w:p>
      <w:pPr>
        <w:spacing w:after="40"/>
      </w:pPr>
      <w:r>
        <w:rPr>
          <w:rFonts w:ascii="Aptos" w:hAnsi="Aptos"/>
          <w:b/>
          <w:sz w:val="18"/>
        </w:rPr>
        <w:t>Open items at memo preparation:</w:t>
      </w:r>
      <w:r>
        <w:rPr>
          <w:rFonts w:ascii="Aptos" w:hAnsi="Aptos"/>
          <w:sz w:val="18"/>
        </w:rPr>
      </w:r>
      <w:r>
        <w:rPr>
          <w:rFonts w:ascii="Aptos" w:hAnsi="Aptos"/>
        </w:rPr>
        <w:t xml:space="preserve"> final team review of this memo, final presentation integration/rehearsal, candidacy-form submission, and final verification of submission links. No critical compute blocker prevents work on the first SMD model; later-stage risks are the multi-source test environment and potential GPU needs.</w:t>
      </w:r>
    </w:p>
    <w:p>
      <w:pPr>
        <w:spacing w:after="60"/>
      </w:pPr>
      <w:r>
        <w:rPr>
          <w:rFonts w:ascii="Aptos" w:hAnsi="Aptos"/>
          <w:b/>
          <w:sz w:val="18"/>
        </w:rPr>
        <w:t>Immediate next steps:</w:t>
      </w:r>
      <w:r>
        <w:rPr>
          <w:rFonts w:ascii="Aptos" w:hAnsi="Aptos"/>
          <w:sz w:val="18"/>
        </w:rPr>
      </w:r>
      <w:r>
        <w:rPr>
          <w:rFonts w:ascii="Aptos" w:hAnsi="Aptos"/>
        </w:rPr>
        <w:t xml:space="preserve"> implement Model 1 on SMD, reproduce the selected CausalRCA baseline result, stand up the OpenTelemetry Demo + Chaos Mesh test environment, and begin end-to-end prototype integration.</w:t>
      </w:r>
    </w:p>
    <w:p>
      <w:pPr>
        <w:pStyle w:val="Heading1"/>
      </w:pPr>
      <w:r>
        <w:t>9. Checkpoint Submission Evidence</w:t>
      </w:r>
    </w:p>
    <w:p>
      <w:pPr>
        <w:spacing w:after="30"/>
      </w:pPr>
      <w:r>
        <w:rPr>
          <w:b/>
        </w:rPr>
        <w:t xml:space="preserve">GitHub repository: </w:t>
      </w:r>
      <w:hyperlink r:id="rId9">
        <w:r>
          <w:rPr>
            <w:color w:val="0563C1"/>
            <w:u w:val="single"/>
            <w:rFonts w:ascii="Aptos" w:hAnsi="Aptos"/>
            <w:sz w:val="19"/>
          </w:rPr>
          <w:t>https://github.com/sjsu-298a-team1/self-healing-cloud-systems</w:t>
        </w:r>
      </w:hyperlink>
    </w:p>
    <w:p>
      <w:pPr>
        <w:spacing w:after="30"/>
      </w:pPr>
      <w:r>
        <w:rPr>
          <w:b/>
        </w:rPr>
        <w:t xml:space="preserve">Linear board: </w:t>
      </w:r>
      <w:hyperlink r:id="rId10">
        <w:r>
          <w:rPr>
            <w:color w:val="0563C1"/>
            <w:u w:val="single"/>
            <w:rFonts w:ascii="Aptos" w:hAnsi="Aptos"/>
            <w:sz w:val="19"/>
          </w:rPr>
          <w:t>https://linear.app/298a-team-1-self-healing-cloud/team/298/all</w:t>
        </w:r>
      </w:hyperlink>
    </w:p>
    <w:p>
      <w:pPr>
        <w:spacing w:after="40"/>
      </w:pPr>
      <w:r>
        <w:rPr>
          <w:rFonts w:ascii="Aptos" w:hAnsi="Aptos"/>
          <w:b/>
          <w:sz w:val="18"/>
        </w:rPr>
        <w:t xml:space="preserve">Final memo repository location: </w:t>
      </w:r>
      <w:r>
        <w:rPr>
          <w:rFonts w:ascii="Aptos" w:hAnsi="Aptos"/>
          <w:sz w:val="18"/>
        </w:rPr>
        <w:t>docs/checkpoint-1/demo-memo.pdf</w:t>
      </w:r>
    </w:p>
    <w:p>
      <w:pPr>
        <w:pStyle w:val="Heading2"/>
      </w:pPr>
      <w:r>
        <w:t>Key Sources</w:t>
      </w:r>
    </w:p>
    <w:p>
      <w:pPr>
        <w:pStyle w:val="ListBullet"/>
        <w:spacing w:after="20"/>
      </w:pPr>
      <w:r>
        <w:rPr>
          <w:rFonts w:ascii="Aptos" w:hAnsi="Aptos"/>
          <w:sz w:val="16"/>
        </w:rPr>
        <w:t>Su, Y., Zhao, Y., Niu, C., Liu, R., Sun, W., &amp; Pei, D. (2019). Robust anomaly detection for multivariate time series through stochastic recurrent neural networks. ACM SIGKDD.</w:t>
      </w:r>
    </w:p>
    <w:p>
      <w:pPr>
        <w:pStyle w:val="ListBullet"/>
        <w:spacing w:after="20"/>
      </w:pPr>
      <w:r>
        <w:rPr>
          <w:rFonts w:ascii="Aptos" w:hAnsi="Aptos"/>
          <w:sz w:val="16"/>
        </w:rPr>
        <w:t>Pham, L., Zhang, H., Ha, H., Salim, F., &amp; Zhang, X. (2025). RCAEval: A benchmark for root cause analysis of microservice systems with telemetry data. ACM Web Conference Companion.</w:t>
      </w:r>
    </w:p>
    <w:p>
      <w:pPr>
        <w:pStyle w:val="ListBullet"/>
        <w:spacing w:after="20"/>
      </w:pPr>
      <w:r>
        <w:rPr>
          <w:rFonts w:ascii="Aptos" w:hAnsi="Aptos"/>
          <w:sz w:val="16"/>
        </w:rPr>
        <w:t>Xin, R., Chen, P., &amp; Zhao, Z. (2023). Causal inference based precise fine-grained root cause localization for microservice applications. Journal of Systems and Software, 203, 111724.</w:t>
      </w:r>
    </w:p>
    <w:sectPr w:rsidR="00FC693F" w:rsidRPr="0006063C" w:rsidSect="00034616">
      <w:footerReference w:type="default" r:id="rId11"/>
      <w:pgSz w:w="12240" w:h="15840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5"/>
      </w:rPr>
      <w:t>DATA 298A | Checkpoint 1 Demo Memo | September 10,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jsu-298a-team1/self-healing-cloud-systems" TargetMode="External"/><Relationship Id="rId10" Type="http://schemas.openxmlformats.org/officeDocument/2006/relationships/hyperlink" Target="https://linear.app/298a-team-1-self-healing-cloud/team/298/al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Checkpoint 1 Demo Memo - AI-Driven Incident Response and Self-Healing Cloud Systems</dc:title>
  <dc:subject>DATA 298A Checkpoint 1 Demo Memo</dc:subject>
  <dc:creator>Team 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