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Review SOP</w:t>
      </w:r>
    </w:p>
    <w:p>
      <w:r>
        <w:t>Document ID: LEG-001 | Department: LEGAL | Category: SOP | Owner: Legal Operations | Version: 1 | Effective: 2026-01-20</w:t>
      </w:r>
    </w:p>
    <w:p>
      <w:pPr>
        <w:pStyle w:val="Heading1"/>
      </w:pPr>
      <w:r>
        <w:t>1. When Legal Review Is Required</w:t>
      </w:r>
    </w:p>
    <w:p>
      <w:r>
        <w:t>Legal must review every agreement that commits Helios to an obligation, including customer contracts, vendor agreements, NDAs, partnership agreements, data processing agreements, and any contract that deviates from Helios templates.</w:t>
      </w:r>
    </w:p>
    <w:p>
      <w:pPr>
        <w:pStyle w:val="Heading1"/>
      </w:pPr>
      <w:r>
        <w:t>2. How to Submit</w:t>
      </w:r>
    </w:p>
    <w:p>
      <w:r>
        <w:t>Submit contracts through the Legal Request form in Ironclad. Include the counterparty name, contract value, requested signature date, and the business owner. Requests sent by email are not tracked and may be delayed.</w:t>
      </w:r>
    </w:p>
    <w:p>
      <w:pPr>
        <w:pStyle w:val="Heading1"/>
      </w:pPr>
      <w:r>
        <w:t>3. Turnaround Times</w:t>
      </w:r>
    </w:p>
    <w:tbl>
      <w:tblPr>
        <w:tblStyle w:val="TableGrid"/>
        <w:tblW w:type="auto" w:w="0"/>
        <w:tblLook w:firstColumn="1" w:firstRow="1" w:lastColumn="0" w:lastRow="0" w:noHBand="0" w:noVBand="1" w:val="04A0"/>
      </w:tblPr>
      <w:tblGrid>
        <w:gridCol w:w="4320"/>
        <w:gridCol w:w="4320"/>
      </w:tblGrid>
      <w:tr>
        <w:tc>
          <w:tcPr>
            <w:tcW w:type="dxa" w:w="4320"/>
          </w:tcPr>
          <w:p>
            <w:r>
              <w:t>Contract type</w:t>
            </w:r>
          </w:p>
        </w:tc>
        <w:tc>
          <w:tcPr>
            <w:tcW w:type="dxa" w:w="4320"/>
          </w:tcPr>
          <w:p>
            <w:r>
              <w:t>Standard turnaround</w:t>
            </w:r>
          </w:p>
        </w:tc>
      </w:tr>
      <w:tr>
        <w:tc>
          <w:tcPr>
            <w:tcW w:type="dxa" w:w="4320"/>
          </w:tcPr>
          <w:p>
            <w:r>
              <w:t>NDA on Helios template</w:t>
            </w:r>
          </w:p>
        </w:tc>
        <w:tc>
          <w:tcPr>
            <w:tcW w:type="dxa" w:w="4320"/>
          </w:tcPr>
          <w:p>
            <w:r>
              <w:t>1 business day</w:t>
            </w:r>
          </w:p>
        </w:tc>
      </w:tr>
      <w:tr>
        <w:tc>
          <w:tcPr>
            <w:tcW w:type="dxa" w:w="4320"/>
          </w:tcPr>
          <w:p>
            <w:r>
              <w:t>NDA on counterparty paper</w:t>
            </w:r>
          </w:p>
        </w:tc>
        <w:tc>
          <w:tcPr>
            <w:tcW w:type="dxa" w:w="4320"/>
          </w:tcPr>
          <w:p>
            <w:r>
              <w:t>3 business days</w:t>
            </w:r>
          </w:p>
        </w:tc>
      </w:tr>
      <w:tr>
        <w:tc>
          <w:tcPr>
            <w:tcW w:type="dxa" w:w="4320"/>
          </w:tcPr>
          <w:p>
            <w:r>
              <w:t>Vendor agreement under $100,000</w:t>
            </w:r>
          </w:p>
        </w:tc>
        <w:tc>
          <w:tcPr>
            <w:tcW w:type="dxa" w:w="4320"/>
          </w:tcPr>
          <w:p>
            <w:r>
              <w:t>5 business days</w:t>
            </w:r>
          </w:p>
        </w:tc>
      </w:tr>
      <w:tr>
        <w:tc>
          <w:tcPr>
            <w:tcW w:type="dxa" w:w="4320"/>
          </w:tcPr>
          <w:p>
            <w:r>
              <w:t>Customer master agreement or DPA</w:t>
            </w:r>
          </w:p>
        </w:tc>
        <w:tc>
          <w:tcPr>
            <w:tcW w:type="dxa" w:w="4320"/>
          </w:tcPr>
          <w:p>
            <w:r>
              <w:t>10 business days</w:t>
            </w:r>
          </w:p>
        </w:tc>
      </w:tr>
      <w:tr>
        <w:tc>
          <w:tcPr>
            <w:tcW w:type="dxa" w:w="4320"/>
          </w:tcPr>
          <w:p>
            <w:r>
              <w:t>Partnership or reseller agreement</w:t>
            </w:r>
          </w:p>
        </w:tc>
        <w:tc>
          <w:tcPr>
            <w:tcW w:type="dxa" w:w="4320"/>
          </w:tcPr>
          <w:p>
            <w:r>
              <w:t>15 business days</w:t>
            </w:r>
          </w:p>
        </w:tc>
      </w:tr>
    </w:tbl>
    <w:p>
      <w:pPr>
        <w:pStyle w:val="Heading1"/>
      </w:pPr>
      <w:r>
        <w:t>4. Signature Authority</w:t>
      </w:r>
    </w:p>
    <w:p>
      <w:r>
        <w:t>Only Directors and above may sign agreements up to $100,000. Agreements of $100,000 or more must be signed by a Vice President or the CFO. NDAs may be signed by any Manager. Nobody may sign a contract before Legal approval appears in Ironclad.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Helios Systems Inc.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