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9EB9" w14:textId="3323AA9E" w:rsidR="00DC0A3C" w:rsidRDefault="000B25B6" w:rsidP="00822E96">
      <w:pPr>
        <w:pStyle w:val="BBAuthorName"/>
        <w:spacing w:line="240" w:lineRule="auto"/>
        <w:jc w:val="left"/>
        <w:rPr>
          <w:rFonts w:ascii="Times New Roman" w:hAnsi="Times New Roman"/>
          <w:i w:val="0"/>
          <w:sz w:val="44"/>
        </w:rPr>
      </w:pPr>
      <w:r>
        <w:rPr>
          <w:rFonts w:ascii="Times New Roman" w:hAnsi="Times New Roman"/>
          <w:i w:val="0"/>
          <w:sz w:val="44"/>
        </w:rPr>
        <w:t>Electronic Structure</w:t>
      </w:r>
      <w:r w:rsidR="000B0A39" w:rsidRPr="000B0A39">
        <w:rPr>
          <w:rFonts w:ascii="Times New Roman" w:hAnsi="Times New Roman"/>
          <w:i w:val="0"/>
          <w:sz w:val="44"/>
        </w:rPr>
        <w:t xml:space="preserve"> Family Feud: </w:t>
      </w:r>
      <w:r w:rsidR="00CD3B35">
        <w:rPr>
          <w:rFonts w:ascii="Times New Roman" w:hAnsi="Times New Roman"/>
          <w:i w:val="0"/>
          <w:sz w:val="44"/>
        </w:rPr>
        <w:t>Mechanism 1 vs. Mec</w:t>
      </w:r>
      <w:r w:rsidR="0057379B">
        <w:rPr>
          <w:rFonts w:ascii="Times New Roman" w:hAnsi="Times New Roman"/>
          <w:i w:val="0"/>
          <w:sz w:val="44"/>
        </w:rPr>
        <w:t>hanism 2</w:t>
      </w:r>
      <w:r w:rsidR="005B695E">
        <w:rPr>
          <w:rFonts w:ascii="Times New Roman" w:hAnsi="Times New Roman"/>
          <w:i w:val="0"/>
          <w:sz w:val="44"/>
        </w:rPr>
        <w:t xml:space="preserve"> </w:t>
      </w:r>
    </w:p>
    <w:p w14:paraId="7C0A06BE" w14:textId="76605E42" w:rsidR="003A60EF" w:rsidRDefault="00A621C7" w:rsidP="00822E96">
      <w:pPr>
        <w:pStyle w:val="BBAuthorName"/>
        <w:spacing w:line="240" w:lineRule="auto"/>
        <w:jc w:val="left"/>
      </w:pPr>
      <w:r>
        <w:t>Coral I. P</w:t>
      </w:r>
      <w:r w:rsidR="00FD59A6">
        <w:t>i</w:t>
      </w:r>
      <w:r>
        <w:t>chardo</w:t>
      </w:r>
      <w:r w:rsidR="00D85938">
        <w:t xml:space="preserve">, </w:t>
      </w:r>
      <w:r w:rsidR="00BD1B6A" w:rsidRPr="00DD6DBB">
        <w:t>‡</w:t>
      </w:r>
      <w:r w:rsidR="001871D1">
        <w:t>Justyn Cespedes</w:t>
      </w:r>
    </w:p>
    <w:p w14:paraId="27AD7D21" w14:textId="4D9FD36E" w:rsidR="000C05CC" w:rsidRPr="003F2DEA" w:rsidRDefault="005E37E8" w:rsidP="00822E96">
      <w:pPr>
        <w:pStyle w:val="BCAuthorAddress"/>
        <w:spacing w:line="240" w:lineRule="auto"/>
        <w:jc w:val="left"/>
        <w:rPr>
          <w:i/>
          <w:iCs/>
        </w:rPr>
      </w:pPr>
      <w:r w:rsidRPr="003F2DEA">
        <w:rPr>
          <w:i/>
          <w:iCs/>
        </w:rPr>
        <w:t xml:space="preserve">ST. JOHN’S UNIVERSITY </w:t>
      </w:r>
      <w:r w:rsidR="009246AD" w:rsidRPr="003F2DEA">
        <w:rPr>
          <w:b/>
          <w:i/>
          <w:iCs/>
        </w:rPr>
        <w:t xml:space="preserve"> </w:t>
      </w:r>
    </w:p>
    <w:p w14:paraId="45A61CA0" w14:textId="6E7B0406" w:rsidR="00683131" w:rsidRDefault="00AB34C5" w:rsidP="00542C8E">
      <w:pPr>
        <w:pStyle w:val="BDAbstract"/>
        <w:spacing w:line="360" w:lineRule="auto"/>
      </w:pPr>
      <w:r w:rsidRPr="00F13DF9">
        <w:rPr>
          <w:b/>
          <w:bCs/>
        </w:rPr>
        <w:t>ABSTRACT</w:t>
      </w:r>
      <w:r w:rsidR="00103764" w:rsidRPr="00F13DF9">
        <w:rPr>
          <w:b/>
          <w:bCs/>
        </w:rPr>
        <w:t>:</w:t>
      </w:r>
      <w:r>
        <w:t xml:space="preserve"> </w:t>
      </w:r>
      <w:r w:rsidR="003309CA">
        <w:t xml:space="preserve">For the given </w:t>
      </w:r>
      <w:r w:rsidR="006E1721">
        <w:t>reaction shown in Figure 1, two different mechanisms</w:t>
      </w:r>
      <w:r w:rsidR="005E535D">
        <w:t xml:space="preserve"> were </w:t>
      </w:r>
      <w:r w:rsidR="001B5870">
        <w:t>proposed.</w:t>
      </w:r>
      <w:r w:rsidR="00671A78">
        <w:t xml:space="preserve"> </w:t>
      </w:r>
      <w:r w:rsidR="00C026E9">
        <w:t xml:space="preserve">Mechanism 1 </w:t>
      </w:r>
      <w:r w:rsidR="00EC4A30">
        <w:t xml:space="preserve">is shown in Figure 2 and Mechanism 2 is shown in Figure 3. </w:t>
      </w:r>
      <w:r w:rsidR="00BA5A7A">
        <w:t xml:space="preserve">The </w:t>
      </w:r>
      <w:r w:rsidR="006B7B8D">
        <w:t xml:space="preserve">purpose of this experiment </w:t>
      </w:r>
      <w:r w:rsidR="00675F6C">
        <w:t>is to show that one mechanism is more thermodyn</w:t>
      </w:r>
      <w:r w:rsidR="004F4D16">
        <w:t xml:space="preserve">amically favorable than the other. This can be shown </w:t>
      </w:r>
      <w:r w:rsidR="009F7588">
        <w:t xml:space="preserve">by measuring the </w:t>
      </w:r>
      <w:r w:rsidR="00E21268">
        <w:t xml:space="preserve">energy values of each mechanism. </w:t>
      </w:r>
      <w:r w:rsidR="00671A78">
        <w:t xml:space="preserve">Electronic </w:t>
      </w:r>
      <w:r w:rsidR="007122DB">
        <w:t>structure calculations were</w:t>
      </w:r>
      <w:r w:rsidR="005B7241">
        <w:t xml:space="preserve"> made through </w:t>
      </w:r>
      <w:r w:rsidR="00B8019E">
        <w:t>Gauss View</w:t>
      </w:r>
      <w:r w:rsidR="005B7241">
        <w:t xml:space="preserve"> </w:t>
      </w:r>
      <w:r w:rsidR="004405B8">
        <w:t xml:space="preserve">for each </w:t>
      </w:r>
      <w:r w:rsidR="0074778C">
        <w:t xml:space="preserve">molecule involved in each </w:t>
      </w:r>
      <w:r w:rsidR="005C7726">
        <w:t>mechanism</w:t>
      </w:r>
      <w:r w:rsidR="00222AAE">
        <w:t xml:space="preserve">. </w:t>
      </w:r>
      <w:r w:rsidR="00535BAC">
        <w:t>With these calculations</w:t>
      </w:r>
      <w:r w:rsidR="00C679BA">
        <w:t xml:space="preserve"> </w:t>
      </w:r>
      <w:r w:rsidR="00B4717D">
        <w:t xml:space="preserve">the thermodynamics of </w:t>
      </w:r>
      <w:r w:rsidR="00A52E8A">
        <w:t xml:space="preserve">both mechanisms were compared. It was determined that Mechanism </w:t>
      </w:r>
      <w:r w:rsidR="00E257EA">
        <w:t>2</w:t>
      </w:r>
      <w:r w:rsidR="00982C5F">
        <w:t xml:space="preserve"> </w:t>
      </w:r>
      <w:r w:rsidR="00A52E8A">
        <w:t xml:space="preserve"> </w:t>
      </w:r>
      <w:r w:rsidR="00A5228E">
        <w:t xml:space="preserve">is more </w:t>
      </w:r>
      <w:r w:rsidR="00FD723F">
        <w:t>t</w:t>
      </w:r>
      <w:r w:rsidR="00A5228E">
        <w:t>her</w:t>
      </w:r>
      <w:r w:rsidR="00203846">
        <w:t xml:space="preserve">modynamically </w:t>
      </w:r>
      <w:r w:rsidR="00FD723F">
        <w:t xml:space="preserve">favorable. </w:t>
      </w:r>
    </w:p>
    <w:p w14:paraId="79AB75A3" w14:textId="53B755C9" w:rsidR="00F41F9F" w:rsidRPr="009D7BE9" w:rsidRDefault="003D397B" w:rsidP="00EC1544">
      <w:pPr>
        <w:pStyle w:val="Caption"/>
        <w:keepNext/>
        <w:jc w:val="center"/>
        <w:rPr>
          <w:color w:val="5F497A" w:themeColor="accent4" w:themeShade="BF"/>
          <w:sz w:val="22"/>
          <w:szCs w:val="22"/>
        </w:rPr>
      </w:pPr>
      <w:r w:rsidRPr="009D7BE9">
        <w:rPr>
          <w:color w:val="5F497A" w:themeColor="accent4" w:themeShade="BF"/>
          <w:sz w:val="22"/>
          <w:szCs w:val="22"/>
        </w:rPr>
        <w:t>Scheme</w:t>
      </w:r>
      <w:r w:rsidR="007E5811" w:rsidRPr="009D7BE9">
        <w:rPr>
          <w:color w:val="5F497A" w:themeColor="accent4" w:themeShade="BF"/>
          <w:sz w:val="22"/>
          <w:szCs w:val="22"/>
        </w:rPr>
        <w:t xml:space="preserve"> </w:t>
      </w:r>
      <w:r w:rsidR="00F41F81" w:rsidRPr="009D7BE9">
        <w:rPr>
          <w:color w:val="5F497A" w:themeColor="accent4" w:themeShade="BF"/>
          <w:sz w:val="22"/>
          <w:szCs w:val="22"/>
        </w:rPr>
        <w:fldChar w:fldCharType="begin"/>
      </w:r>
      <w:r w:rsidR="00F41F81" w:rsidRPr="009D7BE9">
        <w:rPr>
          <w:color w:val="5F497A" w:themeColor="accent4" w:themeShade="BF"/>
          <w:sz w:val="22"/>
          <w:szCs w:val="22"/>
        </w:rPr>
        <w:instrText xml:space="preserve"> SEQ Figure \* ARABIC </w:instrText>
      </w:r>
      <w:r w:rsidR="00F41F81" w:rsidRPr="009D7BE9">
        <w:rPr>
          <w:color w:val="5F497A" w:themeColor="accent4" w:themeShade="BF"/>
          <w:sz w:val="22"/>
          <w:szCs w:val="22"/>
        </w:rPr>
        <w:fldChar w:fldCharType="separate"/>
      </w:r>
      <w:r w:rsidR="002D73F2">
        <w:rPr>
          <w:noProof/>
          <w:color w:val="5F497A" w:themeColor="accent4" w:themeShade="BF"/>
          <w:sz w:val="22"/>
          <w:szCs w:val="22"/>
        </w:rPr>
        <w:t>1</w:t>
      </w:r>
      <w:r w:rsidR="00F41F81" w:rsidRPr="009D7BE9">
        <w:rPr>
          <w:color w:val="5F497A" w:themeColor="accent4" w:themeShade="BF"/>
          <w:sz w:val="22"/>
          <w:szCs w:val="22"/>
        </w:rPr>
        <w:fldChar w:fldCharType="end"/>
      </w:r>
      <w:r w:rsidRPr="009D7BE9">
        <w:rPr>
          <w:color w:val="5F497A" w:themeColor="accent4" w:themeShade="BF"/>
          <w:sz w:val="22"/>
          <w:szCs w:val="22"/>
        </w:rPr>
        <w:t>. De</w:t>
      </w:r>
      <w:r w:rsidR="00B412C3" w:rsidRPr="009D7BE9">
        <w:rPr>
          <w:color w:val="5F497A" w:themeColor="accent4" w:themeShade="BF"/>
          <w:sz w:val="22"/>
          <w:szCs w:val="22"/>
        </w:rPr>
        <w:t>hydration Reaction</w:t>
      </w:r>
    </w:p>
    <w:p w14:paraId="49CEFC89" w14:textId="4CC34143" w:rsidR="005E18F2" w:rsidRPr="007E12F9" w:rsidRDefault="0081393C" w:rsidP="00EC1544">
      <w:pPr>
        <w:pStyle w:val="Caption"/>
        <w:keepNext/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9005EF7" wp14:editId="5D18D781">
            <wp:extent cx="3338512" cy="1128712"/>
            <wp:effectExtent l="19050" t="19050" r="14605" b="1460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794" cy="113996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7415491" w14:textId="128DAF75" w:rsidR="00EC5269" w:rsidRDefault="006F4322" w:rsidP="00EC5269">
      <w:pPr>
        <w:pStyle w:val="Caption"/>
        <w:keepNext/>
      </w:pPr>
      <w:r w:rsidRPr="009D7BE9">
        <w:rPr>
          <w:color w:val="5F497A" w:themeColor="accent4" w:themeShade="BF"/>
          <w:sz w:val="22"/>
          <w:szCs w:val="22"/>
        </w:rPr>
        <w:t xml:space="preserve">Scheme </w:t>
      </w:r>
      <w:r w:rsidR="00F41F81" w:rsidRPr="009D7BE9">
        <w:rPr>
          <w:color w:val="5F497A" w:themeColor="accent4" w:themeShade="BF"/>
          <w:sz w:val="22"/>
          <w:szCs w:val="22"/>
        </w:rPr>
        <w:fldChar w:fldCharType="begin"/>
      </w:r>
      <w:r w:rsidR="00F41F81" w:rsidRPr="009D7BE9">
        <w:rPr>
          <w:color w:val="5F497A" w:themeColor="accent4" w:themeShade="BF"/>
          <w:sz w:val="22"/>
          <w:szCs w:val="22"/>
        </w:rPr>
        <w:instrText xml:space="preserve"> SEQ Figure \* ARABIC </w:instrText>
      </w:r>
      <w:r w:rsidR="00F41F81" w:rsidRPr="009D7BE9">
        <w:rPr>
          <w:color w:val="5F497A" w:themeColor="accent4" w:themeShade="BF"/>
          <w:sz w:val="22"/>
          <w:szCs w:val="22"/>
        </w:rPr>
        <w:fldChar w:fldCharType="separate"/>
      </w:r>
      <w:r w:rsidR="002D73F2">
        <w:rPr>
          <w:noProof/>
          <w:color w:val="5F497A" w:themeColor="accent4" w:themeShade="BF"/>
          <w:sz w:val="22"/>
          <w:szCs w:val="22"/>
        </w:rPr>
        <w:t>2</w:t>
      </w:r>
      <w:r w:rsidR="00F41F81" w:rsidRPr="009D7BE9">
        <w:rPr>
          <w:color w:val="5F497A" w:themeColor="accent4" w:themeShade="BF"/>
          <w:sz w:val="22"/>
          <w:szCs w:val="22"/>
        </w:rPr>
        <w:fldChar w:fldCharType="end"/>
      </w:r>
      <w:r w:rsidRPr="009D7BE9">
        <w:rPr>
          <w:color w:val="5F497A" w:themeColor="accent4" w:themeShade="BF"/>
          <w:sz w:val="22"/>
          <w:szCs w:val="22"/>
        </w:rPr>
        <w:t xml:space="preserve">. Mechanism </w:t>
      </w:r>
      <w:r w:rsidR="00EC1544" w:rsidRPr="009D7BE9">
        <w:rPr>
          <w:color w:val="5F497A" w:themeColor="accent4" w:themeShade="BF"/>
          <w:sz w:val="22"/>
          <w:szCs w:val="22"/>
        </w:rPr>
        <w:t xml:space="preserve">                                                             </w:t>
      </w:r>
      <w:r w:rsidR="00F41F9F" w:rsidRPr="009D7BE9">
        <w:rPr>
          <w:color w:val="5F497A" w:themeColor="accent4" w:themeShade="BF"/>
          <w:sz w:val="22"/>
          <w:szCs w:val="22"/>
        </w:rPr>
        <w:t xml:space="preserve">Scheme </w:t>
      </w:r>
      <w:r w:rsidR="00F41F81" w:rsidRPr="009D7BE9">
        <w:rPr>
          <w:color w:val="5F497A" w:themeColor="accent4" w:themeShade="BF"/>
          <w:sz w:val="22"/>
          <w:szCs w:val="22"/>
        </w:rPr>
        <w:fldChar w:fldCharType="begin"/>
      </w:r>
      <w:r w:rsidR="00F41F81" w:rsidRPr="009D7BE9">
        <w:rPr>
          <w:color w:val="5F497A" w:themeColor="accent4" w:themeShade="BF"/>
          <w:sz w:val="22"/>
          <w:szCs w:val="22"/>
        </w:rPr>
        <w:instrText xml:space="preserve"> SEQ Figure \* ARABIC </w:instrText>
      </w:r>
      <w:r w:rsidR="00F41F81" w:rsidRPr="009D7BE9">
        <w:rPr>
          <w:color w:val="5F497A" w:themeColor="accent4" w:themeShade="BF"/>
          <w:sz w:val="22"/>
          <w:szCs w:val="22"/>
        </w:rPr>
        <w:fldChar w:fldCharType="separate"/>
      </w:r>
      <w:r w:rsidR="002D73F2">
        <w:rPr>
          <w:noProof/>
          <w:color w:val="5F497A" w:themeColor="accent4" w:themeShade="BF"/>
          <w:sz w:val="22"/>
          <w:szCs w:val="22"/>
        </w:rPr>
        <w:t>3</w:t>
      </w:r>
      <w:r w:rsidR="00F41F81" w:rsidRPr="009D7BE9">
        <w:rPr>
          <w:color w:val="5F497A" w:themeColor="accent4" w:themeShade="BF"/>
          <w:sz w:val="22"/>
          <w:szCs w:val="22"/>
        </w:rPr>
        <w:fldChar w:fldCharType="end"/>
      </w:r>
      <w:r w:rsidR="00F41F9F" w:rsidRPr="009D7BE9">
        <w:rPr>
          <w:color w:val="5F497A" w:themeColor="accent4" w:themeShade="BF"/>
          <w:sz w:val="22"/>
          <w:szCs w:val="22"/>
        </w:rPr>
        <w:t>. Mechanism 2</w:t>
      </w:r>
      <w:r w:rsidRPr="009D7BE9">
        <w:rPr>
          <w:color w:val="5F497A" w:themeColor="accent4" w:themeShade="BF"/>
          <w:sz w:val="22"/>
          <w:szCs w:val="22"/>
        </w:rPr>
        <w:t xml:space="preserve">                                                                               </w:t>
      </w:r>
    </w:p>
    <w:p w14:paraId="0F74446F" w14:textId="3E7F6AD8" w:rsidR="00F66543" w:rsidRDefault="0028461D" w:rsidP="003555A1">
      <w:pPr>
        <w:pStyle w:val="Caption"/>
        <w:keepNext/>
      </w:pPr>
      <w:r>
        <w:rPr>
          <w:noProof/>
        </w:rPr>
        <w:drawing>
          <wp:inline distT="0" distB="0" distL="0" distR="0" wp14:anchorId="3285F76F" wp14:editId="277A84BC">
            <wp:extent cx="2524125" cy="2124075"/>
            <wp:effectExtent l="19050" t="19050" r="28575" b="285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959" cy="212898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="000C753C">
        <w:t xml:space="preserve">                            </w:t>
      </w:r>
      <w:r w:rsidR="00F66543">
        <w:rPr>
          <w:noProof/>
        </w:rPr>
        <w:drawing>
          <wp:inline distT="0" distB="0" distL="0" distR="0" wp14:anchorId="3932ADB8" wp14:editId="2242E947">
            <wp:extent cx="2447925" cy="2109788"/>
            <wp:effectExtent l="19050" t="19050" r="9525" b="2413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836" cy="2116606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1AC777F" w14:textId="181FB448" w:rsidR="001601DA" w:rsidRPr="00E21268" w:rsidRDefault="001601DA" w:rsidP="003555A1">
      <w:pPr>
        <w:pStyle w:val="Caption"/>
        <w:keepNext/>
      </w:pPr>
    </w:p>
    <w:p w14:paraId="10A50477" w14:textId="77777777" w:rsidR="00AB34C5" w:rsidRDefault="00AB34C5" w:rsidP="000702AD">
      <w:pPr>
        <w:pStyle w:val="BGKeywords"/>
      </w:pPr>
    </w:p>
    <w:p w14:paraId="7FCB7253" w14:textId="77777777" w:rsidR="00460060" w:rsidRDefault="00460060" w:rsidP="000B5610">
      <w:pPr>
        <w:pStyle w:val="TAMainText"/>
        <w:spacing w:after="240"/>
        <w:ind w:firstLine="0"/>
        <w:jc w:val="left"/>
        <w:sectPr w:rsidR="00460060" w:rsidSect="00EF0325">
          <w:footerReference w:type="even" r:id="rId11"/>
          <w:footerReference w:type="default" r:id="rId12"/>
          <w:type w:val="continuous"/>
          <w:pgSz w:w="12240" w:h="15840"/>
          <w:pgMar w:top="1440" w:right="1080" w:bottom="1440" w:left="1080" w:header="0" w:footer="0" w:gutter="0"/>
          <w:cols w:space="475"/>
          <w:docGrid w:linePitch="326"/>
        </w:sectPr>
      </w:pPr>
    </w:p>
    <w:p w14:paraId="25A8F0A5" w14:textId="131C369B" w:rsidR="00AB34C5" w:rsidRDefault="002037D1" w:rsidP="000B5610">
      <w:pPr>
        <w:pStyle w:val="TAMainText"/>
        <w:spacing w:after="240"/>
        <w:ind w:firstLine="0"/>
        <w:jc w:val="left"/>
      </w:pPr>
      <w:r w:rsidRPr="00F13DF9">
        <w:rPr>
          <w:b/>
          <w:bCs/>
        </w:rPr>
        <w:lastRenderedPageBreak/>
        <w:t>INTRODUCTION</w:t>
      </w:r>
      <w:r w:rsidR="00722CFB" w:rsidRPr="00F13DF9">
        <w:rPr>
          <w:b/>
          <w:bCs/>
        </w:rPr>
        <w:t>:</w:t>
      </w:r>
      <w:r w:rsidR="00AB34C5">
        <w:t xml:space="preserve"> </w:t>
      </w:r>
    </w:p>
    <w:p w14:paraId="448C36DE" w14:textId="5837A77B" w:rsidR="00C47746" w:rsidRDefault="00FB37A8" w:rsidP="00C37E85">
      <w:pPr>
        <w:pStyle w:val="TAMainText"/>
        <w:spacing w:after="240"/>
        <w:ind w:firstLine="0"/>
        <w:jc w:val="left"/>
      </w:pPr>
      <w:r>
        <w:t>When</w:t>
      </w:r>
      <w:r w:rsidR="00F87B3C">
        <w:t xml:space="preserve"> comparing </w:t>
      </w:r>
      <w:r w:rsidR="00C153BE">
        <w:t xml:space="preserve">the validity </w:t>
      </w:r>
      <w:r w:rsidR="00470AD8">
        <w:t xml:space="preserve">of two </w:t>
      </w:r>
      <w:r w:rsidR="00A34F78">
        <w:t xml:space="preserve">different </w:t>
      </w:r>
      <w:r w:rsidR="00470AD8">
        <w:t>mech</w:t>
      </w:r>
      <w:r w:rsidR="00F34AA6">
        <w:t>anisms</w:t>
      </w:r>
      <w:r w:rsidR="00A34F78">
        <w:t xml:space="preserve"> </w:t>
      </w:r>
      <w:r w:rsidR="00037C8C">
        <w:t xml:space="preserve">with the same </w:t>
      </w:r>
      <w:r w:rsidR="009075A5">
        <w:t>starting reagent</w:t>
      </w:r>
      <w:r w:rsidR="001A4114">
        <w:t xml:space="preserve"> and </w:t>
      </w:r>
      <w:r w:rsidR="001135B2">
        <w:t>same final product</w:t>
      </w:r>
      <w:r w:rsidR="00F34AA6">
        <w:t xml:space="preserve">, </w:t>
      </w:r>
      <w:r w:rsidR="00596413">
        <w:t xml:space="preserve">the </w:t>
      </w:r>
      <w:r w:rsidR="001135B2">
        <w:t>thermodyn</w:t>
      </w:r>
      <w:r w:rsidR="00EB0CF4">
        <w:t xml:space="preserve">amics of each mechanism </w:t>
      </w:r>
      <w:r w:rsidR="00B13923">
        <w:t>should</w:t>
      </w:r>
      <w:r w:rsidR="00EB0CF4">
        <w:t xml:space="preserve"> be called into question. </w:t>
      </w:r>
      <w:r w:rsidR="00AB31BF">
        <w:t xml:space="preserve">If a mechanism is </w:t>
      </w:r>
      <w:r w:rsidR="009952E6">
        <w:t xml:space="preserve">considered </w:t>
      </w:r>
      <w:r w:rsidR="00AB31BF">
        <w:t>thermodyn</w:t>
      </w:r>
      <w:r w:rsidR="009243CF">
        <w:t xml:space="preserve">amically favorable, then it is </w:t>
      </w:r>
      <w:r w:rsidR="00DB36E0">
        <w:t>more likely to take place</w:t>
      </w:r>
      <w:r w:rsidR="007C62CA">
        <w:t xml:space="preserve"> in nature. </w:t>
      </w:r>
      <w:r w:rsidR="00C85591">
        <w:t>W</w:t>
      </w:r>
      <w:r w:rsidR="00A60353">
        <w:t>e can tell how thermodyn</w:t>
      </w:r>
      <w:r w:rsidR="006A0643">
        <w:t xml:space="preserve">amically favorable a given mechanism is using the </w:t>
      </w:r>
      <w:r w:rsidR="00866535">
        <w:t>Gibbs Free Energy Equation</w:t>
      </w:r>
      <w:r w:rsidR="00E60F18">
        <w:t xml:space="preserve">: </w:t>
      </w:r>
    </w:p>
    <w:p w14:paraId="6C670E68" w14:textId="02CDE80A" w:rsidR="004B43F1" w:rsidRPr="006F0C53" w:rsidRDefault="006C6329" w:rsidP="00803B7D">
      <w:pPr>
        <w:pStyle w:val="TAMainText"/>
        <w:spacing w:after="240"/>
        <w:ind w:firstLine="0"/>
        <w:jc w:val="center"/>
      </w:pPr>
      <w:r>
        <w:rPr>
          <w:b/>
          <w:bCs/>
        </w:rPr>
        <w:t>E</w:t>
      </w:r>
      <w:r w:rsidR="00AC2083">
        <w:rPr>
          <w:b/>
          <w:bCs/>
        </w:rPr>
        <w:t xml:space="preserve">quation 1:  </w:t>
      </w:r>
      <m:oMath>
        <m:r>
          <m:rPr>
            <m:sty m:val="bi"/>
          </m:rPr>
          <w:rPr>
            <w:rFonts w:ascii="Cambria Math" w:hAnsi="Cambria Math"/>
          </w:rPr>
          <m:t>∆G°=∆H°-T∆S°</m:t>
        </m:r>
      </m:oMath>
    </w:p>
    <w:p w14:paraId="41D519C2" w14:textId="3C49C7C7" w:rsidR="00E22103" w:rsidRPr="00FB37A8" w:rsidRDefault="0086654B" w:rsidP="000B5610">
      <w:pPr>
        <w:pStyle w:val="TAMainText"/>
        <w:spacing w:after="240"/>
        <w:ind w:firstLine="0"/>
        <w:jc w:val="left"/>
      </w:pPr>
      <w:r>
        <w:t xml:space="preserve">Where </w:t>
      </w:r>
      <w:r w:rsidR="001A47C2">
        <w:rPr>
          <w:rFonts w:ascii="Calibri" w:hAnsi="Calibri" w:cs="Calibri"/>
        </w:rPr>
        <w:t>Δ</w:t>
      </w:r>
      <w:r w:rsidR="001A47C2">
        <w:t>G</w:t>
      </w:r>
      <w:r w:rsidR="00697545">
        <w:rPr>
          <w:rFonts w:cs="Times"/>
        </w:rPr>
        <w:t>°</w:t>
      </w:r>
      <w:r w:rsidR="00610069">
        <w:t xml:space="preserve"> is the </w:t>
      </w:r>
      <w:r w:rsidR="007879B8">
        <w:t xml:space="preserve">change in </w:t>
      </w:r>
      <w:r w:rsidR="00610069">
        <w:t>free energy</w:t>
      </w:r>
      <w:r w:rsidR="007879B8">
        <w:t xml:space="preserve"> of a given reaction</w:t>
      </w:r>
      <w:r w:rsidR="00610069">
        <w:t xml:space="preserve">, </w:t>
      </w:r>
      <w:r w:rsidR="00697545">
        <w:rPr>
          <w:rFonts w:ascii="Calibri" w:hAnsi="Calibri" w:cs="Calibri"/>
        </w:rPr>
        <w:t>Δ</w:t>
      </w:r>
      <w:r w:rsidR="007879B8">
        <w:t>H</w:t>
      </w:r>
      <w:r w:rsidR="00697545">
        <w:rPr>
          <w:rFonts w:cs="Times"/>
        </w:rPr>
        <w:t>°</w:t>
      </w:r>
      <w:r w:rsidR="007879B8">
        <w:t xml:space="preserve"> is the change in enthalpy</w:t>
      </w:r>
      <w:r w:rsidR="00F54BF7">
        <w:t xml:space="preserve">, and </w:t>
      </w:r>
      <w:r w:rsidR="00697545">
        <w:rPr>
          <w:rFonts w:ascii="Calibri" w:hAnsi="Calibri" w:cs="Calibri"/>
        </w:rPr>
        <w:t>Δ</w:t>
      </w:r>
      <w:r w:rsidR="00250362">
        <w:t>S</w:t>
      </w:r>
      <w:r w:rsidR="00697545">
        <w:rPr>
          <w:rFonts w:cs="Times"/>
        </w:rPr>
        <w:t>°</w:t>
      </w:r>
      <w:r w:rsidR="00250362">
        <w:t xml:space="preserve"> is the change in entropy. </w:t>
      </w:r>
      <w:r w:rsidR="001A3788">
        <w:t>When</w:t>
      </w:r>
      <w:r w:rsidR="002043A6">
        <w:t xml:space="preserve"> </w:t>
      </w:r>
      <w:r w:rsidR="002043A6">
        <w:rPr>
          <w:rFonts w:ascii="Calibri" w:hAnsi="Calibri" w:cs="Calibri"/>
        </w:rPr>
        <w:t>Δ</w:t>
      </w:r>
      <w:r w:rsidR="002043A6">
        <w:t>G</w:t>
      </w:r>
      <w:r w:rsidR="002043A6">
        <w:rPr>
          <w:rFonts w:cs="Times"/>
        </w:rPr>
        <w:t>°</w:t>
      </w:r>
      <w:r w:rsidR="002043A6">
        <w:t xml:space="preserve"> is </w:t>
      </w:r>
      <w:r w:rsidR="0093023D">
        <w:t>negative</w:t>
      </w:r>
      <w:r w:rsidR="00A52CB8">
        <w:t xml:space="preserve"> for a given </w:t>
      </w:r>
      <w:r w:rsidR="00B30780">
        <w:t>reaction</w:t>
      </w:r>
      <w:r w:rsidR="0093023D">
        <w:t xml:space="preserve">, this means that </w:t>
      </w:r>
      <w:r w:rsidR="00600C90">
        <w:t>it is thermodynamically favorable as well as spontaneous</w:t>
      </w:r>
      <w:r w:rsidR="00C934AC">
        <w:t xml:space="preserve">. </w:t>
      </w:r>
      <w:r w:rsidR="00FF27B5">
        <w:t>The spontaneity</w:t>
      </w:r>
      <w:r w:rsidR="008133BF">
        <w:t xml:space="preserve"> of a reaction</w:t>
      </w:r>
      <w:r w:rsidR="001C02C9">
        <w:t xml:space="preserve"> is dependent on</w:t>
      </w:r>
      <w:r w:rsidR="00A56D7F">
        <w:t xml:space="preserve"> signs of</w:t>
      </w:r>
      <w:r w:rsidR="001C02C9">
        <w:t xml:space="preserve"> both the </w:t>
      </w:r>
      <w:r w:rsidR="002E0288">
        <w:t>enthalpy and entropy.</w:t>
      </w:r>
      <w:r w:rsidR="008133BF">
        <w:t xml:space="preserve"> </w:t>
      </w:r>
      <w:r w:rsidR="001A3788">
        <w:t xml:space="preserve"> </w:t>
      </w:r>
      <w:r w:rsidR="00DB20CD">
        <w:t>If</w:t>
      </w:r>
      <w:r w:rsidR="001222A8">
        <w:t xml:space="preserve"> </w:t>
      </w:r>
      <w:r w:rsidR="00D40B2A">
        <w:rPr>
          <w:rFonts w:ascii="Calibri" w:hAnsi="Calibri" w:cs="Calibri"/>
        </w:rPr>
        <w:t>Δ</w:t>
      </w:r>
      <w:r w:rsidR="00D40B2A">
        <w:t>H</w:t>
      </w:r>
      <w:r w:rsidR="00D40B2A">
        <w:rPr>
          <w:rFonts w:cs="Times"/>
        </w:rPr>
        <w:t>°</w:t>
      </w:r>
      <w:r w:rsidR="00D40B2A">
        <w:rPr>
          <w:rFonts w:cs="Times"/>
        </w:rPr>
        <w:t xml:space="preserve"> </w:t>
      </w:r>
      <w:r w:rsidR="001222A8">
        <w:t xml:space="preserve">is </w:t>
      </w:r>
      <w:r w:rsidR="004A40B5">
        <w:t>negative and</w:t>
      </w:r>
      <w:r w:rsidR="00040BE9">
        <w:t xml:space="preserve"> </w:t>
      </w:r>
      <w:r w:rsidR="00040BE9">
        <w:rPr>
          <w:rFonts w:ascii="Calibri" w:hAnsi="Calibri" w:cs="Calibri"/>
        </w:rPr>
        <w:t>Δ</w:t>
      </w:r>
      <w:r w:rsidR="00040BE9">
        <w:t>S</w:t>
      </w:r>
      <w:r w:rsidR="00040BE9">
        <w:rPr>
          <w:rFonts w:cs="Times"/>
        </w:rPr>
        <w:t>°</w:t>
      </w:r>
      <w:r w:rsidR="004A40B5">
        <w:t xml:space="preserve"> </w:t>
      </w:r>
      <w:r w:rsidR="00C61A79">
        <w:t>is positive</w:t>
      </w:r>
      <w:r w:rsidR="00380C98">
        <w:t xml:space="preserve">, then the reaction is </w:t>
      </w:r>
      <w:r w:rsidR="005E4FCC">
        <w:t xml:space="preserve">always </w:t>
      </w:r>
      <w:r w:rsidR="00380C98">
        <w:t>spontan</w:t>
      </w:r>
      <w:r w:rsidR="008C5334">
        <w:t>eous. If both</w:t>
      </w:r>
      <w:r w:rsidR="00852AF4">
        <w:t xml:space="preserve"> </w:t>
      </w:r>
      <w:r w:rsidR="00852AF4">
        <w:rPr>
          <w:rFonts w:ascii="Calibri" w:hAnsi="Calibri" w:cs="Calibri"/>
        </w:rPr>
        <w:t>Δ</w:t>
      </w:r>
      <w:r w:rsidR="00852AF4">
        <w:t>H</w:t>
      </w:r>
      <w:r w:rsidR="00852AF4">
        <w:rPr>
          <w:rFonts w:cs="Times"/>
        </w:rPr>
        <w:t>°</w:t>
      </w:r>
      <w:r w:rsidR="008C5334">
        <w:t xml:space="preserve"> and</w:t>
      </w:r>
      <w:r w:rsidR="00FE5369" w:rsidRPr="00FE5369">
        <w:rPr>
          <w:rFonts w:ascii="Calibri" w:hAnsi="Calibri" w:cs="Calibri"/>
        </w:rPr>
        <w:t xml:space="preserve"> </w:t>
      </w:r>
      <w:r w:rsidR="00FE5369">
        <w:rPr>
          <w:rFonts w:ascii="Calibri" w:hAnsi="Calibri" w:cs="Calibri"/>
        </w:rPr>
        <w:t>Δ</w:t>
      </w:r>
      <w:r w:rsidR="00FE5369">
        <w:t>S</w:t>
      </w:r>
      <w:r w:rsidR="00FE5369">
        <w:rPr>
          <w:rFonts w:cs="Times"/>
        </w:rPr>
        <w:t>°</w:t>
      </w:r>
      <w:r w:rsidR="008C5334">
        <w:t xml:space="preserve"> </w:t>
      </w:r>
      <w:r w:rsidR="00044009">
        <w:t xml:space="preserve">are </w:t>
      </w:r>
      <w:r w:rsidR="005E4FCC">
        <w:t>positive,</w:t>
      </w:r>
      <w:r w:rsidR="00924A33">
        <w:t xml:space="preserve"> then </w:t>
      </w:r>
      <w:r w:rsidR="0073789A">
        <w:t>the</w:t>
      </w:r>
      <w:r w:rsidR="00924A33">
        <w:t xml:space="preserve"> reaction is </w:t>
      </w:r>
      <w:r w:rsidR="0001269D">
        <w:t xml:space="preserve">spontaneous at </w:t>
      </w:r>
      <w:r w:rsidR="00D37406">
        <w:t>higher temper</w:t>
      </w:r>
      <w:r w:rsidR="004E5801">
        <w:t>atures and non-</w:t>
      </w:r>
      <w:r w:rsidR="004E5801">
        <w:t>spontaneous at lower temperatures.</w:t>
      </w:r>
      <w:r w:rsidR="00DB20CD">
        <w:t xml:space="preserve"> </w:t>
      </w:r>
      <w:r w:rsidR="00B23898">
        <w:t xml:space="preserve">If both </w:t>
      </w:r>
      <w:r w:rsidR="00B23898">
        <w:rPr>
          <w:rFonts w:ascii="Calibri" w:hAnsi="Calibri" w:cs="Calibri"/>
        </w:rPr>
        <w:t>Δ</w:t>
      </w:r>
      <w:r w:rsidR="00B23898">
        <w:t>H</w:t>
      </w:r>
      <w:r w:rsidR="00B23898">
        <w:rPr>
          <w:rFonts w:cs="Times"/>
        </w:rPr>
        <w:t>°</w:t>
      </w:r>
      <w:r w:rsidR="00B23898">
        <w:t xml:space="preserve"> and</w:t>
      </w:r>
      <w:r w:rsidR="00B23898" w:rsidRPr="00FE5369">
        <w:rPr>
          <w:rFonts w:ascii="Calibri" w:hAnsi="Calibri" w:cs="Calibri"/>
        </w:rPr>
        <w:t xml:space="preserve"> </w:t>
      </w:r>
      <w:r w:rsidR="00B23898">
        <w:rPr>
          <w:rFonts w:ascii="Calibri" w:hAnsi="Calibri" w:cs="Calibri"/>
        </w:rPr>
        <w:t>Δ</w:t>
      </w:r>
      <w:r w:rsidR="00B23898">
        <w:t>S</w:t>
      </w:r>
      <w:r w:rsidR="00B23898">
        <w:rPr>
          <w:rFonts w:cs="Times"/>
        </w:rPr>
        <w:t>°</w:t>
      </w:r>
      <w:r w:rsidR="00B23898">
        <w:t xml:space="preserve"> are </w:t>
      </w:r>
      <w:r w:rsidR="00C66B8B">
        <w:t>negative</w:t>
      </w:r>
      <w:r w:rsidR="00B23898">
        <w:t xml:space="preserve">, then the reaction is spontaneous at </w:t>
      </w:r>
      <w:r w:rsidR="006E600A">
        <w:t>lower</w:t>
      </w:r>
      <w:r w:rsidR="00B23898">
        <w:t xml:space="preserve"> temperatures and non-spontaneous at </w:t>
      </w:r>
      <w:r w:rsidR="006E600A">
        <w:t>higher</w:t>
      </w:r>
      <w:r w:rsidR="00B23898">
        <w:t xml:space="preserve"> temperatures. </w:t>
      </w:r>
      <w:r w:rsidR="00EF6335">
        <w:t xml:space="preserve">If </w:t>
      </w:r>
      <w:r w:rsidR="00EF6335">
        <w:rPr>
          <w:rFonts w:ascii="Calibri" w:hAnsi="Calibri" w:cs="Calibri"/>
        </w:rPr>
        <w:t>Δ</w:t>
      </w:r>
      <w:r w:rsidR="00EF6335">
        <w:t>H</w:t>
      </w:r>
      <w:r w:rsidR="00EF6335">
        <w:rPr>
          <w:rFonts w:cs="Times"/>
        </w:rPr>
        <w:t xml:space="preserve">° </w:t>
      </w:r>
      <w:r w:rsidR="00EF6335">
        <w:t xml:space="preserve">is </w:t>
      </w:r>
      <w:r w:rsidR="00EF6335">
        <w:t>positive</w:t>
      </w:r>
      <w:r w:rsidR="00EF6335">
        <w:t xml:space="preserve"> and </w:t>
      </w:r>
      <w:r w:rsidR="00EF6335">
        <w:rPr>
          <w:rFonts w:ascii="Calibri" w:hAnsi="Calibri" w:cs="Calibri"/>
        </w:rPr>
        <w:t>Δ</w:t>
      </w:r>
      <w:r w:rsidR="00EF6335">
        <w:t>S</w:t>
      </w:r>
      <w:r w:rsidR="00EF6335">
        <w:rPr>
          <w:rFonts w:cs="Times"/>
        </w:rPr>
        <w:t>°</w:t>
      </w:r>
      <w:r w:rsidR="00EF6335">
        <w:t xml:space="preserve"> is </w:t>
      </w:r>
      <w:r w:rsidR="00EF6335">
        <w:t>negative</w:t>
      </w:r>
      <w:r w:rsidR="00EF6335">
        <w:t xml:space="preserve">, then the reaction is always </w:t>
      </w:r>
      <w:r w:rsidR="001F5E51">
        <w:t>non-</w:t>
      </w:r>
      <w:r w:rsidR="00EF6335">
        <w:t xml:space="preserve">spontaneous. </w:t>
      </w:r>
      <w:r w:rsidR="007E4ADF">
        <w:t>A reaction is enthalpically driven i</w:t>
      </w:r>
      <w:r w:rsidR="00370A82">
        <w:t xml:space="preserve">f </w:t>
      </w:r>
      <w:r w:rsidR="00BB1CD7">
        <w:t xml:space="preserve">both </w:t>
      </w:r>
      <w:r w:rsidR="00322E96">
        <w:rPr>
          <w:rFonts w:ascii="Calibri" w:hAnsi="Calibri" w:cs="Calibri"/>
        </w:rPr>
        <w:t>Δ</w:t>
      </w:r>
      <w:r w:rsidR="00322E96">
        <w:t>H</w:t>
      </w:r>
      <w:r w:rsidR="00322E96">
        <w:rPr>
          <w:rFonts w:cs="Times"/>
        </w:rPr>
        <w:t>°</w:t>
      </w:r>
      <w:r w:rsidR="00322E96">
        <w:rPr>
          <w:rFonts w:cs="Times"/>
        </w:rPr>
        <w:t xml:space="preserve"> </w:t>
      </w:r>
      <w:r w:rsidR="00BB1CD7">
        <w:rPr>
          <w:rFonts w:cs="Times"/>
        </w:rPr>
        <w:t xml:space="preserve">and </w:t>
      </w:r>
      <w:r w:rsidR="004D4E64">
        <w:rPr>
          <w:rFonts w:ascii="Calibri" w:hAnsi="Calibri" w:cs="Calibri"/>
        </w:rPr>
        <w:t>Δ</w:t>
      </w:r>
      <w:r w:rsidR="004D4E64">
        <w:t>S</w:t>
      </w:r>
      <w:r w:rsidR="004D4E64">
        <w:rPr>
          <w:rFonts w:cs="Times"/>
        </w:rPr>
        <w:t>°</w:t>
      </w:r>
      <w:r w:rsidR="004D4E64">
        <w:rPr>
          <w:rFonts w:cs="Times"/>
        </w:rPr>
        <w:t xml:space="preserve"> </w:t>
      </w:r>
      <w:r w:rsidR="00BB1CD7">
        <w:t>are</w:t>
      </w:r>
      <w:r w:rsidR="00370A82">
        <w:t xml:space="preserve"> negative</w:t>
      </w:r>
      <w:r w:rsidR="00BB1CD7">
        <w:t xml:space="preserve"> at high temperatures</w:t>
      </w:r>
      <w:r w:rsidR="00370A82">
        <w:t>.</w:t>
      </w:r>
      <w:r w:rsidR="007E4ADF">
        <w:t xml:space="preserve"> A reaction is entropically driven i</w:t>
      </w:r>
      <w:r w:rsidR="002C24B9">
        <w:t>f both</w:t>
      </w:r>
      <w:r w:rsidR="004D4E64">
        <w:t xml:space="preserve"> </w:t>
      </w:r>
      <w:r w:rsidR="004D4E64">
        <w:rPr>
          <w:rFonts w:ascii="Calibri" w:hAnsi="Calibri" w:cs="Calibri"/>
        </w:rPr>
        <w:t>Δ</w:t>
      </w:r>
      <w:r w:rsidR="004D4E64">
        <w:t>H</w:t>
      </w:r>
      <w:r w:rsidR="004D4E64">
        <w:rPr>
          <w:rFonts w:cs="Times"/>
        </w:rPr>
        <w:t>°</w:t>
      </w:r>
      <w:r w:rsidR="002C24B9">
        <w:t xml:space="preserve"> and</w:t>
      </w:r>
      <w:r w:rsidR="00E42BDF">
        <w:t xml:space="preserve"> </w:t>
      </w:r>
      <w:r w:rsidR="00E42BDF">
        <w:rPr>
          <w:rFonts w:ascii="Calibri" w:hAnsi="Calibri" w:cs="Calibri"/>
        </w:rPr>
        <w:t>Δ</w:t>
      </w:r>
      <w:r w:rsidR="00E42BDF">
        <w:t>S</w:t>
      </w:r>
      <w:r w:rsidR="00E42BDF">
        <w:rPr>
          <w:rFonts w:cs="Times"/>
        </w:rPr>
        <w:t>°</w:t>
      </w:r>
      <w:r w:rsidR="002C24B9">
        <w:t xml:space="preserve"> are positive at high temperatures. All the terms in the </w:t>
      </w:r>
      <w:r w:rsidR="0085296A">
        <w:t>Gibbs Free Energy Equ</w:t>
      </w:r>
      <w:r w:rsidR="00364B39">
        <w:t>ation can be calculated</w:t>
      </w:r>
      <w:r w:rsidR="008428FC">
        <w:t xml:space="preserve"> and obtained</w:t>
      </w:r>
      <w:r w:rsidR="00364B39">
        <w:t xml:space="preserve"> through</w:t>
      </w:r>
      <w:r w:rsidR="008428FC">
        <w:t xml:space="preserve"> Gaussian 16</w:t>
      </w:r>
      <w:r w:rsidR="00531418">
        <w:t xml:space="preserve">. </w:t>
      </w:r>
    </w:p>
    <w:p w14:paraId="4155BE23" w14:textId="46A96A7D" w:rsidR="00925C71" w:rsidRPr="00F13DF9" w:rsidRDefault="00D071CE" w:rsidP="000B5610">
      <w:pPr>
        <w:pStyle w:val="TAMainText"/>
        <w:spacing w:after="240"/>
        <w:ind w:firstLine="0"/>
        <w:jc w:val="left"/>
        <w:rPr>
          <w:b/>
          <w:bCs/>
        </w:rPr>
      </w:pPr>
      <w:r w:rsidRPr="00F13DF9">
        <w:rPr>
          <w:b/>
          <w:bCs/>
        </w:rPr>
        <w:t>COMPUTATIONAL DETAILS (METHODS)</w:t>
      </w:r>
      <w:r w:rsidR="00F13DF9" w:rsidRPr="00F13DF9">
        <w:rPr>
          <w:b/>
          <w:bCs/>
        </w:rPr>
        <w:t>:</w:t>
      </w:r>
    </w:p>
    <w:p w14:paraId="7FA3D368" w14:textId="77777777" w:rsidR="00635914" w:rsidRDefault="00DA7B10" w:rsidP="00C37E85">
      <w:pPr>
        <w:pStyle w:val="TAMainText"/>
        <w:spacing w:after="240"/>
        <w:ind w:firstLine="0"/>
        <w:jc w:val="left"/>
      </w:pPr>
      <w:r>
        <w:t xml:space="preserve">For each molecule, </w:t>
      </w:r>
      <w:r w:rsidR="00880CBE">
        <w:t>the</w:t>
      </w:r>
      <w:r w:rsidR="003B4370">
        <w:t xml:space="preserve"> job </w:t>
      </w:r>
      <w:r w:rsidR="009F046B">
        <w:t xml:space="preserve">type </w:t>
      </w:r>
      <w:r w:rsidR="003B4370">
        <w:t xml:space="preserve">was </w:t>
      </w:r>
      <w:r w:rsidR="00055459">
        <w:t xml:space="preserve">first </w:t>
      </w:r>
      <w:r w:rsidR="00E8120F">
        <w:t>set to “Optimization</w:t>
      </w:r>
      <w:r w:rsidR="008577F8">
        <w:t>”</w:t>
      </w:r>
      <w:r w:rsidR="006242E5">
        <w:t xml:space="preserve"> </w:t>
      </w:r>
      <w:r w:rsidR="003778CD">
        <w:t xml:space="preserve">and ran under </w:t>
      </w:r>
      <w:r w:rsidR="00D96DB1">
        <w:t>a 3-21G basis set</w:t>
      </w:r>
      <w:r w:rsidR="003A62F0">
        <w:t xml:space="preserve"> using </w:t>
      </w:r>
      <w:r w:rsidR="00AB00BD">
        <w:t xml:space="preserve">a </w:t>
      </w:r>
      <w:r w:rsidR="00654321">
        <w:t>Hartree</w:t>
      </w:r>
      <w:r w:rsidR="00385555">
        <w:t>-Fock method</w:t>
      </w:r>
      <w:r w:rsidR="005A337F">
        <w:t xml:space="preserve">. </w:t>
      </w:r>
      <w:r w:rsidR="00FB0297">
        <w:t>Once the opti</w:t>
      </w:r>
      <w:r w:rsidR="000642EF">
        <w:t>mization of each molecule was run</w:t>
      </w:r>
      <w:r w:rsidR="004D79D1">
        <w:t>, the job type was cha</w:t>
      </w:r>
      <w:r w:rsidR="0012424B">
        <w:t>nged to “Energy”</w:t>
      </w:r>
      <w:r w:rsidR="00697D13">
        <w:t xml:space="preserve">. Under the </w:t>
      </w:r>
      <w:r w:rsidR="0063261D">
        <w:t>“Energy</w:t>
      </w:r>
      <w:r w:rsidR="00F57E6A">
        <w:t xml:space="preserve">” job type, the method </w:t>
      </w:r>
      <w:r w:rsidR="00AC68F8">
        <w:t>was changed to DFT</w:t>
      </w:r>
      <w:r w:rsidR="007F4AB5">
        <w:t xml:space="preserve">. The basis </w:t>
      </w:r>
      <w:r w:rsidR="00F412D1">
        <w:t>s</w:t>
      </w:r>
      <w:r w:rsidR="00AB6118">
        <w:t xml:space="preserve">et </w:t>
      </w:r>
      <w:r w:rsidR="008F79EB">
        <w:t xml:space="preserve">was </w:t>
      </w:r>
      <w:r w:rsidR="00E075C3">
        <w:t xml:space="preserve">consecutively </w:t>
      </w:r>
      <w:r w:rsidR="00B16A74">
        <w:t xml:space="preserve">changed from, </w:t>
      </w:r>
      <w:r w:rsidR="00933A93">
        <w:t>3-21G, 6-31G</w:t>
      </w:r>
      <w:r w:rsidR="004A7D33">
        <w:t xml:space="preserve">, 6-311G. </w:t>
      </w:r>
      <w:r w:rsidR="008F79EB">
        <w:t xml:space="preserve">After each of these </w:t>
      </w:r>
      <w:r w:rsidR="004F48B8">
        <w:lastRenderedPageBreak/>
        <w:t>“Energy” jobs were run for each molecule, the next and final job type used was “Opt-Freq”</w:t>
      </w:r>
      <w:r w:rsidR="00452186">
        <w:t xml:space="preserve">. </w:t>
      </w:r>
      <w:r w:rsidR="007879A1">
        <w:t>Under</w:t>
      </w:r>
      <w:r w:rsidR="008F27BF">
        <w:t xml:space="preserve"> the “Opt-Freq” job type, the method </w:t>
      </w:r>
      <w:r w:rsidR="00111667">
        <w:t>remained as DFT</w:t>
      </w:r>
      <w:r w:rsidR="00F1123B">
        <w:t xml:space="preserve">, and the basis set was </w:t>
      </w:r>
      <w:r w:rsidR="00BF0D76">
        <w:t>6-311G</w:t>
      </w:r>
      <w:r w:rsidR="0086042A">
        <w:t xml:space="preserve"> with 2d and 2p orbitals </w:t>
      </w:r>
      <w:r w:rsidR="00102843">
        <w:t xml:space="preserve">included. For all of these </w:t>
      </w:r>
    </w:p>
    <w:p w14:paraId="20FDC9A2" w14:textId="41EEC261" w:rsidR="00B23CDC" w:rsidRDefault="00102843" w:rsidP="00A02C22">
      <w:pPr>
        <w:pStyle w:val="TAMainText"/>
        <w:spacing w:after="240"/>
        <w:ind w:firstLine="0"/>
        <w:jc w:val="left"/>
      </w:pPr>
      <w:r>
        <w:t>calculations</w:t>
      </w:r>
      <w:r w:rsidR="006B2F5A">
        <w:t xml:space="preserve">, if </w:t>
      </w:r>
      <w:r w:rsidR="008F6F5F">
        <w:t xml:space="preserve">a given molecule </w:t>
      </w:r>
      <w:r w:rsidR="00DE14E6">
        <w:t xml:space="preserve">had a charge it was </w:t>
      </w:r>
      <w:r w:rsidR="0017634C">
        <w:t xml:space="preserve">included under the basis </w:t>
      </w:r>
      <w:r w:rsidR="00540AD1">
        <w:t xml:space="preserve">set in the calculation set up. </w:t>
      </w:r>
      <w:r w:rsidR="00B07B9F">
        <w:t>From each of these “Opt</w:t>
      </w:r>
      <w:r w:rsidR="00C07BB1">
        <w:t>-</w:t>
      </w:r>
      <w:r w:rsidR="00A14EBC">
        <w:t>F</w:t>
      </w:r>
      <w:r w:rsidR="00B07B9F">
        <w:t>re</w:t>
      </w:r>
      <w:r w:rsidR="00C07BB1">
        <w:t xml:space="preserve">q” runs, the </w:t>
      </w:r>
      <w:r w:rsidR="003258F7">
        <w:t>.</w:t>
      </w:r>
      <w:r w:rsidR="00C07BB1">
        <w:t xml:space="preserve">log </w:t>
      </w:r>
      <w:r w:rsidR="003258F7">
        <w:t xml:space="preserve">file was opened </w:t>
      </w:r>
      <w:r w:rsidR="00D766E6">
        <w:t xml:space="preserve">to </w:t>
      </w:r>
      <w:r w:rsidR="00033ACB">
        <w:t xml:space="preserve">obtain the </w:t>
      </w:r>
      <w:r w:rsidR="00870330">
        <w:t>Thermo value</w:t>
      </w:r>
      <w:r w:rsidR="00B23CDC">
        <w:t>s</w:t>
      </w:r>
      <w:r w:rsidR="00BF0E76">
        <w:t xml:space="preserve"> from the results summary. </w:t>
      </w:r>
      <w:r w:rsidR="00430612">
        <w:t xml:space="preserve">Values for the Internal </w:t>
      </w:r>
    </w:p>
    <w:p w14:paraId="44A2ED0E" w14:textId="0D3763D6" w:rsidR="00AB34C5" w:rsidRDefault="00430612" w:rsidP="00A02C22">
      <w:pPr>
        <w:pStyle w:val="TAMainText"/>
        <w:spacing w:after="240"/>
        <w:ind w:firstLine="0"/>
        <w:jc w:val="left"/>
      </w:pPr>
      <w:r>
        <w:t xml:space="preserve">Energy, </w:t>
      </w:r>
      <w:r w:rsidR="005110E7">
        <w:t xml:space="preserve">Free Energy, Enthalpy and </w:t>
      </w:r>
      <w:r w:rsidR="00370F8C">
        <w:t xml:space="preserve">Entropy were noted </w:t>
      </w:r>
      <w:r w:rsidR="00B43630">
        <w:t>for each molecule.</w:t>
      </w:r>
      <w:r w:rsidR="00E96C22">
        <w:t xml:space="preserve"> </w:t>
      </w:r>
    </w:p>
    <w:p w14:paraId="0F30C6D0" w14:textId="032101AE" w:rsidR="00E519E4" w:rsidRPr="00447301" w:rsidRDefault="00E519E4" w:rsidP="007632A3">
      <w:pPr>
        <w:pStyle w:val="TESupportingInformation"/>
        <w:spacing w:after="240"/>
        <w:ind w:firstLine="0"/>
        <w:jc w:val="left"/>
        <w:rPr>
          <w:b/>
          <w:bCs/>
        </w:rPr>
      </w:pPr>
      <w:r w:rsidRPr="00447301">
        <w:rPr>
          <w:b/>
          <w:bCs/>
        </w:rPr>
        <w:t>RESULTS AND DISCUSSION</w:t>
      </w:r>
      <w:r w:rsidR="0062019C" w:rsidRPr="00447301">
        <w:rPr>
          <w:b/>
          <w:bCs/>
        </w:rPr>
        <w:t>:</w:t>
      </w:r>
    </w:p>
    <w:p w14:paraId="06BE8276" w14:textId="1CB6401E" w:rsidR="00E861B2" w:rsidRPr="00122FAA" w:rsidRDefault="006847C0" w:rsidP="00122FAA">
      <w:pPr>
        <w:spacing w:line="480" w:lineRule="auto"/>
        <w:jc w:val="left"/>
      </w:pPr>
      <w:r>
        <w:t>Each molecule in each mechanism was labelled in such a way that indicated which mechanism it belonged to as well as which step in the mechanism it was. For example, the first molecule in Mechanism 1 was labelled “1_1” while the second molecule in the same mechanism was labelled “1_2” and so on. Water and H</w:t>
      </w:r>
      <w:r w:rsidRPr="00491276">
        <w:rPr>
          <w:vertAlign w:val="subscript"/>
        </w:rPr>
        <w:t>3</w:t>
      </w:r>
      <w:r>
        <w:t>O</w:t>
      </w:r>
      <w:r w:rsidRPr="00ED2EF1">
        <w:rPr>
          <w:vertAlign w:val="superscript"/>
        </w:rPr>
        <w:t>+</w:t>
      </w:r>
      <w:r>
        <w:t xml:space="preserve"> were labelled as such. </w:t>
      </w:r>
      <w:r w:rsidR="007A76B4">
        <w:t xml:space="preserve">Table 1 </w:t>
      </w:r>
      <w:r w:rsidR="003A171C">
        <w:t xml:space="preserve">shows all of the values </w:t>
      </w:r>
      <w:r w:rsidR="007C6341">
        <w:t>obtained from</w:t>
      </w:r>
      <w:r w:rsidR="002B601C">
        <w:t xml:space="preserve"> Gaussian </w:t>
      </w:r>
      <w:r w:rsidR="00BC09EB">
        <w:t>16</w:t>
      </w:r>
      <w:r w:rsidR="006E259B">
        <w:t xml:space="preserve">. </w:t>
      </w:r>
      <w:r w:rsidR="001D3510">
        <w:t xml:space="preserve">Although the values </w:t>
      </w:r>
      <w:r w:rsidR="003F580D">
        <w:t xml:space="preserve">were </w:t>
      </w:r>
      <w:r w:rsidR="00B67AF9">
        <w:t xml:space="preserve">originally </w:t>
      </w:r>
      <w:r w:rsidR="00BB54EF">
        <w:t>given in Hartree units</w:t>
      </w:r>
      <w:r w:rsidR="00E77D4D">
        <w:t xml:space="preserve"> in Gaussian 16</w:t>
      </w:r>
      <w:r w:rsidR="00273B02">
        <w:t>, the values shown in</w:t>
      </w:r>
      <w:r w:rsidR="00B23CDC">
        <w:t xml:space="preserve"> </w:t>
      </w:r>
      <w:r w:rsidR="00273B02">
        <w:t xml:space="preserve">Table 1 </w:t>
      </w:r>
      <w:r w:rsidR="00AC44F5">
        <w:t xml:space="preserve">were converted to </w:t>
      </w:r>
      <w:r w:rsidR="00C32245">
        <w:t>K</w:t>
      </w:r>
      <w:r w:rsidR="00AC44F5">
        <w:t xml:space="preserve">cal/mol. </w:t>
      </w:r>
    </w:p>
    <w:p w14:paraId="01270C45" w14:textId="52E72E1C" w:rsidR="00985A3B" w:rsidRPr="00EC4FFC" w:rsidRDefault="00985A3B" w:rsidP="00985A3B">
      <w:pPr>
        <w:pStyle w:val="Caption"/>
        <w:keepNext/>
        <w:rPr>
          <w:b/>
          <w:bCs/>
          <w:color w:val="5F497A" w:themeColor="accent4" w:themeShade="BF"/>
          <w:sz w:val="22"/>
          <w:szCs w:val="22"/>
        </w:rPr>
      </w:pPr>
      <w:r w:rsidRPr="00EC4FFC">
        <w:rPr>
          <w:b/>
          <w:bCs/>
          <w:color w:val="5F497A" w:themeColor="accent4" w:themeShade="BF"/>
          <w:sz w:val="22"/>
          <w:szCs w:val="22"/>
        </w:rPr>
        <w:t xml:space="preserve">Table </w:t>
      </w:r>
      <w:r w:rsidRPr="00EC4FFC">
        <w:rPr>
          <w:b/>
          <w:bCs/>
          <w:color w:val="5F497A" w:themeColor="accent4" w:themeShade="BF"/>
          <w:sz w:val="22"/>
          <w:szCs w:val="22"/>
        </w:rPr>
        <w:fldChar w:fldCharType="begin"/>
      </w:r>
      <w:r w:rsidRPr="00EC4FFC">
        <w:rPr>
          <w:b/>
          <w:bCs/>
          <w:color w:val="5F497A" w:themeColor="accent4" w:themeShade="BF"/>
          <w:sz w:val="22"/>
          <w:szCs w:val="22"/>
        </w:rPr>
        <w:instrText xml:space="preserve"> SEQ Table \* ARABIC </w:instrText>
      </w:r>
      <w:r w:rsidRPr="00EC4FFC">
        <w:rPr>
          <w:b/>
          <w:bCs/>
          <w:color w:val="5F497A" w:themeColor="accent4" w:themeShade="BF"/>
          <w:sz w:val="22"/>
          <w:szCs w:val="22"/>
        </w:rPr>
        <w:fldChar w:fldCharType="separate"/>
      </w:r>
      <w:r w:rsidR="00BE7E6B">
        <w:rPr>
          <w:b/>
          <w:bCs/>
          <w:noProof/>
          <w:color w:val="5F497A" w:themeColor="accent4" w:themeShade="BF"/>
          <w:sz w:val="22"/>
          <w:szCs w:val="22"/>
        </w:rPr>
        <w:t>1</w:t>
      </w:r>
      <w:r w:rsidRPr="00EC4FFC">
        <w:rPr>
          <w:b/>
          <w:bCs/>
          <w:color w:val="5F497A" w:themeColor="accent4" w:themeShade="BF"/>
          <w:sz w:val="22"/>
          <w:szCs w:val="22"/>
        </w:rPr>
        <w:fldChar w:fldCharType="end"/>
      </w:r>
      <w:r w:rsidRPr="00EC4FFC">
        <w:rPr>
          <w:b/>
          <w:bCs/>
          <w:color w:val="5F497A" w:themeColor="accent4" w:themeShade="BF"/>
          <w:sz w:val="22"/>
          <w:szCs w:val="22"/>
        </w:rPr>
        <w:t xml:space="preserve">. Gaussian obtained </w:t>
      </w:r>
      <w:r w:rsidR="007415CE" w:rsidRPr="00EC4FFC">
        <w:rPr>
          <w:b/>
          <w:bCs/>
          <w:color w:val="5F497A" w:themeColor="accent4" w:themeShade="BF"/>
          <w:sz w:val="22"/>
          <w:szCs w:val="22"/>
        </w:rPr>
        <w:t xml:space="preserve">values </w:t>
      </w:r>
      <w:r w:rsidRPr="00EC4FFC">
        <w:rPr>
          <w:b/>
          <w:bCs/>
          <w:color w:val="5F497A" w:themeColor="accent4" w:themeShade="BF"/>
          <w:sz w:val="22"/>
          <w:szCs w:val="22"/>
        </w:rPr>
        <w:t>for each molecule involved in each mechanism (Kcal/mol)</w:t>
      </w:r>
    </w:p>
    <w:tbl>
      <w:tblPr>
        <w:tblStyle w:val="GridTable4-Accent4"/>
        <w:tblW w:w="590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17"/>
        <w:gridCol w:w="1342"/>
        <w:gridCol w:w="1408"/>
        <w:gridCol w:w="1366"/>
        <w:gridCol w:w="1074"/>
      </w:tblGrid>
      <w:tr w:rsidR="00A02C22" w:rsidRPr="004B2859" w14:paraId="7E94E82F" w14:textId="77777777" w:rsidTr="00080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009C8A1A" w14:textId="77777777" w:rsidR="00A02C22" w:rsidRPr="004B2859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</w:pPr>
          </w:p>
        </w:tc>
        <w:tc>
          <w:tcPr>
            <w:tcW w:w="1342" w:type="dxa"/>
          </w:tcPr>
          <w:p w14:paraId="106ABF1F" w14:textId="77777777" w:rsidR="00A02C22" w:rsidRPr="00D06C3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D06C3D">
              <w:rPr>
                <w:sz w:val="20"/>
                <w:szCs w:val="16"/>
              </w:rPr>
              <w:t>Internal Energy</w:t>
            </w:r>
          </w:p>
        </w:tc>
        <w:tc>
          <w:tcPr>
            <w:tcW w:w="1408" w:type="dxa"/>
          </w:tcPr>
          <w:p w14:paraId="6A32BA2A" w14:textId="77777777" w:rsidR="00A02C22" w:rsidRPr="00D06C3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D06C3D">
              <w:rPr>
                <w:sz w:val="20"/>
                <w:szCs w:val="16"/>
              </w:rPr>
              <w:t xml:space="preserve">Free Energy </w:t>
            </w:r>
          </w:p>
        </w:tc>
        <w:tc>
          <w:tcPr>
            <w:tcW w:w="1366" w:type="dxa"/>
          </w:tcPr>
          <w:p w14:paraId="371CC18D" w14:textId="77777777" w:rsidR="00A02C22" w:rsidRPr="00D06C3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D06C3D">
              <w:rPr>
                <w:sz w:val="20"/>
                <w:szCs w:val="16"/>
              </w:rPr>
              <w:t>Enthalpy</w:t>
            </w:r>
          </w:p>
        </w:tc>
        <w:tc>
          <w:tcPr>
            <w:tcW w:w="1074" w:type="dxa"/>
          </w:tcPr>
          <w:p w14:paraId="653A09C0" w14:textId="77777777" w:rsidR="00A02C22" w:rsidRPr="00D06C3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D06C3D">
              <w:rPr>
                <w:sz w:val="20"/>
                <w:szCs w:val="16"/>
              </w:rPr>
              <w:t>Entropy</w:t>
            </w:r>
          </w:p>
        </w:tc>
      </w:tr>
      <w:tr w:rsidR="00A02C22" w:rsidRPr="004B2859" w14:paraId="4CEE846A" w14:textId="77777777" w:rsidTr="0034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319C4052" w14:textId="77777777" w:rsidR="00A02C22" w:rsidRPr="003E014F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rPr>
                <w:b w:val="0"/>
                <w:bCs w:val="0"/>
                <w:sz w:val="20"/>
              </w:rPr>
            </w:pPr>
            <w:r w:rsidRPr="003E014F">
              <w:rPr>
                <w:sz w:val="20"/>
              </w:rPr>
              <w:t>1_1/</w:t>
            </w:r>
          </w:p>
          <w:p w14:paraId="525C5D55" w14:textId="77777777" w:rsidR="00A02C22" w:rsidRPr="003E014F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rPr>
                <w:sz w:val="20"/>
              </w:rPr>
            </w:pPr>
            <w:r w:rsidRPr="003E014F">
              <w:rPr>
                <w:sz w:val="20"/>
              </w:rPr>
              <w:t>2_1</w:t>
            </w:r>
          </w:p>
        </w:tc>
        <w:tc>
          <w:tcPr>
            <w:tcW w:w="1342" w:type="dxa"/>
          </w:tcPr>
          <w:p w14:paraId="3C757406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-388830.258</w:t>
            </w:r>
          </w:p>
        </w:tc>
        <w:tc>
          <w:tcPr>
            <w:tcW w:w="1408" w:type="dxa"/>
          </w:tcPr>
          <w:p w14:paraId="00F0E479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-388862.775</w:t>
            </w:r>
          </w:p>
        </w:tc>
        <w:tc>
          <w:tcPr>
            <w:tcW w:w="1366" w:type="dxa"/>
          </w:tcPr>
          <w:p w14:paraId="3479A4B7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-388829.665</w:t>
            </w:r>
          </w:p>
        </w:tc>
        <w:tc>
          <w:tcPr>
            <w:tcW w:w="1074" w:type="dxa"/>
          </w:tcPr>
          <w:p w14:paraId="39B0C125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0.111052</w:t>
            </w:r>
          </w:p>
        </w:tc>
      </w:tr>
      <w:tr w:rsidR="00A02C22" w:rsidRPr="004B2859" w14:paraId="540A4CE9" w14:textId="77777777" w:rsidTr="003465AB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755AC21A" w14:textId="77777777" w:rsidR="00A02C22" w:rsidRPr="003E014F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rPr>
                <w:b w:val="0"/>
                <w:bCs w:val="0"/>
                <w:sz w:val="20"/>
              </w:rPr>
            </w:pPr>
            <w:r w:rsidRPr="003E014F">
              <w:rPr>
                <w:sz w:val="20"/>
              </w:rPr>
              <w:t>1_2/</w:t>
            </w:r>
          </w:p>
          <w:p w14:paraId="35D5595B" w14:textId="77777777" w:rsidR="00A02C22" w:rsidRPr="003E014F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rPr>
                <w:sz w:val="20"/>
              </w:rPr>
            </w:pPr>
            <w:r w:rsidRPr="003E014F">
              <w:rPr>
                <w:sz w:val="20"/>
              </w:rPr>
              <w:t>2_2</w:t>
            </w:r>
          </w:p>
        </w:tc>
        <w:tc>
          <w:tcPr>
            <w:tcW w:w="1342" w:type="dxa"/>
          </w:tcPr>
          <w:p w14:paraId="54D1BFEA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-389074.243</w:t>
            </w:r>
          </w:p>
        </w:tc>
        <w:tc>
          <w:tcPr>
            <w:tcW w:w="1408" w:type="dxa"/>
          </w:tcPr>
          <w:p w14:paraId="0DBC5545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-389107.619</w:t>
            </w:r>
          </w:p>
        </w:tc>
        <w:tc>
          <w:tcPr>
            <w:tcW w:w="1366" w:type="dxa"/>
          </w:tcPr>
          <w:p w14:paraId="0D1FE2B4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-389073.650</w:t>
            </w:r>
          </w:p>
        </w:tc>
        <w:tc>
          <w:tcPr>
            <w:tcW w:w="1074" w:type="dxa"/>
          </w:tcPr>
          <w:p w14:paraId="1B48D46E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0.11393</w:t>
            </w:r>
          </w:p>
        </w:tc>
      </w:tr>
      <w:tr w:rsidR="00A02C22" w:rsidRPr="004B2859" w14:paraId="1B5F2292" w14:textId="77777777" w:rsidTr="0034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2A357564" w14:textId="77777777" w:rsidR="00A02C22" w:rsidRPr="003E014F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rPr>
                <w:sz w:val="20"/>
              </w:rPr>
            </w:pPr>
            <w:r w:rsidRPr="003E014F">
              <w:rPr>
                <w:sz w:val="20"/>
              </w:rPr>
              <w:t>1_3</w:t>
            </w:r>
          </w:p>
        </w:tc>
        <w:tc>
          <w:tcPr>
            <w:tcW w:w="1342" w:type="dxa"/>
          </w:tcPr>
          <w:p w14:paraId="5FE542A3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-341122.445</w:t>
            </w:r>
          </w:p>
        </w:tc>
        <w:tc>
          <w:tcPr>
            <w:tcW w:w="1408" w:type="dxa"/>
          </w:tcPr>
          <w:p w14:paraId="793A41BA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-341154.480</w:t>
            </w:r>
          </w:p>
        </w:tc>
        <w:tc>
          <w:tcPr>
            <w:tcW w:w="1366" w:type="dxa"/>
          </w:tcPr>
          <w:p w14:paraId="4AF86698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-341121.853</w:t>
            </w:r>
          </w:p>
        </w:tc>
        <w:tc>
          <w:tcPr>
            <w:tcW w:w="1074" w:type="dxa"/>
          </w:tcPr>
          <w:p w14:paraId="3684AFF5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0.109431</w:t>
            </w:r>
          </w:p>
        </w:tc>
      </w:tr>
      <w:tr w:rsidR="00A02C22" w:rsidRPr="004B2859" w14:paraId="381445CA" w14:textId="77777777" w:rsidTr="005C4D8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2BBE0957" w14:textId="77777777" w:rsidR="00A02C22" w:rsidRPr="003E014F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rPr>
                <w:sz w:val="20"/>
              </w:rPr>
            </w:pPr>
            <w:r w:rsidRPr="003E014F">
              <w:rPr>
                <w:sz w:val="20"/>
              </w:rPr>
              <w:t>Final</w:t>
            </w:r>
          </w:p>
        </w:tc>
        <w:tc>
          <w:tcPr>
            <w:tcW w:w="1342" w:type="dxa"/>
          </w:tcPr>
          <w:p w14:paraId="34792154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-341619.560</w:t>
            </w:r>
          </w:p>
        </w:tc>
        <w:tc>
          <w:tcPr>
            <w:tcW w:w="1408" w:type="dxa"/>
          </w:tcPr>
          <w:p w14:paraId="26005B60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-341650.616</w:t>
            </w:r>
          </w:p>
        </w:tc>
        <w:tc>
          <w:tcPr>
            <w:tcW w:w="1366" w:type="dxa"/>
          </w:tcPr>
          <w:p w14:paraId="76BE2CC4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-341618.967</w:t>
            </w:r>
          </w:p>
        </w:tc>
        <w:tc>
          <w:tcPr>
            <w:tcW w:w="1074" w:type="dxa"/>
          </w:tcPr>
          <w:p w14:paraId="78C85290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0.10615</w:t>
            </w:r>
          </w:p>
        </w:tc>
      </w:tr>
      <w:tr w:rsidR="00A02C22" w:rsidRPr="004B2859" w14:paraId="1CD61313" w14:textId="77777777" w:rsidTr="00346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7CC62A60" w14:textId="77777777" w:rsidR="00A02C22" w:rsidRPr="003E014F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rPr>
                <w:sz w:val="20"/>
              </w:rPr>
            </w:pPr>
            <w:r w:rsidRPr="003E014F">
              <w:rPr>
                <w:sz w:val="20"/>
              </w:rPr>
              <w:t>H</w:t>
            </w:r>
            <w:r w:rsidRPr="003E014F">
              <w:rPr>
                <w:sz w:val="20"/>
                <w:vertAlign w:val="subscript"/>
              </w:rPr>
              <w:t>2</w:t>
            </w:r>
            <w:r w:rsidRPr="003E014F">
              <w:rPr>
                <w:sz w:val="20"/>
              </w:rPr>
              <w:t>O</w:t>
            </w:r>
          </w:p>
        </w:tc>
        <w:tc>
          <w:tcPr>
            <w:tcW w:w="1342" w:type="dxa"/>
          </w:tcPr>
          <w:p w14:paraId="59549677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-47943.131</w:t>
            </w:r>
          </w:p>
        </w:tc>
        <w:tc>
          <w:tcPr>
            <w:tcW w:w="1408" w:type="dxa"/>
          </w:tcPr>
          <w:p w14:paraId="1D1D3B29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-47955.988</w:t>
            </w:r>
          </w:p>
        </w:tc>
        <w:tc>
          <w:tcPr>
            <w:tcW w:w="1366" w:type="dxa"/>
          </w:tcPr>
          <w:p w14:paraId="057344E7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-47942.539</w:t>
            </w:r>
          </w:p>
        </w:tc>
        <w:tc>
          <w:tcPr>
            <w:tcW w:w="1074" w:type="dxa"/>
          </w:tcPr>
          <w:p w14:paraId="3226FD74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0.04511</w:t>
            </w:r>
          </w:p>
        </w:tc>
      </w:tr>
      <w:tr w:rsidR="00A02C22" w:rsidRPr="004B2859" w14:paraId="4CD02FD7" w14:textId="77777777" w:rsidTr="003465AB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5BA681C3" w14:textId="77777777" w:rsidR="00A02C22" w:rsidRPr="003E014F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rPr>
                <w:sz w:val="20"/>
              </w:rPr>
            </w:pPr>
            <w:r w:rsidRPr="003E014F">
              <w:rPr>
                <w:sz w:val="20"/>
              </w:rPr>
              <w:t>H</w:t>
            </w:r>
            <w:r w:rsidRPr="003E014F">
              <w:rPr>
                <w:sz w:val="20"/>
                <w:vertAlign w:val="subscript"/>
              </w:rPr>
              <w:t>3</w:t>
            </w:r>
            <w:r w:rsidRPr="003E014F">
              <w:rPr>
                <w:sz w:val="20"/>
              </w:rPr>
              <w:t>O</w:t>
            </w:r>
            <w:r w:rsidRPr="003E014F">
              <w:rPr>
                <w:sz w:val="20"/>
                <w:vertAlign w:val="superscript"/>
              </w:rPr>
              <w:t>+</w:t>
            </w:r>
          </w:p>
        </w:tc>
        <w:tc>
          <w:tcPr>
            <w:tcW w:w="1342" w:type="dxa"/>
          </w:tcPr>
          <w:p w14:paraId="1DCD0915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-48188.065</w:t>
            </w:r>
          </w:p>
        </w:tc>
        <w:tc>
          <w:tcPr>
            <w:tcW w:w="1408" w:type="dxa"/>
          </w:tcPr>
          <w:p w14:paraId="5DE22C0A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-48201.637</w:t>
            </w:r>
          </w:p>
        </w:tc>
        <w:tc>
          <w:tcPr>
            <w:tcW w:w="1366" w:type="dxa"/>
          </w:tcPr>
          <w:p w14:paraId="48C06B6D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-48187.473</w:t>
            </w:r>
          </w:p>
        </w:tc>
        <w:tc>
          <w:tcPr>
            <w:tcW w:w="1074" w:type="dxa"/>
          </w:tcPr>
          <w:p w14:paraId="18E60EBD" w14:textId="77777777" w:rsidR="00A02C22" w:rsidRPr="00050C0D" w:rsidRDefault="00A02C22" w:rsidP="000C1140">
            <w:pPr>
              <w:pStyle w:val="TESupportingInformation"/>
              <w:spacing w:after="24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0C0D">
              <w:rPr>
                <w:rFonts w:ascii="Calibri" w:hAnsi="Calibri"/>
                <w:color w:val="000000"/>
                <w:sz w:val="18"/>
                <w:szCs w:val="18"/>
              </w:rPr>
              <w:t>0.047507</w:t>
            </w:r>
          </w:p>
        </w:tc>
      </w:tr>
    </w:tbl>
    <w:p w14:paraId="1EBEC08E" w14:textId="77777777" w:rsidR="00BE486C" w:rsidRDefault="00BE486C" w:rsidP="007632A3">
      <w:pPr>
        <w:spacing w:line="480" w:lineRule="auto"/>
        <w:jc w:val="left"/>
      </w:pPr>
    </w:p>
    <w:p w14:paraId="76DB6A2E" w14:textId="6C414346" w:rsidR="00880410" w:rsidRDefault="00BD779F" w:rsidP="007632A3">
      <w:pPr>
        <w:spacing w:line="480" w:lineRule="auto"/>
        <w:jc w:val="left"/>
      </w:pPr>
      <w:r>
        <w:t>Mol</w:t>
      </w:r>
      <w:r w:rsidR="00B41B6A">
        <w:t>ecules that were</w:t>
      </w:r>
      <w:r w:rsidR="00C30DC4">
        <w:t xml:space="preserve"> consistent in both </w:t>
      </w:r>
      <w:r w:rsidR="00301395">
        <w:t>mechanisms</w:t>
      </w:r>
      <w:r w:rsidR="002B0F87">
        <w:t>,</w:t>
      </w:r>
      <w:r w:rsidR="00301395">
        <w:t xml:space="preserve"> </w:t>
      </w:r>
      <w:r w:rsidR="00F911E2">
        <w:t>such</w:t>
      </w:r>
      <w:r w:rsidR="002B0F87">
        <w:t xml:space="preserve"> </w:t>
      </w:r>
      <w:r w:rsidR="00937574">
        <w:t xml:space="preserve">as </w:t>
      </w:r>
      <w:r w:rsidR="002B0F87">
        <w:t xml:space="preserve">the </w:t>
      </w:r>
      <w:r w:rsidR="003A4C68">
        <w:t xml:space="preserve">starting </w:t>
      </w:r>
      <w:r w:rsidR="00ED3F0F">
        <w:t>molecule</w:t>
      </w:r>
      <w:r w:rsidR="00DD264A">
        <w:t xml:space="preserve"> and the final pro</w:t>
      </w:r>
      <w:r w:rsidR="00180359">
        <w:t xml:space="preserve">duct, produced the same </w:t>
      </w:r>
      <w:r w:rsidR="00A23B40">
        <w:t>values and so were grouped together in Table 1.</w:t>
      </w:r>
      <w:r w:rsidR="009378D2">
        <w:t xml:space="preserve"> </w:t>
      </w:r>
      <w:r w:rsidR="00E03F3F">
        <w:t xml:space="preserve">For each </w:t>
      </w:r>
      <w:r w:rsidR="007351A6">
        <w:t>mechanism</w:t>
      </w:r>
      <w:r w:rsidR="00982B3B">
        <w:t xml:space="preserve"> the change </w:t>
      </w:r>
      <w:r w:rsidR="00504683">
        <w:t>in energy between each step was calcul</w:t>
      </w:r>
      <w:r w:rsidR="00E13204">
        <w:t xml:space="preserve">ated </w:t>
      </w:r>
      <w:r w:rsidR="00AE4BD3">
        <w:t xml:space="preserve">by </w:t>
      </w:r>
      <w:r w:rsidR="00403410">
        <w:t xml:space="preserve">subtracting the </w:t>
      </w:r>
      <w:r w:rsidR="00476484">
        <w:t xml:space="preserve">sum </w:t>
      </w:r>
      <w:r w:rsidR="009A759F">
        <w:t xml:space="preserve">of reactants from the </w:t>
      </w:r>
      <w:r w:rsidR="00E6619B">
        <w:t xml:space="preserve">sum of products </w:t>
      </w:r>
      <w:r w:rsidR="00CE6284">
        <w:t xml:space="preserve">using the values from Table 1. </w:t>
      </w:r>
      <w:r w:rsidR="00CB224D">
        <w:t xml:space="preserve">The </w:t>
      </w:r>
      <w:r w:rsidR="00792228">
        <w:t xml:space="preserve">change in </w:t>
      </w:r>
      <w:r w:rsidR="00E46ADC">
        <w:t>I</w:t>
      </w:r>
      <w:r w:rsidR="00792228">
        <w:t>nternal</w:t>
      </w:r>
      <w:r w:rsidR="005D405D">
        <w:t xml:space="preserve"> </w:t>
      </w:r>
      <w:r w:rsidR="00792228">
        <w:lastRenderedPageBreak/>
        <w:t xml:space="preserve">Energy, Free Energy, Enthalpy </w:t>
      </w:r>
      <w:r w:rsidR="00E46ADC">
        <w:t>and Entropy for Me</w:t>
      </w:r>
      <w:r w:rsidR="004132C3">
        <w:t xml:space="preserve">chanism 1 is shown in Table 2. </w:t>
      </w:r>
    </w:p>
    <w:p w14:paraId="2CBE0B5B" w14:textId="1EE01C18" w:rsidR="00C15BD7" w:rsidRPr="004569D5" w:rsidRDefault="00C15BD7" w:rsidP="00C15BD7">
      <w:pPr>
        <w:pStyle w:val="Caption"/>
        <w:keepNext/>
        <w:rPr>
          <w:b/>
          <w:bCs/>
          <w:color w:val="5F497A" w:themeColor="accent4" w:themeShade="BF"/>
          <w:sz w:val="22"/>
          <w:szCs w:val="22"/>
        </w:rPr>
      </w:pPr>
      <w:r w:rsidRPr="004569D5">
        <w:rPr>
          <w:b/>
          <w:bCs/>
          <w:color w:val="5F497A" w:themeColor="accent4" w:themeShade="BF"/>
          <w:sz w:val="22"/>
          <w:szCs w:val="22"/>
        </w:rPr>
        <w:t xml:space="preserve">Table </w:t>
      </w:r>
      <w:r w:rsidRPr="004569D5">
        <w:rPr>
          <w:b/>
          <w:bCs/>
          <w:color w:val="5F497A" w:themeColor="accent4" w:themeShade="BF"/>
          <w:sz w:val="22"/>
          <w:szCs w:val="22"/>
        </w:rPr>
        <w:fldChar w:fldCharType="begin"/>
      </w:r>
      <w:r w:rsidRPr="004569D5">
        <w:rPr>
          <w:b/>
          <w:bCs/>
          <w:color w:val="5F497A" w:themeColor="accent4" w:themeShade="BF"/>
          <w:sz w:val="22"/>
          <w:szCs w:val="22"/>
        </w:rPr>
        <w:instrText xml:space="preserve"> SEQ Table \* ARABIC </w:instrText>
      </w:r>
      <w:r w:rsidRPr="004569D5">
        <w:rPr>
          <w:b/>
          <w:bCs/>
          <w:color w:val="5F497A" w:themeColor="accent4" w:themeShade="BF"/>
          <w:sz w:val="22"/>
          <w:szCs w:val="22"/>
        </w:rPr>
        <w:fldChar w:fldCharType="separate"/>
      </w:r>
      <w:r w:rsidR="00BE7E6B">
        <w:rPr>
          <w:b/>
          <w:bCs/>
          <w:noProof/>
          <w:color w:val="5F497A" w:themeColor="accent4" w:themeShade="BF"/>
          <w:sz w:val="22"/>
          <w:szCs w:val="22"/>
        </w:rPr>
        <w:t>2</w:t>
      </w:r>
      <w:r w:rsidRPr="004569D5">
        <w:rPr>
          <w:b/>
          <w:bCs/>
          <w:color w:val="5F497A" w:themeColor="accent4" w:themeShade="BF"/>
          <w:sz w:val="22"/>
          <w:szCs w:val="22"/>
        </w:rPr>
        <w:fldChar w:fldCharType="end"/>
      </w:r>
      <w:r w:rsidRPr="004569D5">
        <w:rPr>
          <w:b/>
          <w:bCs/>
          <w:color w:val="5F497A" w:themeColor="accent4" w:themeShade="BF"/>
          <w:sz w:val="22"/>
          <w:szCs w:val="22"/>
        </w:rPr>
        <w:t>. Change in Energy, Enthalpy, and Entropy for Mechanism 1</w:t>
      </w:r>
      <w:r w:rsidR="009060D0">
        <w:rPr>
          <w:b/>
          <w:bCs/>
          <w:color w:val="5F497A" w:themeColor="accent4" w:themeShade="BF"/>
          <w:sz w:val="22"/>
          <w:szCs w:val="22"/>
        </w:rPr>
        <w:t xml:space="preserve"> (Kcal/mol)</w:t>
      </w:r>
    </w:p>
    <w:tbl>
      <w:tblPr>
        <w:tblStyle w:val="GridTable4-Accent4"/>
        <w:tblW w:w="5119" w:type="dxa"/>
        <w:tblLook w:val="04A0" w:firstRow="1" w:lastRow="0" w:firstColumn="1" w:lastColumn="0" w:noHBand="0" w:noVBand="1"/>
      </w:tblPr>
      <w:tblGrid>
        <w:gridCol w:w="878"/>
        <w:gridCol w:w="1068"/>
        <w:gridCol w:w="1010"/>
        <w:gridCol w:w="1102"/>
        <w:gridCol w:w="1061"/>
      </w:tblGrid>
      <w:tr w:rsidR="00567048" w14:paraId="1B82BD55" w14:textId="77777777" w:rsidTr="00801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60246233" w14:textId="77777777" w:rsidR="00880410" w:rsidRPr="001914AB" w:rsidRDefault="00880410" w:rsidP="007632A3">
            <w:pPr>
              <w:spacing w:line="480" w:lineRule="auto"/>
              <w:jc w:val="left"/>
              <w:rPr>
                <w:sz w:val="20"/>
              </w:rPr>
            </w:pPr>
          </w:p>
        </w:tc>
        <w:tc>
          <w:tcPr>
            <w:tcW w:w="1068" w:type="dxa"/>
          </w:tcPr>
          <w:p w14:paraId="6ED81BA9" w14:textId="134801EF" w:rsidR="00880410" w:rsidRPr="001914AB" w:rsidRDefault="00E671B4" w:rsidP="007632A3">
            <w:pPr>
              <w:spacing w:line="48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Δ</w:t>
            </w:r>
            <w:r w:rsidR="00744E9D" w:rsidRPr="001914AB">
              <w:rPr>
                <w:sz w:val="20"/>
              </w:rPr>
              <w:t>Internal</w:t>
            </w:r>
            <w:proofErr w:type="spellEnd"/>
            <w:r w:rsidR="00744E9D" w:rsidRPr="001914AB">
              <w:rPr>
                <w:sz w:val="20"/>
              </w:rPr>
              <w:t xml:space="preserve"> Energy</w:t>
            </w:r>
          </w:p>
        </w:tc>
        <w:tc>
          <w:tcPr>
            <w:tcW w:w="1010" w:type="dxa"/>
          </w:tcPr>
          <w:p w14:paraId="73AA1A21" w14:textId="79F91DCD" w:rsidR="00880410" w:rsidRPr="001914AB" w:rsidRDefault="001B7D95" w:rsidP="007632A3">
            <w:pPr>
              <w:spacing w:line="48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 w:cs="Calibri"/>
              </w:rPr>
              <w:t>Δ</w:t>
            </w:r>
            <w:r>
              <w:t>G</w:t>
            </w:r>
            <w:r>
              <w:rPr>
                <w:rFonts w:cs="Times"/>
              </w:rPr>
              <w:t>°</w:t>
            </w:r>
          </w:p>
        </w:tc>
        <w:tc>
          <w:tcPr>
            <w:tcW w:w="1102" w:type="dxa"/>
          </w:tcPr>
          <w:p w14:paraId="5FB94804" w14:textId="777CEA8B" w:rsidR="00880410" w:rsidRPr="001914AB" w:rsidRDefault="00252F2F" w:rsidP="007632A3">
            <w:pPr>
              <w:spacing w:line="48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 w:cs="Calibri"/>
              </w:rPr>
              <w:t>Δ</w:t>
            </w:r>
            <w:r>
              <w:t>H</w:t>
            </w:r>
            <w:r>
              <w:rPr>
                <w:rFonts w:cs="Times"/>
              </w:rPr>
              <w:t>°</w:t>
            </w:r>
          </w:p>
        </w:tc>
        <w:tc>
          <w:tcPr>
            <w:tcW w:w="1061" w:type="dxa"/>
          </w:tcPr>
          <w:p w14:paraId="620CAE2C" w14:textId="5FD1EB98" w:rsidR="00880410" w:rsidRPr="001914AB" w:rsidRDefault="00252F2F" w:rsidP="007632A3">
            <w:pPr>
              <w:spacing w:line="48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 w:cs="Calibri"/>
              </w:rPr>
              <w:t>Δ</w:t>
            </w:r>
            <w:r>
              <w:t>S</w:t>
            </w:r>
            <w:r>
              <w:rPr>
                <w:rFonts w:cs="Times"/>
              </w:rPr>
              <w:t>°</w:t>
            </w:r>
          </w:p>
        </w:tc>
      </w:tr>
      <w:tr w:rsidR="00567048" w14:paraId="3CE89174" w14:textId="77777777" w:rsidTr="0080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01A61636" w14:textId="63BE91E8" w:rsidR="00880410" w:rsidRPr="001914AB" w:rsidRDefault="0093268F" w:rsidP="007632A3">
            <w:pPr>
              <w:spacing w:line="480" w:lineRule="auto"/>
              <w:jc w:val="left"/>
              <w:rPr>
                <w:sz w:val="20"/>
              </w:rPr>
            </w:pPr>
            <w:r w:rsidRPr="001914AB">
              <w:rPr>
                <w:sz w:val="20"/>
              </w:rPr>
              <w:t xml:space="preserve">1_1 </w:t>
            </w:r>
            <w:r w:rsidR="00253EEC" w:rsidRPr="001914AB">
              <w:rPr>
                <w:rFonts w:cs="Times"/>
                <w:sz w:val="20"/>
              </w:rPr>
              <w:t>→</w:t>
            </w:r>
            <w:r w:rsidR="00B1240A" w:rsidRPr="001914AB">
              <w:rPr>
                <w:sz w:val="20"/>
              </w:rPr>
              <w:t xml:space="preserve"> 1_2</w:t>
            </w:r>
          </w:p>
        </w:tc>
        <w:tc>
          <w:tcPr>
            <w:tcW w:w="1068" w:type="dxa"/>
          </w:tcPr>
          <w:p w14:paraId="5BAECF29" w14:textId="230BB73F" w:rsidR="00880410" w:rsidRPr="00702349" w:rsidRDefault="00110BF4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5E7BAB" w:rsidRPr="00702349">
              <w:rPr>
                <w:rFonts w:asciiTheme="minorHAnsi" w:hAnsiTheme="minorHAnsi" w:cstheme="minorHAnsi"/>
                <w:sz w:val="18"/>
                <w:szCs w:val="18"/>
              </w:rPr>
              <w:t>948</w:t>
            </w:r>
            <w:r w:rsidR="00CA3848">
              <w:rPr>
                <w:rFonts w:asciiTheme="minorHAnsi" w:hAnsiTheme="minorHAnsi" w:cstheme="minorHAnsi"/>
                <w:sz w:val="18"/>
                <w:szCs w:val="18"/>
              </w:rPr>
              <w:t>795</w:t>
            </w:r>
          </w:p>
        </w:tc>
        <w:tc>
          <w:tcPr>
            <w:tcW w:w="1010" w:type="dxa"/>
          </w:tcPr>
          <w:p w14:paraId="5C4E44EA" w14:textId="58795CED" w:rsidR="00880410" w:rsidRPr="00702349" w:rsidRDefault="002B07EB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0.805</w:t>
            </w:r>
            <w:r w:rsidR="00A3513D">
              <w:rPr>
                <w:rFonts w:asciiTheme="minorHAnsi" w:hAnsiTheme="minorHAnsi" w:cstheme="minorHAnsi"/>
                <w:sz w:val="18"/>
                <w:szCs w:val="18"/>
              </w:rPr>
              <w:t>095</w:t>
            </w:r>
          </w:p>
        </w:tc>
        <w:tc>
          <w:tcPr>
            <w:tcW w:w="1102" w:type="dxa"/>
          </w:tcPr>
          <w:p w14:paraId="41B6B553" w14:textId="1381A429" w:rsidR="00880410" w:rsidRPr="00702349" w:rsidRDefault="00640DF1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0.94</w:t>
            </w:r>
            <w:r w:rsidR="008524A1" w:rsidRPr="00702349">
              <w:rPr>
                <w:rFonts w:asciiTheme="minorHAnsi" w:hAnsiTheme="minorHAnsi" w:cstheme="minorHAnsi"/>
                <w:sz w:val="18"/>
                <w:szCs w:val="18"/>
              </w:rPr>
              <w:t>879</w:t>
            </w:r>
            <w:r w:rsidR="00CA384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195715B5" w14:textId="2870A734" w:rsidR="00880410" w:rsidRPr="00702349" w:rsidRDefault="007364F4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0.000481</w:t>
            </w:r>
          </w:p>
        </w:tc>
      </w:tr>
      <w:tr w:rsidR="00801124" w14:paraId="653A0E3E" w14:textId="77777777" w:rsidTr="00801124">
        <w:trPr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4120DAAB" w14:textId="4193C633" w:rsidR="00880410" w:rsidRPr="001914AB" w:rsidRDefault="00F6680D" w:rsidP="007632A3">
            <w:pPr>
              <w:spacing w:line="480" w:lineRule="auto"/>
              <w:jc w:val="left"/>
              <w:rPr>
                <w:sz w:val="20"/>
              </w:rPr>
            </w:pPr>
            <w:r w:rsidRPr="001914AB">
              <w:rPr>
                <w:sz w:val="20"/>
              </w:rPr>
              <w:t xml:space="preserve">1_2 </w:t>
            </w:r>
            <w:r w:rsidRPr="001914AB">
              <w:rPr>
                <w:rFonts w:cs="Times"/>
                <w:sz w:val="20"/>
              </w:rPr>
              <w:t>→ 1_3</w:t>
            </w:r>
          </w:p>
        </w:tc>
        <w:tc>
          <w:tcPr>
            <w:tcW w:w="1068" w:type="dxa"/>
          </w:tcPr>
          <w:p w14:paraId="2471AF8F" w14:textId="35074FA6" w:rsidR="00880410" w:rsidRPr="00702349" w:rsidRDefault="00A85C4F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8.6659</w:t>
            </w:r>
            <w:r w:rsidR="008C3BEE">
              <w:rPr>
                <w:rFonts w:asciiTheme="minorHAnsi" w:hAnsiTheme="minorHAnsi" w:cstheme="minorHAnsi"/>
                <w:sz w:val="18"/>
                <w:szCs w:val="18"/>
              </w:rPr>
              <w:t>08</w:t>
            </w:r>
          </w:p>
        </w:tc>
        <w:tc>
          <w:tcPr>
            <w:tcW w:w="1010" w:type="dxa"/>
          </w:tcPr>
          <w:p w14:paraId="3868C7D5" w14:textId="6DB6FE92" w:rsidR="00880410" w:rsidRPr="00702349" w:rsidRDefault="002C3548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630E3" w:rsidRPr="00702349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  <w:r w:rsidR="0099297D" w:rsidRPr="00702349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6910A3" w:rsidRPr="00702349">
              <w:rPr>
                <w:rFonts w:asciiTheme="minorHAnsi" w:hAnsiTheme="minorHAnsi" w:cstheme="minorHAnsi"/>
                <w:sz w:val="18"/>
                <w:szCs w:val="18"/>
              </w:rPr>
              <w:t>495</w:t>
            </w:r>
            <w:r w:rsidR="008C3BEE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1102" w:type="dxa"/>
          </w:tcPr>
          <w:p w14:paraId="26C709C7" w14:textId="6C317CAB" w:rsidR="00880410" w:rsidRPr="00702349" w:rsidRDefault="00F918A2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9.25</w:t>
            </w:r>
            <w:r w:rsidR="008B148C" w:rsidRPr="00702349">
              <w:rPr>
                <w:rFonts w:asciiTheme="minorHAnsi" w:hAnsiTheme="minorHAnsi" w:cstheme="minorHAnsi"/>
                <w:sz w:val="18"/>
                <w:szCs w:val="18"/>
              </w:rPr>
              <w:t>82</w:t>
            </w:r>
            <w:r w:rsidR="000D592B">
              <w:rPr>
                <w:rFonts w:asciiTheme="minorHAnsi" w:hAnsiTheme="minorHAnsi" w:cstheme="minorHAnsi"/>
                <w:sz w:val="18"/>
                <w:szCs w:val="18"/>
              </w:rPr>
              <w:t>79</w:t>
            </w:r>
          </w:p>
        </w:tc>
        <w:tc>
          <w:tcPr>
            <w:tcW w:w="1061" w:type="dxa"/>
          </w:tcPr>
          <w:p w14:paraId="3CCED123" w14:textId="0E1BF14A" w:rsidR="00880410" w:rsidRPr="00702349" w:rsidRDefault="007364F4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6D5F19" w:rsidRPr="00702349">
              <w:rPr>
                <w:rFonts w:asciiTheme="minorHAnsi" w:hAnsiTheme="minorHAnsi" w:cstheme="minorHAnsi"/>
                <w:sz w:val="18"/>
                <w:szCs w:val="18"/>
              </w:rPr>
              <w:t>040611</w:t>
            </w:r>
          </w:p>
        </w:tc>
      </w:tr>
      <w:tr w:rsidR="00567048" w14:paraId="067A553D" w14:textId="77777777" w:rsidTr="0080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7F415B41" w14:textId="0EC94184" w:rsidR="00880410" w:rsidRPr="001914AB" w:rsidRDefault="00F6680D" w:rsidP="007632A3">
            <w:pPr>
              <w:spacing w:line="480" w:lineRule="auto"/>
              <w:jc w:val="left"/>
              <w:rPr>
                <w:sz w:val="20"/>
              </w:rPr>
            </w:pPr>
            <w:r w:rsidRPr="001914AB">
              <w:rPr>
                <w:sz w:val="20"/>
              </w:rPr>
              <w:t xml:space="preserve">1_3 </w:t>
            </w:r>
            <w:r w:rsidRPr="001914AB">
              <w:rPr>
                <w:rFonts w:cs="Times"/>
                <w:sz w:val="20"/>
              </w:rPr>
              <w:t>→</w:t>
            </w:r>
            <w:r w:rsidRPr="001914AB">
              <w:rPr>
                <w:sz w:val="20"/>
              </w:rPr>
              <w:t xml:space="preserve"> </w:t>
            </w:r>
            <w:r w:rsidR="00AE5EE8" w:rsidRPr="001914AB">
              <w:rPr>
                <w:sz w:val="20"/>
              </w:rPr>
              <w:t>Final</w:t>
            </w:r>
          </w:p>
        </w:tc>
        <w:tc>
          <w:tcPr>
            <w:tcW w:w="1068" w:type="dxa"/>
          </w:tcPr>
          <w:p w14:paraId="0956BAB0" w14:textId="762A61C5" w:rsidR="00880410" w:rsidRPr="00702349" w:rsidRDefault="00A85C4F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13F7E" w:rsidRPr="00702349"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="009020E5" w:rsidRPr="00702349">
              <w:rPr>
                <w:rFonts w:asciiTheme="minorHAnsi" w:hAnsiTheme="minorHAnsi" w:cstheme="minorHAnsi"/>
                <w:sz w:val="18"/>
                <w:szCs w:val="18"/>
              </w:rPr>
              <w:t>42.0</w:t>
            </w:r>
            <w:r w:rsidR="00634E53" w:rsidRPr="00702349">
              <w:rPr>
                <w:rFonts w:asciiTheme="minorHAnsi" w:hAnsiTheme="minorHAnsi" w:cstheme="minorHAnsi"/>
                <w:sz w:val="18"/>
                <w:szCs w:val="18"/>
              </w:rPr>
              <w:t>4831</w:t>
            </w:r>
          </w:p>
        </w:tc>
        <w:tc>
          <w:tcPr>
            <w:tcW w:w="1010" w:type="dxa"/>
          </w:tcPr>
          <w:p w14:paraId="5F449EF8" w14:textId="38844DB6" w:rsidR="00880410" w:rsidRPr="00702349" w:rsidRDefault="006910A3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865B7E" w:rsidRPr="00702349">
              <w:rPr>
                <w:rFonts w:asciiTheme="minorHAnsi" w:hAnsiTheme="minorHAnsi" w:cstheme="minorHAnsi"/>
                <w:sz w:val="18"/>
                <w:szCs w:val="18"/>
              </w:rPr>
              <w:t>741.</w:t>
            </w:r>
            <w:r w:rsidR="00AD73BA" w:rsidRPr="00702349">
              <w:rPr>
                <w:rFonts w:asciiTheme="minorHAnsi" w:hAnsiTheme="minorHAnsi" w:cstheme="minorHAnsi"/>
                <w:sz w:val="18"/>
                <w:szCs w:val="18"/>
              </w:rPr>
              <w:t>785</w:t>
            </w:r>
            <w:r w:rsidR="004F71E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102" w:type="dxa"/>
          </w:tcPr>
          <w:p w14:paraId="6693704D" w14:textId="77285998" w:rsidR="00880410" w:rsidRPr="00702349" w:rsidRDefault="00B4686B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7364F4" w:rsidRPr="00702349">
              <w:rPr>
                <w:rFonts w:asciiTheme="minorHAnsi" w:hAnsiTheme="minorHAnsi" w:cstheme="minorHAnsi"/>
                <w:sz w:val="18"/>
                <w:szCs w:val="18"/>
              </w:rPr>
              <w:t>742.0483</w:t>
            </w:r>
          </w:p>
        </w:tc>
        <w:tc>
          <w:tcPr>
            <w:tcW w:w="1061" w:type="dxa"/>
          </w:tcPr>
          <w:p w14:paraId="41481C81" w14:textId="7ED957D0" w:rsidR="00880410" w:rsidRPr="00702349" w:rsidRDefault="006D5F19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-0.000884</w:t>
            </w:r>
          </w:p>
        </w:tc>
      </w:tr>
      <w:tr w:rsidR="00567048" w14:paraId="37974CD2" w14:textId="77777777" w:rsidTr="0080112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1C242634" w14:textId="0CAD1197" w:rsidR="006D5F19" w:rsidRPr="001914AB" w:rsidRDefault="006D5F19" w:rsidP="007632A3">
            <w:pPr>
              <w:spacing w:line="480" w:lineRule="auto"/>
              <w:jc w:val="left"/>
              <w:rPr>
                <w:sz w:val="20"/>
              </w:rPr>
            </w:pPr>
            <w:r>
              <w:rPr>
                <w:sz w:val="20"/>
              </w:rPr>
              <w:t>Overall</w:t>
            </w:r>
          </w:p>
        </w:tc>
        <w:tc>
          <w:tcPr>
            <w:tcW w:w="1068" w:type="dxa"/>
          </w:tcPr>
          <w:p w14:paraId="31DA4DDE" w14:textId="517A7E67" w:rsidR="006D5F19" w:rsidRPr="00702349" w:rsidRDefault="00425081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240F9" w:rsidRPr="00702349">
              <w:rPr>
                <w:rFonts w:asciiTheme="minorHAnsi" w:hAnsiTheme="minorHAnsi" w:cstheme="minorHAnsi"/>
                <w:sz w:val="18"/>
                <w:szCs w:val="18"/>
              </w:rPr>
              <w:t>732</w:t>
            </w:r>
            <w:r w:rsidR="001B251B" w:rsidRPr="00702349">
              <w:rPr>
                <w:rFonts w:asciiTheme="minorHAnsi" w:hAnsiTheme="minorHAnsi" w:cstheme="minorHAnsi"/>
                <w:sz w:val="18"/>
                <w:szCs w:val="18"/>
              </w:rPr>
              <w:t>.43361</w:t>
            </w:r>
          </w:p>
        </w:tc>
        <w:tc>
          <w:tcPr>
            <w:tcW w:w="1010" w:type="dxa"/>
          </w:tcPr>
          <w:p w14:paraId="1EEA013C" w14:textId="2F01C5E8" w:rsidR="006D5F19" w:rsidRPr="00702349" w:rsidRDefault="001B251B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FD47E3" w:rsidRPr="00702349">
              <w:rPr>
                <w:rFonts w:asciiTheme="minorHAnsi" w:hAnsiTheme="minorHAnsi" w:cstheme="minorHAnsi"/>
                <w:sz w:val="18"/>
                <w:szCs w:val="18"/>
              </w:rPr>
              <w:t>743.82</w:t>
            </w:r>
            <w:r w:rsidR="00762989" w:rsidRPr="00702349">
              <w:rPr>
                <w:rFonts w:asciiTheme="minorHAnsi" w:hAnsiTheme="minorHAnsi" w:cstheme="minorHAnsi"/>
                <w:sz w:val="18"/>
                <w:szCs w:val="18"/>
              </w:rPr>
              <w:t>98</w:t>
            </w:r>
          </w:p>
        </w:tc>
        <w:tc>
          <w:tcPr>
            <w:tcW w:w="1102" w:type="dxa"/>
          </w:tcPr>
          <w:p w14:paraId="123E2E7F" w14:textId="608E34B9" w:rsidR="006D5F19" w:rsidRPr="00702349" w:rsidRDefault="00762989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-731.84</w:t>
            </w:r>
            <w:r w:rsidR="002703CC" w:rsidRPr="00702349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1061" w:type="dxa"/>
          </w:tcPr>
          <w:p w14:paraId="768A6D7D" w14:textId="103E1B8B" w:rsidR="006D5F19" w:rsidRPr="00702349" w:rsidRDefault="00191708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02349">
              <w:rPr>
                <w:rFonts w:asciiTheme="minorHAnsi" w:hAnsiTheme="minorHAnsi" w:cstheme="minorHAnsi"/>
                <w:sz w:val="18"/>
                <w:szCs w:val="18"/>
              </w:rPr>
              <w:t>0.040208</w:t>
            </w:r>
          </w:p>
        </w:tc>
      </w:tr>
    </w:tbl>
    <w:p w14:paraId="3521DD73" w14:textId="096EB326" w:rsidR="00635914" w:rsidRDefault="00A23B40" w:rsidP="007632A3">
      <w:pPr>
        <w:spacing w:line="480" w:lineRule="auto"/>
        <w:jc w:val="left"/>
      </w:pPr>
      <w:r>
        <w:t xml:space="preserve"> </w:t>
      </w:r>
    </w:p>
    <w:p w14:paraId="24F09EC6" w14:textId="4CBC264D" w:rsidR="00E75ACE" w:rsidRDefault="0073726F" w:rsidP="007632A3">
      <w:pPr>
        <w:spacing w:line="480" w:lineRule="auto"/>
        <w:jc w:val="left"/>
      </w:pPr>
      <w:r>
        <w:t xml:space="preserve">Going from 1_1 to </w:t>
      </w:r>
      <w:r w:rsidR="00C0165B">
        <w:t>1_2</w:t>
      </w:r>
      <w:r w:rsidR="00431C8C">
        <w:t xml:space="preserve"> we can see that </w:t>
      </w:r>
      <w:r w:rsidR="00E13C7F">
        <w:t>both</w:t>
      </w:r>
      <w:r w:rsidR="00766DE8">
        <w:t xml:space="preserve"> </w:t>
      </w:r>
      <w:r w:rsidR="00766DE8">
        <w:rPr>
          <w:rFonts w:ascii="Calibri" w:hAnsi="Calibri" w:cs="Calibri"/>
        </w:rPr>
        <w:t>Δ</w:t>
      </w:r>
      <w:r w:rsidR="00766DE8">
        <w:t>H</w:t>
      </w:r>
      <w:r w:rsidR="00766DE8">
        <w:rPr>
          <w:rFonts w:cs="Times"/>
        </w:rPr>
        <w:t>°</w:t>
      </w:r>
      <w:r w:rsidR="00766DE8">
        <w:rPr>
          <w:rFonts w:cs="Times"/>
        </w:rPr>
        <w:t xml:space="preserve"> and </w:t>
      </w:r>
      <w:r w:rsidR="00766DE8">
        <w:rPr>
          <w:rFonts w:ascii="Calibri" w:hAnsi="Calibri" w:cs="Calibri"/>
        </w:rPr>
        <w:t>Δ</w:t>
      </w:r>
      <w:r w:rsidR="00BA7BB7">
        <w:t>S</w:t>
      </w:r>
      <w:r w:rsidR="00766DE8">
        <w:rPr>
          <w:rFonts w:cs="Times"/>
        </w:rPr>
        <w:t>°</w:t>
      </w:r>
      <w:r w:rsidR="00BA7BB7">
        <w:rPr>
          <w:rFonts w:cs="Times"/>
        </w:rPr>
        <w:t xml:space="preserve"> are po</w:t>
      </w:r>
      <w:r w:rsidR="00187A9B">
        <w:rPr>
          <w:rFonts w:cs="Times"/>
        </w:rPr>
        <w:t>sitive</w:t>
      </w:r>
      <w:r w:rsidR="004106E3">
        <w:rPr>
          <w:rFonts w:cs="Times"/>
        </w:rPr>
        <w:t>, as well</w:t>
      </w:r>
      <w:r w:rsidR="004B7D1E">
        <w:rPr>
          <w:rFonts w:cs="Times"/>
        </w:rPr>
        <w:t xml:space="preserve"> as </w:t>
      </w:r>
      <w:r w:rsidR="00766143">
        <w:rPr>
          <w:rFonts w:ascii="Calibri" w:hAnsi="Calibri" w:cs="Calibri"/>
        </w:rPr>
        <w:t>Δ</w:t>
      </w:r>
      <w:r w:rsidR="00766143">
        <w:t>G</w:t>
      </w:r>
      <w:r w:rsidR="00766143">
        <w:rPr>
          <w:rFonts w:cs="Times"/>
        </w:rPr>
        <w:t>°</w:t>
      </w:r>
      <w:r w:rsidR="00C22A42">
        <w:rPr>
          <w:rFonts w:cs="Times"/>
        </w:rPr>
        <w:t xml:space="preserve">, meaning this </w:t>
      </w:r>
      <w:r w:rsidR="00EF2243">
        <w:rPr>
          <w:rFonts w:cs="Times"/>
        </w:rPr>
        <w:t>process</w:t>
      </w:r>
      <w:r w:rsidR="009A217B">
        <w:rPr>
          <w:rFonts w:cs="Times"/>
        </w:rPr>
        <w:t xml:space="preserve"> is non-sp</w:t>
      </w:r>
      <w:r w:rsidR="00232219">
        <w:rPr>
          <w:rFonts w:cs="Times"/>
        </w:rPr>
        <w:t>ontan</w:t>
      </w:r>
      <w:r w:rsidR="00B75408">
        <w:rPr>
          <w:rFonts w:cs="Times"/>
        </w:rPr>
        <w:t>eous. However</w:t>
      </w:r>
      <w:r w:rsidR="008D3C84">
        <w:rPr>
          <w:rFonts w:cs="Times"/>
        </w:rPr>
        <w:t>,</w:t>
      </w:r>
      <w:r w:rsidR="00B75408">
        <w:rPr>
          <w:rFonts w:cs="Times"/>
        </w:rPr>
        <w:t xml:space="preserve"> at higher </w:t>
      </w:r>
      <w:r w:rsidR="007D5BEF">
        <w:rPr>
          <w:rFonts w:cs="Times"/>
        </w:rPr>
        <w:t>temperatures, this process would</w:t>
      </w:r>
      <w:r w:rsidR="00802DD4">
        <w:rPr>
          <w:rFonts w:cs="Times"/>
        </w:rPr>
        <w:t xml:space="preserve"> not only</w:t>
      </w:r>
      <w:r w:rsidR="007D5BEF">
        <w:rPr>
          <w:rFonts w:cs="Times"/>
        </w:rPr>
        <w:t xml:space="preserve"> be spontaneous</w:t>
      </w:r>
      <w:r w:rsidR="00802DD4">
        <w:rPr>
          <w:rFonts w:cs="Times"/>
        </w:rPr>
        <w:t>, but also</w:t>
      </w:r>
      <w:r w:rsidR="007D5BEF">
        <w:rPr>
          <w:rFonts w:cs="Times"/>
        </w:rPr>
        <w:t xml:space="preserve"> </w:t>
      </w:r>
      <w:r w:rsidR="00BC3EA0">
        <w:rPr>
          <w:rFonts w:cs="Times"/>
        </w:rPr>
        <w:t xml:space="preserve">entropically driven. </w:t>
      </w:r>
      <w:r w:rsidR="001175DD">
        <w:rPr>
          <w:rFonts w:cs="Times"/>
        </w:rPr>
        <w:t>Going from 1_2 to 1_3</w:t>
      </w:r>
      <w:r w:rsidR="008E450C">
        <w:rPr>
          <w:rFonts w:cs="Times"/>
        </w:rPr>
        <w:t xml:space="preserve"> shows </w:t>
      </w:r>
      <w:r w:rsidR="008E450C">
        <w:rPr>
          <w:rFonts w:ascii="Calibri" w:hAnsi="Calibri" w:cs="Calibri"/>
        </w:rPr>
        <w:t>Δ</w:t>
      </w:r>
      <w:r w:rsidR="008E450C">
        <w:t>H</w:t>
      </w:r>
      <w:r w:rsidR="008E450C">
        <w:rPr>
          <w:rFonts w:cs="Times"/>
        </w:rPr>
        <w:t>°</w:t>
      </w:r>
      <w:r w:rsidR="008E450C">
        <w:rPr>
          <w:rFonts w:cs="Times"/>
        </w:rPr>
        <w:t xml:space="preserve"> </w:t>
      </w:r>
      <w:r w:rsidR="00977127">
        <w:rPr>
          <w:rFonts w:cs="Times"/>
        </w:rPr>
        <w:t xml:space="preserve">and </w:t>
      </w:r>
      <w:r w:rsidR="00977127">
        <w:rPr>
          <w:rFonts w:ascii="Calibri" w:hAnsi="Calibri" w:cs="Calibri"/>
        </w:rPr>
        <w:t>Δ</w:t>
      </w:r>
      <w:r w:rsidR="00977127">
        <w:t>S</w:t>
      </w:r>
      <w:r w:rsidR="00977127">
        <w:rPr>
          <w:rFonts w:cs="Times"/>
        </w:rPr>
        <w:t>°</w:t>
      </w:r>
      <w:r w:rsidR="00977127">
        <w:rPr>
          <w:rFonts w:cs="Times"/>
        </w:rPr>
        <w:t xml:space="preserve"> </w:t>
      </w:r>
      <w:r w:rsidR="008E450C">
        <w:rPr>
          <w:rFonts w:cs="Times"/>
        </w:rPr>
        <w:t xml:space="preserve">as </w:t>
      </w:r>
      <w:r w:rsidR="00392311">
        <w:rPr>
          <w:rFonts w:cs="Times"/>
        </w:rPr>
        <w:t xml:space="preserve">positive again, except </w:t>
      </w:r>
      <w:r w:rsidR="00897CE6">
        <w:rPr>
          <w:rFonts w:ascii="Calibri" w:hAnsi="Calibri" w:cs="Calibri"/>
        </w:rPr>
        <w:t>Δ</w:t>
      </w:r>
      <w:r w:rsidR="00897CE6">
        <w:t>G</w:t>
      </w:r>
      <w:r w:rsidR="00897CE6">
        <w:rPr>
          <w:rFonts w:cs="Times"/>
        </w:rPr>
        <w:t>°</w:t>
      </w:r>
      <w:r w:rsidR="00897CE6">
        <w:rPr>
          <w:rFonts w:cs="Times"/>
        </w:rPr>
        <w:t xml:space="preserve"> is negative, meaning this process</w:t>
      </w:r>
      <w:r w:rsidR="003044E9">
        <w:rPr>
          <w:rFonts w:cs="Times"/>
        </w:rPr>
        <w:t xml:space="preserve"> is spontaneous and entro</w:t>
      </w:r>
      <w:r w:rsidR="00582CB6">
        <w:rPr>
          <w:rFonts w:cs="Times"/>
        </w:rPr>
        <w:t>pically driven</w:t>
      </w:r>
      <w:r w:rsidR="003B1060">
        <w:rPr>
          <w:rFonts w:cs="Times"/>
        </w:rPr>
        <w:t>.</w:t>
      </w:r>
      <w:r w:rsidR="00016C15">
        <w:rPr>
          <w:rFonts w:cs="Times"/>
        </w:rPr>
        <w:t xml:space="preserve"> </w:t>
      </w:r>
      <w:r w:rsidR="003649BD">
        <w:rPr>
          <w:rFonts w:cs="Times"/>
        </w:rPr>
        <w:t>Going from</w:t>
      </w:r>
      <w:r w:rsidR="00414E98">
        <w:rPr>
          <w:rFonts w:cs="Times"/>
        </w:rPr>
        <w:t xml:space="preserve"> 1_3 to the final product</w:t>
      </w:r>
      <w:r w:rsidR="00DA1932">
        <w:rPr>
          <w:rFonts w:cs="Times"/>
        </w:rPr>
        <w:t xml:space="preserve"> both </w:t>
      </w:r>
      <w:r w:rsidR="00DA1932">
        <w:rPr>
          <w:rFonts w:ascii="Calibri" w:hAnsi="Calibri" w:cs="Calibri"/>
        </w:rPr>
        <w:t>Δ</w:t>
      </w:r>
      <w:r w:rsidR="00DA1932">
        <w:t>H</w:t>
      </w:r>
      <w:r w:rsidR="00DA1932">
        <w:rPr>
          <w:rFonts w:cs="Times"/>
        </w:rPr>
        <w:t>°</w:t>
      </w:r>
      <w:r w:rsidR="00DA1932">
        <w:rPr>
          <w:rFonts w:cs="Times"/>
        </w:rPr>
        <w:t xml:space="preserve"> and </w:t>
      </w:r>
      <w:r w:rsidR="00DA1932">
        <w:rPr>
          <w:rFonts w:ascii="Calibri" w:hAnsi="Calibri" w:cs="Calibri"/>
        </w:rPr>
        <w:t>Δ</w:t>
      </w:r>
      <w:r w:rsidR="00DF4AA1">
        <w:t>S</w:t>
      </w:r>
      <w:r w:rsidR="00DA1932">
        <w:rPr>
          <w:rFonts w:cs="Times"/>
        </w:rPr>
        <w:t>°</w:t>
      </w:r>
      <w:r w:rsidR="00DF4AA1">
        <w:rPr>
          <w:rFonts w:cs="Times"/>
        </w:rPr>
        <w:t xml:space="preserve"> are negative, as well as </w:t>
      </w:r>
      <w:r w:rsidR="00DF4AA1">
        <w:rPr>
          <w:rFonts w:ascii="Calibri" w:hAnsi="Calibri" w:cs="Calibri"/>
        </w:rPr>
        <w:t>Δ</w:t>
      </w:r>
      <w:r w:rsidR="00DF4AA1">
        <w:t>G</w:t>
      </w:r>
      <w:r w:rsidR="00DF4AA1">
        <w:rPr>
          <w:rFonts w:cs="Times"/>
        </w:rPr>
        <w:t>°</w:t>
      </w:r>
      <w:r w:rsidR="00175825">
        <w:rPr>
          <w:rFonts w:cs="Times"/>
        </w:rPr>
        <w:t>, meaning</w:t>
      </w:r>
      <w:r w:rsidR="00AE3F80">
        <w:rPr>
          <w:rFonts w:cs="Times"/>
        </w:rPr>
        <w:t xml:space="preserve"> this process is spontan</w:t>
      </w:r>
      <w:r w:rsidR="00F36698">
        <w:rPr>
          <w:rFonts w:cs="Times"/>
        </w:rPr>
        <w:t xml:space="preserve">eous. </w:t>
      </w:r>
      <w:r w:rsidR="002F7DEA">
        <w:rPr>
          <w:rFonts w:cs="Times"/>
        </w:rPr>
        <w:t>At higher temperature</w:t>
      </w:r>
      <w:r w:rsidR="000951FF">
        <w:rPr>
          <w:rFonts w:cs="Times"/>
        </w:rPr>
        <w:t xml:space="preserve">s, this process would be non-spontaneous and </w:t>
      </w:r>
      <w:r w:rsidR="00E75ACE">
        <w:rPr>
          <w:rFonts w:cs="Times"/>
        </w:rPr>
        <w:t xml:space="preserve">enthalpically driven. </w:t>
      </w:r>
      <w:r w:rsidR="00785C01">
        <w:t xml:space="preserve">The change </w:t>
      </w:r>
      <w:r w:rsidR="00B27CE0">
        <w:t xml:space="preserve">in </w:t>
      </w:r>
      <w:r w:rsidR="00B312C7">
        <w:t xml:space="preserve">Internal </w:t>
      </w:r>
      <w:r w:rsidR="00BE3C24">
        <w:t xml:space="preserve">Energy, </w:t>
      </w:r>
      <w:r w:rsidR="00BB0ED5">
        <w:t>Free Energy, Entha</w:t>
      </w:r>
      <w:r w:rsidR="00431C8C">
        <w:t>l</w:t>
      </w:r>
      <w:r w:rsidR="00BB0ED5">
        <w:t>py, and Entropy for Mech</w:t>
      </w:r>
      <w:r w:rsidR="00801124">
        <w:t>anism 2 is shown in Table 3.</w:t>
      </w:r>
      <w:r w:rsidR="006516C7">
        <w:t xml:space="preserve"> </w:t>
      </w:r>
      <w:r w:rsidR="0099785A">
        <w:t xml:space="preserve">Since </w:t>
      </w:r>
      <w:r w:rsidR="00687AD4">
        <w:t xml:space="preserve">both mechanisms have the same start and end points, </w:t>
      </w:r>
      <w:r w:rsidR="002C3B4E">
        <w:t xml:space="preserve">the overall change in energy is </w:t>
      </w:r>
      <w:r w:rsidR="0019054F">
        <w:t xml:space="preserve">the </w:t>
      </w:r>
      <w:r w:rsidR="000F4015">
        <w:t>same in both</w:t>
      </w:r>
      <w:r w:rsidR="0019054F">
        <w:t xml:space="preserve">. The difference between the mechanisms </w:t>
      </w:r>
      <w:r w:rsidR="00E654D4">
        <w:t xml:space="preserve">is evident in the different changes of energy for the </w:t>
      </w:r>
      <w:r w:rsidR="00DF35FC">
        <w:t xml:space="preserve">individual steps it takes to get to the final product. </w:t>
      </w:r>
    </w:p>
    <w:p w14:paraId="1E3124F5" w14:textId="19F2A238" w:rsidR="00BE7E6B" w:rsidRPr="009079F6" w:rsidRDefault="00BE7E6B" w:rsidP="00BE7E6B">
      <w:pPr>
        <w:pStyle w:val="Caption"/>
        <w:keepNext/>
        <w:rPr>
          <w:b/>
          <w:bCs/>
          <w:color w:val="5F497A" w:themeColor="accent4" w:themeShade="BF"/>
          <w:sz w:val="22"/>
          <w:szCs w:val="22"/>
        </w:rPr>
      </w:pPr>
      <w:r w:rsidRPr="009079F6">
        <w:rPr>
          <w:b/>
          <w:bCs/>
          <w:color w:val="5F497A" w:themeColor="accent4" w:themeShade="BF"/>
          <w:sz w:val="22"/>
          <w:szCs w:val="22"/>
        </w:rPr>
        <w:t xml:space="preserve">Table </w:t>
      </w:r>
      <w:r w:rsidRPr="009079F6">
        <w:rPr>
          <w:b/>
          <w:bCs/>
          <w:color w:val="5F497A" w:themeColor="accent4" w:themeShade="BF"/>
          <w:sz w:val="22"/>
          <w:szCs w:val="22"/>
        </w:rPr>
        <w:fldChar w:fldCharType="begin"/>
      </w:r>
      <w:r w:rsidRPr="009079F6">
        <w:rPr>
          <w:b/>
          <w:bCs/>
          <w:color w:val="5F497A" w:themeColor="accent4" w:themeShade="BF"/>
          <w:sz w:val="22"/>
          <w:szCs w:val="22"/>
        </w:rPr>
        <w:instrText xml:space="preserve"> SEQ Table \* ARABIC </w:instrText>
      </w:r>
      <w:r w:rsidRPr="009079F6">
        <w:rPr>
          <w:b/>
          <w:bCs/>
          <w:color w:val="5F497A" w:themeColor="accent4" w:themeShade="BF"/>
          <w:sz w:val="22"/>
          <w:szCs w:val="22"/>
        </w:rPr>
        <w:fldChar w:fldCharType="separate"/>
      </w:r>
      <w:r w:rsidRPr="009079F6">
        <w:rPr>
          <w:b/>
          <w:bCs/>
          <w:noProof/>
          <w:color w:val="5F497A" w:themeColor="accent4" w:themeShade="BF"/>
          <w:sz w:val="22"/>
          <w:szCs w:val="22"/>
        </w:rPr>
        <w:t>3</w:t>
      </w:r>
      <w:r w:rsidRPr="009079F6">
        <w:rPr>
          <w:b/>
          <w:bCs/>
          <w:color w:val="5F497A" w:themeColor="accent4" w:themeShade="BF"/>
          <w:sz w:val="22"/>
          <w:szCs w:val="22"/>
        </w:rPr>
        <w:fldChar w:fldCharType="end"/>
      </w:r>
      <w:r w:rsidRPr="009079F6">
        <w:rPr>
          <w:b/>
          <w:bCs/>
          <w:color w:val="5F497A" w:themeColor="accent4" w:themeShade="BF"/>
          <w:sz w:val="22"/>
          <w:szCs w:val="22"/>
        </w:rPr>
        <w:t>. Change in Energy, Enthalpy, and Entropy for Mechanism 2</w:t>
      </w:r>
      <w:r w:rsidR="009079F6">
        <w:rPr>
          <w:b/>
          <w:bCs/>
          <w:color w:val="5F497A" w:themeColor="accent4" w:themeShade="BF"/>
          <w:sz w:val="22"/>
          <w:szCs w:val="22"/>
        </w:rPr>
        <w:t xml:space="preserve"> (Kcal/mol)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61"/>
        <w:gridCol w:w="1047"/>
        <w:gridCol w:w="1080"/>
        <w:gridCol w:w="1074"/>
        <w:gridCol w:w="956"/>
      </w:tblGrid>
      <w:tr w:rsidR="00CF50A5" w14:paraId="4EC3499B" w14:textId="77777777" w:rsidTr="0012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125E51E1" w14:textId="77777777" w:rsidR="00CE3A1E" w:rsidRDefault="00CE3A1E" w:rsidP="007632A3">
            <w:pPr>
              <w:spacing w:line="480" w:lineRule="auto"/>
              <w:jc w:val="left"/>
            </w:pPr>
          </w:p>
        </w:tc>
        <w:tc>
          <w:tcPr>
            <w:tcW w:w="1047" w:type="dxa"/>
          </w:tcPr>
          <w:p w14:paraId="4777D1EB" w14:textId="60ADBDD3" w:rsidR="00CE3A1E" w:rsidRDefault="00CE3A1E" w:rsidP="007632A3">
            <w:pPr>
              <w:spacing w:line="48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sz w:val="20"/>
              </w:rPr>
              <w:t>Δ</w:t>
            </w:r>
            <w:r w:rsidRPr="001914AB">
              <w:rPr>
                <w:sz w:val="20"/>
              </w:rPr>
              <w:t>Internal</w:t>
            </w:r>
            <w:proofErr w:type="spellEnd"/>
            <w:r w:rsidRPr="001914AB">
              <w:rPr>
                <w:sz w:val="20"/>
              </w:rPr>
              <w:t xml:space="preserve"> Energy</w:t>
            </w:r>
          </w:p>
        </w:tc>
        <w:tc>
          <w:tcPr>
            <w:tcW w:w="1080" w:type="dxa"/>
          </w:tcPr>
          <w:p w14:paraId="5ABD1284" w14:textId="213696A7" w:rsidR="00CE3A1E" w:rsidRDefault="00CE3A1E" w:rsidP="007632A3">
            <w:pPr>
              <w:spacing w:line="48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Δ</w:t>
            </w:r>
            <w:r>
              <w:t>G</w:t>
            </w:r>
            <w:r>
              <w:rPr>
                <w:rFonts w:cs="Times"/>
              </w:rPr>
              <w:t>°</w:t>
            </w:r>
          </w:p>
        </w:tc>
        <w:tc>
          <w:tcPr>
            <w:tcW w:w="1074" w:type="dxa"/>
          </w:tcPr>
          <w:p w14:paraId="227C2C3E" w14:textId="49B3022A" w:rsidR="00CE3A1E" w:rsidRDefault="00FF4ED4" w:rsidP="007632A3">
            <w:pPr>
              <w:spacing w:line="48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Δ</w:t>
            </w:r>
            <w:r>
              <w:t>H</w:t>
            </w:r>
            <w:r>
              <w:rPr>
                <w:rFonts w:cs="Times"/>
              </w:rPr>
              <w:t>°</w:t>
            </w:r>
          </w:p>
        </w:tc>
        <w:tc>
          <w:tcPr>
            <w:tcW w:w="956" w:type="dxa"/>
          </w:tcPr>
          <w:p w14:paraId="10BA1BA5" w14:textId="1A33DB18" w:rsidR="00CE3A1E" w:rsidRDefault="00FF4ED4" w:rsidP="007632A3">
            <w:pPr>
              <w:spacing w:line="48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Δ</w:t>
            </w:r>
            <w:r>
              <w:t>S</w:t>
            </w:r>
            <w:r>
              <w:rPr>
                <w:rFonts w:cs="Times"/>
              </w:rPr>
              <w:t>°</w:t>
            </w:r>
          </w:p>
        </w:tc>
      </w:tr>
      <w:tr w:rsidR="00CF50A5" w14:paraId="43D8D9C0" w14:textId="77777777" w:rsidTr="0012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4EB8FC8" w14:textId="3CE13843" w:rsidR="00CE3A1E" w:rsidRPr="00540448" w:rsidRDefault="00BB191A" w:rsidP="007632A3">
            <w:pPr>
              <w:spacing w:line="480" w:lineRule="auto"/>
              <w:jc w:val="left"/>
              <w:rPr>
                <w:sz w:val="20"/>
                <w:szCs w:val="16"/>
              </w:rPr>
            </w:pPr>
            <w:r w:rsidRPr="00540448">
              <w:rPr>
                <w:sz w:val="20"/>
                <w:szCs w:val="16"/>
              </w:rPr>
              <w:t xml:space="preserve">2_1 </w:t>
            </w:r>
            <w:r w:rsidR="001E6E7E" w:rsidRPr="00540448">
              <w:rPr>
                <w:rFonts w:cs="Times"/>
                <w:sz w:val="20"/>
                <w:szCs w:val="16"/>
              </w:rPr>
              <w:t>→</w:t>
            </w:r>
            <w:r w:rsidR="001E6E7E" w:rsidRPr="00540448">
              <w:rPr>
                <w:sz w:val="20"/>
                <w:szCs w:val="16"/>
              </w:rPr>
              <w:t xml:space="preserve"> 2_2</w:t>
            </w:r>
          </w:p>
        </w:tc>
        <w:tc>
          <w:tcPr>
            <w:tcW w:w="1047" w:type="dxa"/>
          </w:tcPr>
          <w:p w14:paraId="4BF7C8A4" w14:textId="20AEFE12" w:rsidR="00CE3A1E" w:rsidRPr="00DB2CC7" w:rsidRDefault="00CD4ABB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DB2CC7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40932" w:rsidRPr="00DB2CC7">
              <w:rPr>
                <w:rFonts w:asciiTheme="minorHAnsi" w:hAnsiTheme="minorHAnsi" w:cstheme="minorHAnsi"/>
                <w:sz w:val="18"/>
                <w:szCs w:val="18"/>
              </w:rPr>
              <w:t>.948</w:t>
            </w:r>
            <w:r w:rsidR="00092A43" w:rsidRPr="00DB2CC7">
              <w:rPr>
                <w:rFonts w:asciiTheme="minorHAnsi" w:hAnsiTheme="minorHAnsi" w:cstheme="minorHAnsi"/>
                <w:sz w:val="18"/>
                <w:szCs w:val="18"/>
              </w:rPr>
              <w:t>795</w:t>
            </w:r>
          </w:p>
        </w:tc>
        <w:tc>
          <w:tcPr>
            <w:tcW w:w="1080" w:type="dxa"/>
          </w:tcPr>
          <w:p w14:paraId="7BD92560" w14:textId="32DC2575" w:rsidR="00CE3A1E" w:rsidRPr="00DB2CC7" w:rsidRDefault="007C0031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0.805</w:t>
            </w:r>
            <w:r w:rsidR="00DF1645">
              <w:rPr>
                <w:rFonts w:asciiTheme="minorHAnsi" w:hAnsiTheme="minorHAnsi" w:cstheme="minorHAnsi"/>
                <w:sz w:val="18"/>
                <w:szCs w:val="18"/>
              </w:rPr>
              <w:t>095</w:t>
            </w:r>
          </w:p>
        </w:tc>
        <w:tc>
          <w:tcPr>
            <w:tcW w:w="1074" w:type="dxa"/>
          </w:tcPr>
          <w:p w14:paraId="547BBFFF" w14:textId="59342D6E" w:rsidR="00CE3A1E" w:rsidRPr="00DB2CC7" w:rsidRDefault="00311276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0.9</w:t>
            </w:r>
            <w:r w:rsidR="00C53975">
              <w:rPr>
                <w:rFonts w:asciiTheme="minorHAnsi" w:hAnsiTheme="minorHAnsi" w:cstheme="minorHAnsi"/>
                <w:sz w:val="18"/>
                <w:szCs w:val="18"/>
              </w:rPr>
              <w:t>48</w:t>
            </w:r>
            <w:r w:rsidR="000128FC">
              <w:rPr>
                <w:rFonts w:asciiTheme="minorHAnsi" w:hAnsiTheme="minorHAnsi" w:cstheme="minorHAnsi"/>
                <w:sz w:val="18"/>
                <w:szCs w:val="18"/>
              </w:rPr>
              <w:t>794</w:t>
            </w:r>
          </w:p>
        </w:tc>
        <w:tc>
          <w:tcPr>
            <w:tcW w:w="956" w:type="dxa"/>
          </w:tcPr>
          <w:p w14:paraId="2A8177AC" w14:textId="0F76498D" w:rsidR="00CE3A1E" w:rsidRPr="00DB2CC7" w:rsidRDefault="00B82EC4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0.000481</w:t>
            </w:r>
          </w:p>
        </w:tc>
      </w:tr>
      <w:tr w:rsidR="00CE3A1E" w14:paraId="69E869DE" w14:textId="77777777" w:rsidTr="00127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126738A" w14:textId="67F28F5C" w:rsidR="00CE3A1E" w:rsidRPr="00540448" w:rsidRDefault="001E6E7E" w:rsidP="007632A3">
            <w:pPr>
              <w:spacing w:line="480" w:lineRule="auto"/>
              <w:jc w:val="left"/>
              <w:rPr>
                <w:sz w:val="20"/>
                <w:szCs w:val="16"/>
              </w:rPr>
            </w:pPr>
            <w:r w:rsidRPr="00540448">
              <w:rPr>
                <w:sz w:val="20"/>
                <w:szCs w:val="16"/>
              </w:rPr>
              <w:t xml:space="preserve">2_2 </w:t>
            </w:r>
            <w:r w:rsidRPr="00540448">
              <w:rPr>
                <w:rFonts w:cs="Times"/>
                <w:sz w:val="20"/>
                <w:szCs w:val="16"/>
              </w:rPr>
              <w:t>→</w:t>
            </w:r>
            <w:r w:rsidRPr="00540448">
              <w:rPr>
                <w:sz w:val="20"/>
                <w:szCs w:val="16"/>
              </w:rPr>
              <w:t xml:space="preserve"> Final</w:t>
            </w:r>
          </w:p>
        </w:tc>
        <w:tc>
          <w:tcPr>
            <w:tcW w:w="1047" w:type="dxa"/>
          </w:tcPr>
          <w:p w14:paraId="6B2B5856" w14:textId="7416C752" w:rsidR="00CE3A1E" w:rsidRPr="00DB2CC7" w:rsidRDefault="00003B4C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-733.</w:t>
            </w:r>
            <w:r w:rsidR="00D877B9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  <w:r w:rsidR="00506045">
              <w:rPr>
                <w:rFonts w:asciiTheme="minorHAnsi" w:hAnsiTheme="minorHAnsi" w:cstheme="minorHAnsi"/>
                <w:sz w:val="18"/>
                <w:szCs w:val="18"/>
              </w:rPr>
              <w:t>240</w:t>
            </w:r>
          </w:p>
        </w:tc>
        <w:tc>
          <w:tcPr>
            <w:tcW w:w="1080" w:type="dxa"/>
          </w:tcPr>
          <w:p w14:paraId="78E8C7F6" w14:textId="486A5AFE" w:rsidR="00CE3A1E" w:rsidRPr="00DB2CC7" w:rsidRDefault="00F12D56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-744.6349</w:t>
            </w:r>
          </w:p>
        </w:tc>
        <w:tc>
          <w:tcPr>
            <w:tcW w:w="1074" w:type="dxa"/>
          </w:tcPr>
          <w:p w14:paraId="154C17CA" w14:textId="1092EAEB" w:rsidR="00CE3A1E" w:rsidRPr="00DB2CC7" w:rsidRDefault="000128FC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-732.79003</w:t>
            </w:r>
          </w:p>
        </w:tc>
        <w:tc>
          <w:tcPr>
            <w:tcW w:w="956" w:type="dxa"/>
          </w:tcPr>
          <w:p w14:paraId="233957C2" w14:textId="04926DD3" w:rsidR="00CE3A1E" w:rsidRPr="00DB2CC7" w:rsidRDefault="003642D6" w:rsidP="007632A3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0.0</w:t>
            </w:r>
            <w:r w:rsidR="006E4597">
              <w:rPr>
                <w:rFonts w:asciiTheme="minorHAnsi" w:hAnsiTheme="minorHAnsi" w:cstheme="minorHAnsi"/>
                <w:sz w:val="18"/>
                <w:szCs w:val="18"/>
              </w:rPr>
              <w:t>39727</w:t>
            </w:r>
          </w:p>
        </w:tc>
      </w:tr>
      <w:tr w:rsidR="00CF50A5" w14:paraId="57B41274" w14:textId="77777777" w:rsidTr="0012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143252ED" w14:textId="054DF384" w:rsidR="00CE3A1E" w:rsidRPr="00540448" w:rsidRDefault="00CE3A1E" w:rsidP="007632A3">
            <w:pPr>
              <w:spacing w:line="480" w:lineRule="auto"/>
              <w:jc w:val="left"/>
              <w:rPr>
                <w:sz w:val="20"/>
                <w:szCs w:val="16"/>
              </w:rPr>
            </w:pPr>
            <w:r w:rsidRPr="00540448">
              <w:rPr>
                <w:sz w:val="20"/>
                <w:szCs w:val="16"/>
              </w:rPr>
              <w:t>Overall</w:t>
            </w:r>
          </w:p>
        </w:tc>
        <w:tc>
          <w:tcPr>
            <w:tcW w:w="1047" w:type="dxa"/>
          </w:tcPr>
          <w:p w14:paraId="69A40970" w14:textId="26D90772" w:rsidR="00CE3A1E" w:rsidRPr="00DB2CC7" w:rsidRDefault="00504BB7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DB2CC7">
              <w:rPr>
                <w:rFonts w:asciiTheme="minorHAnsi" w:hAnsiTheme="minorHAnsi" w:cstheme="minorHAnsi"/>
                <w:sz w:val="18"/>
                <w:szCs w:val="18"/>
              </w:rPr>
              <w:t>-732.43361</w:t>
            </w:r>
          </w:p>
        </w:tc>
        <w:tc>
          <w:tcPr>
            <w:tcW w:w="1080" w:type="dxa"/>
          </w:tcPr>
          <w:p w14:paraId="550B087E" w14:textId="44A49D1F" w:rsidR="00CE3A1E" w:rsidRPr="00DB2CC7" w:rsidRDefault="00504BB7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DB2CC7">
              <w:rPr>
                <w:rFonts w:asciiTheme="minorHAnsi" w:hAnsiTheme="minorHAnsi" w:cstheme="minorHAnsi"/>
                <w:sz w:val="18"/>
                <w:szCs w:val="18"/>
              </w:rPr>
              <w:t>-743.8298</w:t>
            </w:r>
          </w:p>
        </w:tc>
        <w:tc>
          <w:tcPr>
            <w:tcW w:w="1074" w:type="dxa"/>
          </w:tcPr>
          <w:p w14:paraId="2351BED0" w14:textId="75CB2CD7" w:rsidR="00CE3A1E" w:rsidRPr="00DB2CC7" w:rsidRDefault="00504BB7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DB2CC7">
              <w:rPr>
                <w:rFonts w:asciiTheme="minorHAnsi" w:hAnsiTheme="minorHAnsi" w:cstheme="minorHAnsi"/>
                <w:sz w:val="18"/>
                <w:szCs w:val="18"/>
              </w:rPr>
              <w:t>-731.8412</w:t>
            </w:r>
          </w:p>
        </w:tc>
        <w:tc>
          <w:tcPr>
            <w:tcW w:w="956" w:type="dxa"/>
          </w:tcPr>
          <w:p w14:paraId="121200C4" w14:textId="1EA04066" w:rsidR="00CE3A1E" w:rsidRPr="00DB2CC7" w:rsidRDefault="00461722" w:rsidP="007632A3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DB2CC7">
              <w:rPr>
                <w:rFonts w:asciiTheme="minorHAnsi" w:hAnsiTheme="minorHAnsi" w:cstheme="minorHAnsi"/>
                <w:sz w:val="18"/>
                <w:szCs w:val="18"/>
              </w:rPr>
              <w:t>0.040208</w:t>
            </w:r>
          </w:p>
        </w:tc>
      </w:tr>
    </w:tbl>
    <w:p w14:paraId="2C7F6882" w14:textId="224DCDB3" w:rsidR="00F41F81" w:rsidRDefault="000F4015" w:rsidP="00F41F81">
      <w:pPr>
        <w:keepNext/>
        <w:spacing w:line="480" w:lineRule="auto"/>
        <w:jc w:val="left"/>
      </w:pPr>
      <w:r>
        <w:t xml:space="preserve"> </w:t>
      </w:r>
      <w:r w:rsidR="00801124">
        <w:t xml:space="preserve"> </w:t>
      </w:r>
      <w:r w:rsidR="00CC3631">
        <w:t xml:space="preserve">The first process in Mechanism </w:t>
      </w:r>
      <w:r w:rsidR="009F0B1C">
        <w:t xml:space="preserve">2 </w:t>
      </w:r>
      <w:r w:rsidR="00A61E5C">
        <w:t xml:space="preserve">produces the same values </w:t>
      </w:r>
      <w:r w:rsidR="00A003E1">
        <w:t xml:space="preserve">as </w:t>
      </w:r>
      <w:r w:rsidR="00F91BAD">
        <w:t xml:space="preserve">Mechanism 1 </w:t>
      </w:r>
      <w:r w:rsidR="007D1F42">
        <w:t xml:space="preserve">and so this process </w:t>
      </w:r>
      <w:r w:rsidR="007D1F42">
        <w:lastRenderedPageBreak/>
        <w:t xml:space="preserve">is also </w:t>
      </w:r>
      <w:r w:rsidR="000159FE">
        <w:t>non-</w:t>
      </w:r>
      <w:r w:rsidR="007C1277">
        <w:t>spontaneous but</w:t>
      </w:r>
      <w:r w:rsidR="00A514B6">
        <w:t xml:space="preserve"> </w:t>
      </w:r>
      <w:r w:rsidR="00495DB1">
        <w:t xml:space="preserve">would be spontaneous </w:t>
      </w:r>
      <w:r w:rsidR="002450B4">
        <w:t xml:space="preserve">and entropically driven </w:t>
      </w:r>
      <w:r w:rsidR="00296FDC">
        <w:t>at higher temperatures.</w:t>
      </w:r>
      <w:r w:rsidR="007C1277">
        <w:t xml:space="preserve"> Going from </w:t>
      </w:r>
      <w:r w:rsidR="00296FDC">
        <w:t xml:space="preserve"> </w:t>
      </w:r>
      <w:r w:rsidR="007C1277">
        <w:t xml:space="preserve">2_2 to the final product </w:t>
      </w:r>
      <w:r w:rsidR="00B05F62">
        <w:rPr>
          <w:rFonts w:ascii="Calibri" w:hAnsi="Calibri" w:cs="Calibri"/>
        </w:rPr>
        <w:t>Δ</w:t>
      </w:r>
      <w:r w:rsidR="0074057E">
        <w:t>H</w:t>
      </w:r>
      <w:r w:rsidR="00B05F62">
        <w:rPr>
          <w:rFonts w:cs="Times"/>
        </w:rPr>
        <w:t>°</w:t>
      </w:r>
      <w:r w:rsidR="0074057E">
        <w:rPr>
          <w:rFonts w:cs="Times"/>
        </w:rPr>
        <w:t xml:space="preserve"> is negative and </w:t>
      </w:r>
      <w:r w:rsidR="0074057E">
        <w:rPr>
          <w:rFonts w:ascii="Calibri" w:hAnsi="Calibri" w:cs="Calibri"/>
        </w:rPr>
        <w:t>Δ</w:t>
      </w:r>
      <w:r w:rsidR="002A2ECF">
        <w:t>S</w:t>
      </w:r>
      <w:r w:rsidR="0074057E">
        <w:rPr>
          <w:rFonts w:cs="Times"/>
        </w:rPr>
        <w:t>°</w:t>
      </w:r>
      <w:r w:rsidR="0074057E">
        <w:rPr>
          <w:rFonts w:cs="Times"/>
        </w:rPr>
        <w:t xml:space="preserve"> is positive </w:t>
      </w:r>
      <w:r w:rsidR="002A2ECF">
        <w:rPr>
          <w:rFonts w:cs="Times"/>
        </w:rPr>
        <w:t xml:space="preserve">with </w:t>
      </w:r>
      <w:r w:rsidR="002A2ECF">
        <w:rPr>
          <w:rFonts w:ascii="Calibri" w:hAnsi="Calibri" w:cs="Calibri"/>
        </w:rPr>
        <w:t>Δ</w:t>
      </w:r>
      <w:r w:rsidR="002A2ECF">
        <w:t>G</w:t>
      </w:r>
      <w:r w:rsidR="002A2ECF">
        <w:rPr>
          <w:rFonts w:cs="Times"/>
        </w:rPr>
        <w:t>°</w:t>
      </w:r>
      <w:r w:rsidR="002A2ECF">
        <w:rPr>
          <w:rFonts w:cs="Times"/>
        </w:rPr>
        <w:t xml:space="preserve"> </w:t>
      </w:r>
      <w:r w:rsidR="002C2854">
        <w:rPr>
          <w:rFonts w:cs="Times"/>
        </w:rPr>
        <w:t>being</w:t>
      </w:r>
      <w:r w:rsidR="00CE47E9">
        <w:rPr>
          <w:rFonts w:cs="Times"/>
        </w:rPr>
        <w:t xml:space="preserve"> nega</w:t>
      </w:r>
      <w:r w:rsidR="00C53E45">
        <w:rPr>
          <w:rFonts w:cs="Times"/>
        </w:rPr>
        <w:t xml:space="preserve">tive, meaning this process is </w:t>
      </w:r>
      <w:r w:rsidR="0045628A">
        <w:rPr>
          <w:rFonts w:cs="Times"/>
        </w:rPr>
        <w:t xml:space="preserve">spontaneous at all temperatures. </w:t>
      </w:r>
      <w:r w:rsidR="008C6904">
        <w:rPr>
          <w:rFonts w:cs="Times"/>
        </w:rPr>
        <w:t xml:space="preserve">The overall </w:t>
      </w:r>
      <w:r w:rsidR="009C3CBA">
        <w:rPr>
          <w:rFonts w:cs="Times"/>
        </w:rPr>
        <w:t xml:space="preserve">reaction for both mechanisms have a negative </w:t>
      </w:r>
      <w:r w:rsidR="009C3CBA">
        <w:rPr>
          <w:rFonts w:ascii="Calibri" w:hAnsi="Calibri" w:cs="Calibri"/>
        </w:rPr>
        <w:t>Δ</w:t>
      </w:r>
      <w:r w:rsidR="009C3CBA">
        <w:t>H</w:t>
      </w:r>
      <w:r w:rsidR="009C3CBA">
        <w:rPr>
          <w:rFonts w:cs="Times"/>
        </w:rPr>
        <w:t>°</w:t>
      </w:r>
      <w:r w:rsidR="009C3CBA">
        <w:rPr>
          <w:rFonts w:cs="Times"/>
        </w:rPr>
        <w:t>, a pos</w:t>
      </w:r>
      <w:r w:rsidR="004F653E">
        <w:rPr>
          <w:rFonts w:cs="Times"/>
        </w:rPr>
        <w:t xml:space="preserve">itive </w:t>
      </w:r>
      <w:r w:rsidR="004F653E">
        <w:rPr>
          <w:rFonts w:ascii="Calibri" w:hAnsi="Calibri" w:cs="Calibri"/>
        </w:rPr>
        <w:t>Δ</w:t>
      </w:r>
      <w:r w:rsidR="00D316BC">
        <w:rPr>
          <w:rFonts w:ascii="Calibri" w:hAnsi="Calibri" w:cs="Calibri"/>
        </w:rPr>
        <w:t>S</w:t>
      </w:r>
      <w:r w:rsidR="004F653E">
        <w:rPr>
          <w:rFonts w:cs="Times"/>
        </w:rPr>
        <w:t>°</w:t>
      </w:r>
      <w:r w:rsidR="00D316BC">
        <w:rPr>
          <w:rFonts w:cs="Times"/>
        </w:rPr>
        <w:t xml:space="preserve">, and </w:t>
      </w:r>
      <w:r w:rsidR="006A551F">
        <w:rPr>
          <w:rFonts w:cs="Times"/>
        </w:rPr>
        <w:t xml:space="preserve">a negative </w:t>
      </w:r>
      <w:r w:rsidR="006A551F">
        <w:rPr>
          <w:rFonts w:ascii="Calibri" w:hAnsi="Calibri" w:cs="Calibri"/>
        </w:rPr>
        <w:t>Δ</w:t>
      </w:r>
      <w:r w:rsidR="006A551F">
        <w:t>G</w:t>
      </w:r>
      <w:r w:rsidR="006A551F">
        <w:rPr>
          <w:rFonts w:cs="Times"/>
        </w:rPr>
        <w:t>°</w:t>
      </w:r>
      <w:r w:rsidR="000640C5">
        <w:rPr>
          <w:rFonts w:cs="Times"/>
        </w:rPr>
        <w:t xml:space="preserve">. This means that </w:t>
      </w:r>
      <w:r w:rsidR="00171422">
        <w:rPr>
          <w:rFonts w:cs="Times"/>
        </w:rPr>
        <w:t>the overall reaction is spontan</w:t>
      </w:r>
      <w:r w:rsidR="00CC57C3">
        <w:rPr>
          <w:rFonts w:cs="Times"/>
        </w:rPr>
        <w:t>eous at all temperatures</w:t>
      </w:r>
      <w:r w:rsidR="00B42A68">
        <w:rPr>
          <w:rFonts w:cs="Times"/>
        </w:rPr>
        <w:t xml:space="preserve">. </w:t>
      </w:r>
      <w:r w:rsidR="001E7CE0">
        <w:rPr>
          <w:rFonts w:cs="Times"/>
        </w:rPr>
        <w:t xml:space="preserve">A </w:t>
      </w:r>
      <w:r w:rsidR="00B1620A">
        <w:rPr>
          <w:rFonts w:cs="Times"/>
        </w:rPr>
        <w:t xml:space="preserve">more visual comparison of the </w:t>
      </w:r>
      <w:r w:rsidR="00227188">
        <w:rPr>
          <w:rFonts w:cs="Times"/>
        </w:rPr>
        <w:t>change in</w:t>
      </w:r>
      <w:r w:rsidR="00D662AB">
        <w:rPr>
          <w:rFonts w:cs="Times"/>
        </w:rPr>
        <w:t xml:space="preserve"> Free Ener</w:t>
      </w:r>
      <w:r w:rsidR="008F593F">
        <w:rPr>
          <w:rFonts w:cs="Times"/>
        </w:rPr>
        <w:t xml:space="preserve">gy </w:t>
      </w:r>
      <w:r w:rsidR="00C262D7">
        <w:rPr>
          <w:rFonts w:cs="Times"/>
        </w:rPr>
        <w:t>for</w:t>
      </w:r>
      <w:r w:rsidR="007D54D5">
        <w:rPr>
          <w:rFonts w:cs="Times"/>
        </w:rPr>
        <w:t xml:space="preserve"> each </w:t>
      </w:r>
      <w:r w:rsidR="00740DF9">
        <w:rPr>
          <w:rFonts w:cs="Times"/>
        </w:rPr>
        <w:t xml:space="preserve">mechanism can be seen in Figure </w:t>
      </w:r>
      <w:r w:rsidR="00D530E2">
        <w:rPr>
          <w:rFonts w:cs="Times"/>
        </w:rPr>
        <w:t>1</w:t>
      </w:r>
      <w:r w:rsidR="00740DF9">
        <w:rPr>
          <w:rFonts w:cs="Times"/>
        </w:rPr>
        <w:t>.</w:t>
      </w:r>
      <w:r w:rsidR="00C829A5">
        <w:rPr>
          <w:noProof/>
        </w:rPr>
        <w:drawing>
          <wp:inline distT="0" distB="0" distL="0" distR="0" wp14:anchorId="3151EE4F" wp14:editId="055362C1">
            <wp:extent cx="3132446" cy="189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111" cy="1936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4D9E83" w14:textId="5014DD6D" w:rsidR="00D530E2" w:rsidRPr="00F41F81" w:rsidRDefault="00F41F81" w:rsidP="00F41F81">
      <w:pPr>
        <w:pStyle w:val="Caption"/>
        <w:jc w:val="left"/>
        <w:rPr>
          <w:rFonts w:cs="Times"/>
          <w:b/>
          <w:bCs/>
          <w:color w:val="5F497A" w:themeColor="accent4" w:themeShade="BF"/>
          <w:sz w:val="22"/>
          <w:szCs w:val="22"/>
        </w:rPr>
      </w:pPr>
      <w:r w:rsidRPr="00F41F81">
        <w:rPr>
          <w:b/>
          <w:bCs/>
          <w:color w:val="5F497A" w:themeColor="accent4" w:themeShade="BF"/>
          <w:sz w:val="22"/>
          <w:szCs w:val="22"/>
        </w:rPr>
        <w:t>Figure 1. Change in Free Energy for Mechanisms 1 and 2</w:t>
      </w:r>
    </w:p>
    <w:p w14:paraId="431BD5EF" w14:textId="0EB55118" w:rsidR="00635914" w:rsidRDefault="00B11F7A" w:rsidP="007632A3">
      <w:pPr>
        <w:spacing w:line="480" w:lineRule="auto"/>
        <w:jc w:val="left"/>
      </w:pPr>
      <w:r>
        <w:t xml:space="preserve">Although </w:t>
      </w:r>
      <w:r w:rsidR="008344D4">
        <w:t xml:space="preserve">the first step in both </w:t>
      </w:r>
      <w:r w:rsidR="0079196C">
        <w:t>mechanis</w:t>
      </w:r>
      <w:r w:rsidR="008B39B6">
        <w:t>ms are equal</w:t>
      </w:r>
      <w:r w:rsidR="00281E7A">
        <w:t>, the s</w:t>
      </w:r>
      <w:r w:rsidR="00141B3A">
        <w:t xml:space="preserve">econd step is vastly different </w:t>
      </w:r>
      <w:r w:rsidR="009F240F">
        <w:t xml:space="preserve">between the two. </w:t>
      </w:r>
      <w:r w:rsidR="00FA3292">
        <w:t>Mechani</w:t>
      </w:r>
      <w:r w:rsidR="007A48E6">
        <w:t xml:space="preserve">sm 2 has a much lower </w:t>
      </w:r>
      <w:r w:rsidR="00A57180">
        <w:t>change in free</w:t>
      </w:r>
      <w:r w:rsidR="00C43CF0">
        <w:t xml:space="preserve"> energy </w:t>
      </w:r>
      <w:r w:rsidR="00B37A10">
        <w:t xml:space="preserve">in the second step than Mechanism </w:t>
      </w:r>
      <w:r w:rsidR="00B37A10">
        <w:t xml:space="preserve">1. </w:t>
      </w:r>
      <w:r w:rsidR="0040294B">
        <w:t xml:space="preserve">Figure 1 shows that </w:t>
      </w:r>
      <w:r w:rsidR="008F0505">
        <w:t xml:space="preserve">Mechanism 1 </w:t>
      </w:r>
      <w:r w:rsidR="00035BBD">
        <w:t>undergoes an increase in energy</w:t>
      </w:r>
      <w:r w:rsidR="003C7949">
        <w:t xml:space="preserve"> in step 2</w:t>
      </w:r>
      <w:r w:rsidR="00035BBD">
        <w:t xml:space="preserve"> </w:t>
      </w:r>
      <w:r w:rsidR="007C6C4D">
        <w:t xml:space="preserve">before it is able to reach the </w:t>
      </w:r>
      <w:r w:rsidR="00AF76B7">
        <w:t xml:space="preserve">same low energy as Mechanism 2 in its final step. </w:t>
      </w:r>
    </w:p>
    <w:p w14:paraId="24F2A5CB" w14:textId="6ADF3AF3" w:rsidR="00E519E4" w:rsidRDefault="00E519E4" w:rsidP="007632A3">
      <w:pPr>
        <w:spacing w:line="480" w:lineRule="auto"/>
        <w:jc w:val="left"/>
        <w:rPr>
          <w:b/>
          <w:bCs/>
        </w:rPr>
      </w:pPr>
      <w:r w:rsidRPr="00A52AF8">
        <w:rPr>
          <w:b/>
          <w:bCs/>
        </w:rPr>
        <w:t>CONCLUSION</w:t>
      </w:r>
    </w:p>
    <w:p w14:paraId="10E568ED" w14:textId="7FC40F38" w:rsidR="005562C2" w:rsidRPr="005562C2" w:rsidRDefault="00287460" w:rsidP="007632A3">
      <w:pPr>
        <w:spacing w:line="480" w:lineRule="auto"/>
        <w:jc w:val="left"/>
      </w:pPr>
      <w:r>
        <w:rPr>
          <w:rFonts w:cs="Times"/>
        </w:rPr>
        <w:t>Seeing as the</w:t>
      </w:r>
      <w:r w:rsidR="00EC14F6">
        <w:rPr>
          <w:rFonts w:cs="Times"/>
        </w:rPr>
        <w:t xml:space="preserve"> calculations were measured at 298K and</w:t>
      </w:r>
      <w:r w:rsidR="00426932">
        <w:rPr>
          <w:rFonts w:cs="Times"/>
        </w:rPr>
        <w:t xml:space="preserve"> the</w:t>
      </w:r>
      <w:r>
        <w:rPr>
          <w:rFonts w:cs="Times"/>
        </w:rPr>
        <w:t xml:space="preserve"> majority of the steps for each mechanism </w:t>
      </w:r>
      <w:r w:rsidR="00803182">
        <w:rPr>
          <w:rFonts w:cs="Times"/>
        </w:rPr>
        <w:t xml:space="preserve">would be </w:t>
      </w:r>
      <w:r>
        <w:rPr>
          <w:rFonts w:cs="Times"/>
        </w:rPr>
        <w:t>entropically driven</w:t>
      </w:r>
      <w:r w:rsidR="00803182">
        <w:rPr>
          <w:rFonts w:cs="Times"/>
        </w:rPr>
        <w:t xml:space="preserve"> at higher </w:t>
      </w:r>
      <w:r w:rsidR="00813BEC">
        <w:rPr>
          <w:rFonts w:cs="Times"/>
        </w:rPr>
        <w:t>temperatures</w:t>
      </w:r>
      <w:r>
        <w:rPr>
          <w:rFonts w:cs="Times"/>
        </w:rPr>
        <w:t>, this would mean that the overall reaction for both mechanisms are also entropically driven</w:t>
      </w:r>
      <w:r w:rsidR="005618A1">
        <w:rPr>
          <w:rFonts w:cs="Times"/>
        </w:rPr>
        <w:t xml:space="preserve"> at the higher temperatures required for this reaction to occur</w:t>
      </w:r>
      <w:r w:rsidR="003B44E2">
        <w:rPr>
          <w:rFonts w:cs="Times"/>
        </w:rPr>
        <w:t>.</w:t>
      </w:r>
      <w:r w:rsidR="00D678B2">
        <w:rPr>
          <w:rFonts w:cs="Times"/>
        </w:rPr>
        <w:t xml:space="preserve"> </w:t>
      </w:r>
      <w:r w:rsidR="00D96727">
        <w:t xml:space="preserve">Additionally, </w:t>
      </w:r>
      <w:r w:rsidR="00757B41">
        <w:t>t</w:t>
      </w:r>
      <w:r w:rsidR="00757B41">
        <w:t>he lower the energy required for a reaction to occur, the more likely it will occur in nature.</w:t>
      </w:r>
      <w:r w:rsidR="00757B41">
        <w:t xml:space="preserve"> B</w:t>
      </w:r>
      <w:r w:rsidR="00E17023">
        <w:t xml:space="preserve">oth mechanisms may start off with the same energy, but Mechanism 1 has to overcome a state of higher energy to even get to the low energy state of the final product, whereas Mechanism 2 easily goes straight into a lower energy state and reaches the final product using less energy. </w:t>
      </w:r>
      <w:r w:rsidR="004D6B44">
        <w:t xml:space="preserve">Based on thermodynamics, the data here shows that Mechanism 2 is more thermodynamically favorable than Mechanism 1. </w:t>
      </w:r>
    </w:p>
    <w:p w14:paraId="396D02A2" w14:textId="5D168444" w:rsidR="00DD6DBB" w:rsidRDefault="00056AC7" w:rsidP="007632A3">
      <w:pPr>
        <w:pStyle w:val="TESupportingInformation"/>
        <w:spacing w:after="240"/>
        <w:ind w:firstLine="0"/>
        <w:jc w:val="left"/>
        <w:rPr>
          <w:b/>
          <w:bCs/>
        </w:rPr>
      </w:pPr>
      <w:r>
        <w:rPr>
          <w:b/>
          <w:bCs/>
        </w:rPr>
        <w:lastRenderedPageBreak/>
        <w:t>SUPPORTING INFORMATION</w:t>
      </w:r>
    </w:p>
    <w:p w14:paraId="651EBD6D" w14:textId="77777777" w:rsidR="00BB0330" w:rsidRDefault="00BD18C0" w:rsidP="00BB0330">
      <w:pPr>
        <w:keepNext/>
      </w:pPr>
      <w:r>
        <w:rPr>
          <w:noProof/>
        </w:rPr>
        <w:drawing>
          <wp:inline distT="0" distB="0" distL="0" distR="0" wp14:anchorId="002067CA" wp14:editId="45A369D9">
            <wp:extent cx="3148013" cy="17948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88" cy="1814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D1C97" w14:textId="479A1075" w:rsidR="000C5418" w:rsidRPr="002D73F2" w:rsidRDefault="00BB0330" w:rsidP="00BB0330">
      <w:pPr>
        <w:pStyle w:val="Caption"/>
        <w:rPr>
          <w:b/>
          <w:bCs/>
          <w:color w:val="5F497A" w:themeColor="accent4" w:themeShade="BF"/>
          <w:sz w:val="22"/>
          <w:szCs w:val="22"/>
        </w:rPr>
      </w:pPr>
      <w:r w:rsidRPr="002D73F2">
        <w:rPr>
          <w:b/>
          <w:bCs/>
          <w:color w:val="5F497A" w:themeColor="accent4" w:themeShade="BF"/>
          <w:sz w:val="22"/>
          <w:szCs w:val="22"/>
        </w:rPr>
        <w:t xml:space="preserve">Figure </w:t>
      </w:r>
      <w:r w:rsidR="002D73F2" w:rsidRPr="002D73F2">
        <w:rPr>
          <w:b/>
          <w:bCs/>
          <w:color w:val="5F497A" w:themeColor="accent4" w:themeShade="BF"/>
          <w:sz w:val="22"/>
          <w:szCs w:val="22"/>
        </w:rPr>
        <w:t>2</w:t>
      </w:r>
      <w:r w:rsidRPr="002D73F2">
        <w:rPr>
          <w:b/>
          <w:bCs/>
          <w:color w:val="5F497A" w:themeColor="accent4" w:themeShade="BF"/>
          <w:sz w:val="22"/>
          <w:szCs w:val="22"/>
        </w:rPr>
        <w:t>. Change in Internal Energy for Mechanisms 1 and 2</w:t>
      </w:r>
    </w:p>
    <w:p w14:paraId="0AF45813" w14:textId="614F8981" w:rsidR="00D96379" w:rsidRDefault="00D96379" w:rsidP="00BB0330">
      <w:pPr>
        <w:keepNext/>
      </w:pPr>
    </w:p>
    <w:p w14:paraId="435AF9D9" w14:textId="77777777" w:rsidR="00FB6B01" w:rsidRDefault="00FB6B01" w:rsidP="00BB0330">
      <w:pPr>
        <w:keepNext/>
      </w:pPr>
    </w:p>
    <w:p w14:paraId="36C0045B" w14:textId="468C189D" w:rsidR="00BB0330" w:rsidRDefault="003D5D5A" w:rsidP="00BB0330">
      <w:pPr>
        <w:keepNext/>
      </w:pPr>
      <w:r>
        <w:rPr>
          <w:noProof/>
        </w:rPr>
        <w:drawing>
          <wp:inline distT="0" distB="0" distL="0" distR="0" wp14:anchorId="561497BB" wp14:editId="323F1B7D">
            <wp:extent cx="3148367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515" cy="1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3776C" w14:textId="5B7682A9" w:rsidR="00EF6947" w:rsidRPr="002D73F2" w:rsidRDefault="00BB0330" w:rsidP="00BB0330">
      <w:pPr>
        <w:pStyle w:val="Caption"/>
        <w:rPr>
          <w:b/>
          <w:bCs/>
          <w:color w:val="5F497A" w:themeColor="accent4" w:themeShade="BF"/>
          <w:sz w:val="22"/>
          <w:szCs w:val="22"/>
        </w:rPr>
      </w:pPr>
      <w:r w:rsidRPr="002D73F2">
        <w:rPr>
          <w:b/>
          <w:bCs/>
          <w:color w:val="5F497A" w:themeColor="accent4" w:themeShade="BF"/>
          <w:sz w:val="22"/>
          <w:szCs w:val="22"/>
        </w:rPr>
        <w:t xml:space="preserve">Figure </w:t>
      </w:r>
      <w:r w:rsidR="002D73F2" w:rsidRPr="002D73F2">
        <w:rPr>
          <w:b/>
          <w:bCs/>
          <w:color w:val="5F497A" w:themeColor="accent4" w:themeShade="BF"/>
          <w:sz w:val="22"/>
          <w:szCs w:val="22"/>
        </w:rPr>
        <w:t>3</w:t>
      </w:r>
      <w:r w:rsidRPr="002D73F2">
        <w:rPr>
          <w:b/>
          <w:bCs/>
          <w:color w:val="5F497A" w:themeColor="accent4" w:themeShade="BF"/>
          <w:sz w:val="22"/>
          <w:szCs w:val="22"/>
        </w:rPr>
        <w:t>. Change in Enthalpy for Mechanisms 1 and 2</w:t>
      </w:r>
    </w:p>
    <w:p w14:paraId="5E026E1B" w14:textId="77777777" w:rsidR="004C3C35" w:rsidRDefault="004C3C35" w:rsidP="002D73F2">
      <w:pPr>
        <w:keepNext/>
      </w:pPr>
    </w:p>
    <w:p w14:paraId="20780DB1" w14:textId="77777777" w:rsidR="0061254F" w:rsidRDefault="0061254F" w:rsidP="002D73F2">
      <w:pPr>
        <w:keepNext/>
      </w:pPr>
    </w:p>
    <w:p w14:paraId="065A5891" w14:textId="77777777" w:rsidR="00363F9F" w:rsidRDefault="00363F9F" w:rsidP="002D73F2">
      <w:pPr>
        <w:keepNext/>
      </w:pPr>
    </w:p>
    <w:p w14:paraId="2E6D664F" w14:textId="77777777" w:rsidR="00363F9F" w:rsidRDefault="00363F9F" w:rsidP="002D73F2">
      <w:pPr>
        <w:keepNext/>
      </w:pPr>
    </w:p>
    <w:p w14:paraId="10F9449F" w14:textId="77777777" w:rsidR="0047477B" w:rsidRDefault="0047477B" w:rsidP="002D73F2">
      <w:pPr>
        <w:keepNext/>
      </w:pPr>
    </w:p>
    <w:p w14:paraId="5789E061" w14:textId="77777777" w:rsidR="001C552B" w:rsidRDefault="001C552B" w:rsidP="002D73F2">
      <w:pPr>
        <w:keepNext/>
      </w:pPr>
    </w:p>
    <w:p w14:paraId="0E32A158" w14:textId="0D24CAEF" w:rsidR="002D73F2" w:rsidRDefault="00BB0330" w:rsidP="002D73F2">
      <w:pPr>
        <w:keepNext/>
      </w:pPr>
      <w:r>
        <w:rPr>
          <w:noProof/>
        </w:rPr>
        <w:drawing>
          <wp:inline distT="0" distB="0" distL="0" distR="0" wp14:anchorId="554CD2D7" wp14:editId="3FE2107F">
            <wp:extent cx="3170117" cy="1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926" cy="1900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496D7" w14:textId="7BFBCDD6" w:rsidR="00BD18C0" w:rsidRPr="00C01A42" w:rsidRDefault="002D73F2" w:rsidP="00C01A42">
      <w:pPr>
        <w:pStyle w:val="Caption"/>
        <w:rPr>
          <w:b/>
          <w:bCs/>
          <w:color w:val="5F497A" w:themeColor="accent4" w:themeShade="BF"/>
          <w:sz w:val="22"/>
          <w:szCs w:val="22"/>
        </w:rPr>
      </w:pPr>
      <w:r w:rsidRPr="002D73F2">
        <w:rPr>
          <w:b/>
          <w:bCs/>
          <w:color w:val="5F497A" w:themeColor="accent4" w:themeShade="BF"/>
          <w:sz w:val="22"/>
          <w:szCs w:val="22"/>
        </w:rPr>
        <w:t>Figure 4. Change in Entropy for Mechanisms 1 and 2</w:t>
      </w:r>
    </w:p>
    <w:p w14:paraId="1C7C6AF2" w14:textId="3768E4C5" w:rsidR="002D73F2" w:rsidRDefault="002D73F2" w:rsidP="008938A1">
      <w:pPr>
        <w:pStyle w:val="TESupportingInformation"/>
        <w:spacing w:after="240"/>
        <w:ind w:firstLine="0"/>
        <w:jc w:val="left"/>
        <w:rPr>
          <w:b/>
          <w:bCs/>
        </w:rPr>
      </w:pPr>
    </w:p>
    <w:p w14:paraId="4E1D3A13" w14:textId="77777777" w:rsidR="002D73F2" w:rsidRPr="002D73F2" w:rsidRDefault="002D73F2" w:rsidP="002D73F2"/>
    <w:p w14:paraId="6D35307F" w14:textId="77777777" w:rsidR="00BC4B52" w:rsidRDefault="00BC4B52" w:rsidP="008938A1">
      <w:pPr>
        <w:pStyle w:val="TESupportingInformation"/>
        <w:spacing w:after="240"/>
        <w:ind w:firstLine="0"/>
        <w:jc w:val="left"/>
        <w:rPr>
          <w:b/>
          <w:bCs/>
        </w:rPr>
        <w:sectPr w:rsidR="00BC4B52" w:rsidSect="008233E0">
          <w:type w:val="continuous"/>
          <w:pgSz w:w="12240" w:h="15840"/>
          <w:pgMar w:top="1440" w:right="1080" w:bottom="1440" w:left="1080" w:header="0" w:footer="0" w:gutter="0"/>
          <w:cols w:num="2" w:space="475"/>
          <w:docGrid w:linePitch="326"/>
        </w:sectPr>
      </w:pPr>
    </w:p>
    <w:p w14:paraId="19D2217C" w14:textId="77777777" w:rsidR="00BC4B52" w:rsidRDefault="00BC4B52" w:rsidP="008938A1">
      <w:pPr>
        <w:pStyle w:val="TESupportingInformation"/>
        <w:spacing w:after="240"/>
        <w:ind w:firstLine="0"/>
        <w:jc w:val="left"/>
        <w:rPr>
          <w:b/>
          <w:bCs/>
        </w:rPr>
      </w:pPr>
    </w:p>
    <w:p w14:paraId="59F07E7A" w14:textId="60723E6F" w:rsidR="00B976B8" w:rsidRPr="008938A1" w:rsidRDefault="00B976B8" w:rsidP="008938A1">
      <w:pPr>
        <w:pStyle w:val="TESupportingInformation"/>
        <w:spacing w:after="240"/>
        <w:ind w:firstLine="0"/>
        <w:jc w:val="left"/>
        <w:rPr>
          <w:b/>
          <w:bCs/>
        </w:rPr>
      </w:pPr>
      <w:r w:rsidRPr="008938A1">
        <w:rPr>
          <w:b/>
          <w:bCs/>
        </w:rPr>
        <w:t>AUTHOR CONTRIBUTIONS</w:t>
      </w:r>
    </w:p>
    <w:p w14:paraId="63C03572" w14:textId="42A47335" w:rsidR="00B605F1" w:rsidRDefault="00B976B8" w:rsidP="00B976B8">
      <w:pPr>
        <w:pStyle w:val="TESupportingInformation"/>
        <w:spacing w:after="240"/>
        <w:ind w:firstLine="0"/>
        <w:jc w:val="left"/>
      </w:pPr>
      <w:r>
        <w:t>The manuscript was written through contributions of all authors. All authors have given approval to the final version of the manuscript. ‡These authors contributed equally</w:t>
      </w:r>
      <w:r w:rsidR="009E4CA2">
        <w:t xml:space="preserve"> to the first author</w:t>
      </w:r>
      <w:r>
        <w:t>.</w:t>
      </w:r>
    </w:p>
    <w:p w14:paraId="57B6885A" w14:textId="77777777" w:rsidR="00B605F1" w:rsidRPr="00B605F1" w:rsidRDefault="00B605F1" w:rsidP="00B605F1">
      <w:pPr>
        <w:rPr>
          <w:b/>
          <w:bCs/>
        </w:rPr>
      </w:pPr>
      <w:r w:rsidRPr="00B605F1">
        <w:rPr>
          <w:b/>
          <w:bCs/>
        </w:rPr>
        <w:t>FUNDING SOURCES</w:t>
      </w:r>
    </w:p>
    <w:p w14:paraId="681989F7" w14:textId="77777777" w:rsidR="00760C92" w:rsidRDefault="00B605F1" w:rsidP="00B3370A">
      <w:r>
        <w:t>The Clare Boothe Luce Graduate Fellowshi</w:t>
      </w:r>
      <w:r w:rsidR="00B3370A">
        <w:t>p</w:t>
      </w:r>
    </w:p>
    <w:p w14:paraId="06CF796F" w14:textId="77777777" w:rsidR="00BC4B52" w:rsidRDefault="00BC4B52" w:rsidP="00B3370A">
      <w:pPr>
        <w:sectPr w:rsidR="00BC4B52" w:rsidSect="00BC4B52">
          <w:type w:val="continuous"/>
          <w:pgSz w:w="12240" w:h="15840"/>
          <w:pgMar w:top="1440" w:right="1080" w:bottom="1440" w:left="1080" w:header="0" w:footer="0" w:gutter="0"/>
          <w:cols w:space="475"/>
          <w:docGrid w:linePitch="326"/>
        </w:sectPr>
      </w:pPr>
    </w:p>
    <w:p w14:paraId="7E2BCF4F" w14:textId="4832B8ED" w:rsidR="00363F9F" w:rsidRPr="00760C92" w:rsidRDefault="00363F9F" w:rsidP="00B3370A">
      <w:pPr>
        <w:sectPr w:rsidR="00363F9F" w:rsidRPr="00760C92" w:rsidSect="008233E0">
          <w:type w:val="continuous"/>
          <w:pgSz w:w="12240" w:h="15840"/>
          <w:pgMar w:top="1440" w:right="1080" w:bottom="1440" w:left="1080" w:header="0" w:footer="0" w:gutter="0"/>
          <w:cols w:num="2" w:space="475"/>
          <w:docGrid w:linePitch="326"/>
        </w:sectPr>
      </w:pPr>
    </w:p>
    <w:p w14:paraId="4FF8DCBC" w14:textId="75BE0D1A" w:rsidR="00D96379" w:rsidRDefault="00D96379" w:rsidP="00DA4489">
      <w:pPr>
        <w:pStyle w:val="FAAuthorInfoSubtitle"/>
        <w:sectPr w:rsidR="00D96379" w:rsidSect="00DA4489">
          <w:type w:val="continuous"/>
          <w:pgSz w:w="12240" w:h="15840"/>
          <w:pgMar w:top="1440" w:right="1440" w:bottom="1440" w:left="1440" w:header="0" w:footer="0" w:gutter="0"/>
          <w:cols w:num="2" w:space="475"/>
          <w:docGrid w:linePitch="326"/>
        </w:sectPr>
      </w:pPr>
    </w:p>
    <w:p w14:paraId="5504F13A" w14:textId="0F25E47B" w:rsidR="00DD6DBB" w:rsidRPr="00992C31" w:rsidRDefault="00DD6DBB" w:rsidP="00852400">
      <w:pPr>
        <w:pStyle w:val="TFReferencesSection"/>
        <w:spacing w:after="0"/>
        <w:ind w:firstLine="0"/>
        <w:jc w:val="left"/>
        <w:rPr>
          <w:b/>
          <w:bCs/>
        </w:rPr>
      </w:pPr>
      <w:r w:rsidRPr="00992C31">
        <w:rPr>
          <w:b/>
          <w:bCs/>
        </w:rPr>
        <w:t>REFERENCES</w:t>
      </w:r>
    </w:p>
    <w:p w14:paraId="56BB00DE" w14:textId="4FA33CBA" w:rsidR="002E0978" w:rsidRPr="002E0978" w:rsidRDefault="006B306F" w:rsidP="00852400">
      <w:pPr>
        <w:pStyle w:val="Bibliography"/>
        <w:numPr>
          <w:ilvl w:val="0"/>
          <w:numId w:val="11"/>
        </w:numPr>
        <w:spacing w:line="480" w:lineRule="auto"/>
        <w:jc w:val="left"/>
        <w:rPr>
          <w:rFonts w:ascii="Minion W08" w:hAnsi="Minion W08"/>
        </w:rPr>
      </w:pPr>
      <w:r>
        <w:rPr>
          <w:rFonts w:ascii="Minion W08" w:hAnsi="Minion W08"/>
          <w:vertAlign w:val="superscript"/>
        </w:rPr>
        <w:fldChar w:fldCharType="begin"/>
      </w:r>
      <w:r w:rsidR="001730A2">
        <w:rPr>
          <w:rFonts w:ascii="Minion W08" w:hAnsi="Minion W08"/>
          <w:vertAlign w:val="superscript"/>
        </w:rPr>
        <w:instrText xml:space="preserve"> ADDIN ZOTERO_BIBL {"uncited":[],"omitted":[],"custom":[]} CSL_BIBLIOGRAPHY </w:instrText>
      </w:r>
      <w:r>
        <w:rPr>
          <w:rFonts w:ascii="Minion W08" w:hAnsi="Minion W08"/>
          <w:vertAlign w:val="superscript"/>
        </w:rPr>
        <w:fldChar w:fldCharType="separate"/>
      </w:r>
      <w:r w:rsidR="002E0978" w:rsidRPr="002E0978">
        <w:rPr>
          <w:rFonts w:ascii="Minion W08" w:hAnsi="Minion W08"/>
        </w:rPr>
        <w:t>Citation | Gaussian.com https://gaussian.com/citation/ (accessed Nov 17, 2019).</w:t>
      </w:r>
    </w:p>
    <w:p w14:paraId="5F1D296D" w14:textId="4D6DAD92" w:rsidR="002E0978" w:rsidRPr="002E0978" w:rsidRDefault="002E0978" w:rsidP="00852400">
      <w:pPr>
        <w:pStyle w:val="Bibliography"/>
        <w:numPr>
          <w:ilvl w:val="0"/>
          <w:numId w:val="11"/>
        </w:numPr>
        <w:spacing w:line="480" w:lineRule="auto"/>
        <w:jc w:val="left"/>
        <w:rPr>
          <w:rFonts w:ascii="Minion W08" w:hAnsi="Minion W08"/>
        </w:rPr>
      </w:pPr>
      <w:r w:rsidRPr="002E0978">
        <w:rPr>
          <w:rFonts w:ascii="Minion W08" w:hAnsi="Minion W08"/>
        </w:rPr>
        <w:t>Journal of Chemical Theory and Computation : https://pubs.acs.org/page/jctcce/submission/authors.html#TEMPLATES (accessed Nov 1, 2019).</w:t>
      </w:r>
    </w:p>
    <w:p w14:paraId="7CCB2032" w14:textId="2BBA83EE" w:rsidR="002E0978" w:rsidRPr="002E0978" w:rsidRDefault="002E0978" w:rsidP="00852400">
      <w:pPr>
        <w:pStyle w:val="Bibliography"/>
        <w:numPr>
          <w:ilvl w:val="0"/>
          <w:numId w:val="11"/>
        </w:numPr>
        <w:spacing w:line="480" w:lineRule="auto"/>
        <w:jc w:val="left"/>
        <w:rPr>
          <w:rFonts w:ascii="Minion W08" w:hAnsi="Minion W08"/>
        </w:rPr>
      </w:pPr>
      <w:r w:rsidRPr="002E0978">
        <w:rPr>
          <w:rFonts w:ascii="Minion W08" w:hAnsi="Minion W08"/>
        </w:rPr>
        <w:t>6.2: A Quick Review of Thermodynamics and Kinetics https://chem.libretexts.org/Bookshelves/Organic_Chemistry/Book%3A_Organic_Chemistry_with_a_Biological_Emphasis_v2.0_(Soderberg)/6%3A_Overview_of_Organic_Reactivity/6.2%3A_A_Quick_Review_of_Thermodynamics_and_Kinetics (accessed Nov 4, 2019).</w:t>
      </w:r>
    </w:p>
    <w:p w14:paraId="179F2A0F" w14:textId="416BE49B" w:rsidR="002E0978" w:rsidRPr="002E0978" w:rsidRDefault="002E0978" w:rsidP="00852400">
      <w:pPr>
        <w:pStyle w:val="Bibliography"/>
        <w:numPr>
          <w:ilvl w:val="0"/>
          <w:numId w:val="11"/>
        </w:numPr>
        <w:spacing w:line="480" w:lineRule="auto"/>
        <w:jc w:val="left"/>
        <w:rPr>
          <w:rFonts w:ascii="Minion W08" w:hAnsi="Minion W08"/>
        </w:rPr>
      </w:pPr>
      <w:r w:rsidRPr="002E0978">
        <w:rPr>
          <w:rFonts w:ascii="Minion W08" w:hAnsi="Minion W08"/>
        </w:rPr>
        <w:t>11.5: Spontaneous Reactions and Free Energy https://chem.libretexts.org/Courses/University_of_Kentucky/UK%3A_CHE_103_-_Chemistry_for_</w:t>
      </w:r>
      <w:r w:rsidRPr="00363F9F">
        <w:rPr>
          <w:rFonts w:ascii="Times New Roman" w:hAnsi="Times New Roman"/>
        </w:rPr>
        <w:t>Allied</w:t>
      </w:r>
      <w:r w:rsidRPr="002E0978">
        <w:rPr>
          <w:rFonts w:ascii="Minion W08" w:hAnsi="Minion W08"/>
        </w:rPr>
        <w:t>_Health_(Soult)/Chapters/Chapter_11%3A_Properties_of_Reactions/11.5%3A_Spontaneous_Reactions_and_Free_Energy (accessed Nov 15, 2019).</w:t>
      </w:r>
    </w:p>
    <w:p w14:paraId="501D39B8" w14:textId="445D7AC5" w:rsidR="002E0978" w:rsidRPr="002E0978" w:rsidRDefault="002E0978" w:rsidP="00852400">
      <w:pPr>
        <w:pStyle w:val="Bibliography"/>
        <w:numPr>
          <w:ilvl w:val="0"/>
          <w:numId w:val="11"/>
        </w:numPr>
        <w:spacing w:line="480" w:lineRule="auto"/>
        <w:jc w:val="left"/>
        <w:rPr>
          <w:rFonts w:ascii="Minion W08" w:hAnsi="Minion W08"/>
        </w:rPr>
      </w:pPr>
      <w:r w:rsidRPr="002E0978">
        <w:rPr>
          <w:rFonts w:ascii="Minion W08" w:hAnsi="Minion W08"/>
        </w:rPr>
        <w:t>19.6: Free Energy and Temperature https://chem.libretexts.org/Bookshelves/General_Chemistry/Map%3A_Chemistry__The_Central_Science_(Brown_et_al.)/19%3A_Chemical_Thermodynamics/19.6%3A_Free_Energy_and_Temperature (accessed Nov 15, 2019).</w:t>
      </w:r>
    </w:p>
    <w:p w14:paraId="040FCE5B" w14:textId="291D2EC2" w:rsidR="008C0ED4" w:rsidRDefault="006B306F" w:rsidP="00852400">
      <w:pPr>
        <w:pStyle w:val="TFReferencesSection"/>
        <w:spacing w:after="240"/>
        <w:ind w:firstLine="0"/>
        <w:jc w:val="left"/>
        <w:rPr>
          <w:rFonts w:ascii="Minion W08" w:hAnsi="Minion W08"/>
          <w:color w:val="000000"/>
          <w:shd w:val="clear" w:color="auto" w:fill="FFFFFF"/>
        </w:rPr>
      </w:pPr>
      <w:r>
        <w:rPr>
          <w:rFonts w:ascii="Minion W08" w:hAnsi="Minion W08"/>
          <w:szCs w:val="24"/>
          <w:vertAlign w:val="superscript"/>
        </w:rPr>
        <w:fldChar w:fldCharType="end"/>
      </w:r>
      <w:bookmarkStart w:id="0" w:name="_GoBack"/>
      <w:bookmarkEnd w:id="0"/>
    </w:p>
    <w:p w14:paraId="5BF62E75" w14:textId="77777777" w:rsidR="0029257B" w:rsidRDefault="0029257B" w:rsidP="00760C92">
      <w:pPr>
        <w:pStyle w:val="TFReferencesSection"/>
        <w:spacing w:after="240"/>
        <w:ind w:firstLine="0"/>
        <w:jc w:val="left"/>
      </w:pPr>
    </w:p>
    <w:sectPr w:rsidR="0029257B" w:rsidSect="000B5610">
      <w:type w:val="continuous"/>
      <w:pgSz w:w="12240" w:h="15840"/>
      <w:pgMar w:top="1440" w:right="1440" w:bottom="1440" w:left="1440" w:header="0" w:footer="0" w:gutter="0"/>
      <w:cols w:space="47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83805" w14:textId="77777777" w:rsidR="0043228B" w:rsidRDefault="0043228B">
      <w:r>
        <w:separator/>
      </w:r>
    </w:p>
  </w:endnote>
  <w:endnote w:type="continuationSeparator" w:id="0">
    <w:p w14:paraId="170A178C" w14:textId="77777777" w:rsidR="0043228B" w:rsidRDefault="0043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 W08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0F26" w14:textId="77777777" w:rsidR="003B4AF3" w:rsidRDefault="003B4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DEE132D" w14:textId="77777777" w:rsidR="003B4AF3" w:rsidRDefault="003B4A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8356" w14:textId="77777777" w:rsidR="003B4AF3" w:rsidRDefault="003B4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42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B75E46" w14:textId="77777777" w:rsidR="003B4AF3" w:rsidRDefault="003B4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8ECED" w14:textId="77777777" w:rsidR="0043228B" w:rsidRDefault="0043228B">
      <w:r>
        <w:separator/>
      </w:r>
    </w:p>
  </w:footnote>
  <w:footnote w:type="continuationSeparator" w:id="0">
    <w:p w14:paraId="717C6292" w14:textId="77777777" w:rsidR="0043228B" w:rsidRDefault="00432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001D"/>
    <w:multiLevelType w:val="hybridMultilevel"/>
    <w:tmpl w:val="FD148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7C33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88"/>
    <w:multiLevelType w:val="hybridMultilevel"/>
    <w:tmpl w:val="56D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02A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6632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9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10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C43"/>
    <w:rsid w:val="000002F2"/>
    <w:rsid w:val="00001414"/>
    <w:rsid w:val="00003B4C"/>
    <w:rsid w:val="0001269D"/>
    <w:rsid w:val="000128FC"/>
    <w:rsid w:val="000159FE"/>
    <w:rsid w:val="00016C15"/>
    <w:rsid w:val="00033ACB"/>
    <w:rsid w:val="00035BBD"/>
    <w:rsid w:val="000370E6"/>
    <w:rsid w:val="00037C8C"/>
    <w:rsid w:val="00040BE9"/>
    <w:rsid w:val="00044009"/>
    <w:rsid w:val="00045611"/>
    <w:rsid w:val="000456F4"/>
    <w:rsid w:val="00047038"/>
    <w:rsid w:val="00050C0D"/>
    <w:rsid w:val="00055459"/>
    <w:rsid w:val="0005660F"/>
    <w:rsid w:val="00056AC7"/>
    <w:rsid w:val="000640C5"/>
    <w:rsid w:val="000642EF"/>
    <w:rsid w:val="00070227"/>
    <w:rsid w:val="000702AD"/>
    <w:rsid w:val="00075063"/>
    <w:rsid w:val="00080933"/>
    <w:rsid w:val="00091E41"/>
    <w:rsid w:val="00092A43"/>
    <w:rsid w:val="000951FF"/>
    <w:rsid w:val="000A328C"/>
    <w:rsid w:val="000B0A39"/>
    <w:rsid w:val="000B25B6"/>
    <w:rsid w:val="000B274B"/>
    <w:rsid w:val="000B2EEB"/>
    <w:rsid w:val="000B5610"/>
    <w:rsid w:val="000C05CC"/>
    <w:rsid w:val="000C082D"/>
    <w:rsid w:val="000C1140"/>
    <w:rsid w:val="000C5418"/>
    <w:rsid w:val="000C753C"/>
    <w:rsid w:val="000D4D6D"/>
    <w:rsid w:val="000D592B"/>
    <w:rsid w:val="000D72FB"/>
    <w:rsid w:val="000E2DB8"/>
    <w:rsid w:val="000E362E"/>
    <w:rsid w:val="000F4015"/>
    <w:rsid w:val="000F711D"/>
    <w:rsid w:val="000F7325"/>
    <w:rsid w:val="001014BF"/>
    <w:rsid w:val="00102843"/>
    <w:rsid w:val="00103764"/>
    <w:rsid w:val="00110BF4"/>
    <w:rsid w:val="00111667"/>
    <w:rsid w:val="001135B2"/>
    <w:rsid w:val="001175DD"/>
    <w:rsid w:val="001222A8"/>
    <w:rsid w:val="00122FAA"/>
    <w:rsid w:val="0012424B"/>
    <w:rsid w:val="00124848"/>
    <w:rsid w:val="00126CAB"/>
    <w:rsid w:val="00127D78"/>
    <w:rsid w:val="00131C8C"/>
    <w:rsid w:val="001352A9"/>
    <w:rsid w:val="00137E84"/>
    <w:rsid w:val="00140207"/>
    <w:rsid w:val="00141B3A"/>
    <w:rsid w:val="00143B4F"/>
    <w:rsid w:val="00146853"/>
    <w:rsid w:val="001601DA"/>
    <w:rsid w:val="00161FAD"/>
    <w:rsid w:val="0017070C"/>
    <w:rsid w:val="00170D5F"/>
    <w:rsid w:val="00171422"/>
    <w:rsid w:val="001730A2"/>
    <w:rsid w:val="00175825"/>
    <w:rsid w:val="0017634C"/>
    <w:rsid w:val="00180359"/>
    <w:rsid w:val="001871D1"/>
    <w:rsid w:val="00187A9B"/>
    <w:rsid w:val="0019054F"/>
    <w:rsid w:val="001914AB"/>
    <w:rsid w:val="00191708"/>
    <w:rsid w:val="001950CC"/>
    <w:rsid w:val="00195ACA"/>
    <w:rsid w:val="001A3788"/>
    <w:rsid w:val="001A4114"/>
    <w:rsid w:val="001A47C2"/>
    <w:rsid w:val="001A7A90"/>
    <w:rsid w:val="001B171A"/>
    <w:rsid w:val="001B251B"/>
    <w:rsid w:val="001B5870"/>
    <w:rsid w:val="001B7D95"/>
    <w:rsid w:val="001C02C9"/>
    <w:rsid w:val="001C552B"/>
    <w:rsid w:val="001D28FD"/>
    <w:rsid w:val="001D3510"/>
    <w:rsid w:val="001D46EE"/>
    <w:rsid w:val="001E0AD1"/>
    <w:rsid w:val="001E6E7E"/>
    <w:rsid w:val="001E7CE0"/>
    <w:rsid w:val="001F05AD"/>
    <w:rsid w:val="001F2BA9"/>
    <w:rsid w:val="001F5E51"/>
    <w:rsid w:val="001F6E0F"/>
    <w:rsid w:val="002037D1"/>
    <w:rsid w:val="00203846"/>
    <w:rsid w:val="002043A6"/>
    <w:rsid w:val="002055DF"/>
    <w:rsid w:val="00212B1D"/>
    <w:rsid w:val="00222AAE"/>
    <w:rsid w:val="00227188"/>
    <w:rsid w:val="002278D2"/>
    <w:rsid w:val="00227E75"/>
    <w:rsid w:val="00232219"/>
    <w:rsid w:val="002450B4"/>
    <w:rsid w:val="00250362"/>
    <w:rsid w:val="00252F2F"/>
    <w:rsid w:val="00253EEC"/>
    <w:rsid w:val="00253F0E"/>
    <w:rsid w:val="0027005B"/>
    <w:rsid w:val="002703CC"/>
    <w:rsid w:val="00271A02"/>
    <w:rsid w:val="00272D07"/>
    <w:rsid w:val="00273B02"/>
    <w:rsid w:val="00276B82"/>
    <w:rsid w:val="00281E7A"/>
    <w:rsid w:val="0028461D"/>
    <w:rsid w:val="00287460"/>
    <w:rsid w:val="0029083C"/>
    <w:rsid w:val="0029257B"/>
    <w:rsid w:val="002933A6"/>
    <w:rsid w:val="00296FDC"/>
    <w:rsid w:val="002A2ECF"/>
    <w:rsid w:val="002A7493"/>
    <w:rsid w:val="002B07EB"/>
    <w:rsid w:val="002B0F87"/>
    <w:rsid w:val="002B601C"/>
    <w:rsid w:val="002C02FE"/>
    <w:rsid w:val="002C24B9"/>
    <w:rsid w:val="002C2854"/>
    <w:rsid w:val="002C3431"/>
    <w:rsid w:val="002C3548"/>
    <w:rsid w:val="002C3B4E"/>
    <w:rsid w:val="002C4C5B"/>
    <w:rsid w:val="002C7DF5"/>
    <w:rsid w:val="002D73F2"/>
    <w:rsid w:val="002E0288"/>
    <w:rsid w:val="002E0978"/>
    <w:rsid w:val="002F561B"/>
    <w:rsid w:val="002F6602"/>
    <w:rsid w:val="002F7DEA"/>
    <w:rsid w:val="00301395"/>
    <w:rsid w:val="003044E9"/>
    <w:rsid w:val="00311276"/>
    <w:rsid w:val="0031373B"/>
    <w:rsid w:val="00322E96"/>
    <w:rsid w:val="00324128"/>
    <w:rsid w:val="003258F7"/>
    <w:rsid w:val="00327D5C"/>
    <w:rsid w:val="003309CA"/>
    <w:rsid w:val="00333D28"/>
    <w:rsid w:val="0034451C"/>
    <w:rsid w:val="003465AB"/>
    <w:rsid w:val="00350A7A"/>
    <w:rsid w:val="00352A44"/>
    <w:rsid w:val="003555A1"/>
    <w:rsid w:val="00361E35"/>
    <w:rsid w:val="00363F9F"/>
    <w:rsid w:val="003642D6"/>
    <w:rsid w:val="003649BD"/>
    <w:rsid w:val="00364B39"/>
    <w:rsid w:val="003664E9"/>
    <w:rsid w:val="003679A1"/>
    <w:rsid w:val="00370406"/>
    <w:rsid w:val="00370A82"/>
    <w:rsid w:val="00370F8C"/>
    <w:rsid w:val="0037156B"/>
    <w:rsid w:val="003778CD"/>
    <w:rsid w:val="00380C98"/>
    <w:rsid w:val="00383877"/>
    <w:rsid w:val="00383FC5"/>
    <w:rsid w:val="00385555"/>
    <w:rsid w:val="00392311"/>
    <w:rsid w:val="00392F95"/>
    <w:rsid w:val="003934A9"/>
    <w:rsid w:val="003976A3"/>
    <w:rsid w:val="003A171C"/>
    <w:rsid w:val="003A42F0"/>
    <w:rsid w:val="003A4C68"/>
    <w:rsid w:val="003A60EF"/>
    <w:rsid w:val="003A62F0"/>
    <w:rsid w:val="003B1060"/>
    <w:rsid w:val="003B4370"/>
    <w:rsid w:val="003B44E2"/>
    <w:rsid w:val="003B4AF3"/>
    <w:rsid w:val="003B76BC"/>
    <w:rsid w:val="003C7131"/>
    <w:rsid w:val="003C7949"/>
    <w:rsid w:val="003D35B0"/>
    <w:rsid w:val="003D397B"/>
    <w:rsid w:val="003D5D5A"/>
    <w:rsid w:val="003E014F"/>
    <w:rsid w:val="003E1A2F"/>
    <w:rsid w:val="003E1F76"/>
    <w:rsid w:val="003F2DEA"/>
    <w:rsid w:val="003F580D"/>
    <w:rsid w:val="003F6B49"/>
    <w:rsid w:val="0040294B"/>
    <w:rsid w:val="00403410"/>
    <w:rsid w:val="00407688"/>
    <w:rsid w:val="004106E3"/>
    <w:rsid w:val="00410A4F"/>
    <w:rsid w:val="004132C3"/>
    <w:rsid w:val="00414E98"/>
    <w:rsid w:val="00425081"/>
    <w:rsid w:val="004255DC"/>
    <w:rsid w:val="00426932"/>
    <w:rsid w:val="00430612"/>
    <w:rsid w:val="00431C43"/>
    <w:rsid w:val="00431C8C"/>
    <w:rsid w:val="0043228B"/>
    <w:rsid w:val="00434063"/>
    <w:rsid w:val="00436EF7"/>
    <w:rsid w:val="004405B8"/>
    <w:rsid w:val="00441845"/>
    <w:rsid w:val="00443D20"/>
    <w:rsid w:val="00444801"/>
    <w:rsid w:val="00447301"/>
    <w:rsid w:val="00452186"/>
    <w:rsid w:val="0045628A"/>
    <w:rsid w:val="004569D5"/>
    <w:rsid w:val="00460060"/>
    <w:rsid w:val="00461722"/>
    <w:rsid w:val="00470AD8"/>
    <w:rsid w:val="0047477B"/>
    <w:rsid w:val="00475FD2"/>
    <w:rsid w:val="00476484"/>
    <w:rsid w:val="00491276"/>
    <w:rsid w:val="00491A18"/>
    <w:rsid w:val="00494735"/>
    <w:rsid w:val="00495DB1"/>
    <w:rsid w:val="004A0675"/>
    <w:rsid w:val="004A40B5"/>
    <w:rsid w:val="004A7D33"/>
    <w:rsid w:val="004B2859"/>
    <w:rsid w:val="004B43F1"/>
    <w:rsid w:val="004B7D1E"/>
    <w:rsid w:val="004C3C35"/>
    <w:rsid w:val="004C5757"/>
    <w:rsid w:val="004C6D2E"/>
    <w:rsid w:val="004D1FCC"/>
    <w:rsid w:val="004D4E64"/>
    <w:rsid w:val="004D6B44"/>
    <w:rsid w:val="004D79D1"/>
    <w:rsid w:val="004E283C"/>
    <w:rsid w:val="004E3C1C"/>
    <w:rsid w:val="004E5801"/>
    <w:rsid w:val="004E7185"/>
    <w:rsid w:val="004F2E68"/>
    <w:rsid w:val="004F48B8"/>
    <w:rsid w:val="004F4D16"/>
    <w:rsid w:val="004F63EC"/>
    <w:rsid w:val="004F653E"/>
    <w:rsid w:val="004F71E8"/>
    <w:rsid w:val="00504683"/>
    <w:rsid w:val="00504A81"/>
    <w:rsid w:val="00504BB7"/>
    <w:rsid w:val="00505C37"/>
    <w:rsid w:val="00506045"/>
    <w:rsid w:val="005110E7"/>
    <w:rsid w:val="0053003B"/>
    <w:rsid w:val="00531418"/>
    <w:rsid w:val="00534015"/>
    <w:rsid w:val="00535BAC"/>
    <w:rsid w:val="00540448"/>
    <w:rsid w:val="00540AD1"/>
    <w:rsid w:val="00542C8E"/>
    <w:rsid w:val="005448F1"/>
    <w:rsid w:val="00547F01"/>
    <w:rsid w:val="00550716"/>
    <w:rsid w:val="005553EF"/>
    <w:rsid w:val="005562C2"/>
    <w:rsid w:val="005618A1"/>
    <w:rsid w:val="005644FC"/>
    <w:rsid w:val="00567048"/>
    <w:rsid w:val="00567156"/>
    <w:rsid w:val="00567E81"/>
    <w:rsid w:val="005732EE"/>
    <w:rsid w:val="0057379B"/>
    <w:rsid w:val="00574858"/>
    <w:rsid w:val="00581AA5"/>
    <w:rsid w:val="00582CB6"/>
    <w:rsid w:val="00591A57"/>
    <w:rsid w:val="00596413"/>
    <w:rsid w:val="005A337F"/>
    <w:rsid w:val="005B1903"/>
    <w:rsid w:val="005B695E"/>
    <w:rsid w:val="005B7241"/>
    <w:rsid w:val="005B734A"/>
    <w:rsid w:val="005C4D86"/>
    <w:rsid w:val="005C73B2"/>
    <w:rsid w:val="005C7726"/>
    <w:rsid w:val="005D0C10"/>
    <w:rsid w:val="005D405D"/>
    <w:rsid w:val="005E18F2"/>
    <w:rsid w:val="005E37E8"/>
    <w:rsid w:val="005E4B6A"/>
    <w:rsid w:val="005E4FCC"/>
    <w:rsid w:val="005E535D"/>
    <w:rsid w:val="005E71D5"/>
    <w:rsid w:val="005E7BAB"/>
    <w:rsid w:val="005F0A25"/>
    <w:rsid w:val="00600C90"/>
    <w:rsid w:val="00610069"/>
    <w:rsid w:val="0061254F"/>
    <w:rsid w:val="00612B6A"/>
    <w:rsid w:val="00615253"/>
    <w:rsid w:val="00615E03"/>
    <w:rsid w:val="0062019C"/>
    <w:rsid w:val="0062035E"/>
    <w:rsid w:val="006242E5"/>
    <w:rsid w:val="0063261D"/>
    <w:rsid w:val="006342DB"/>
    <w:rsid w:val="00634E53"/>
    <w:rsid w:val="00635914"/>
    <w:rsid w:val="00640DF1"/>
    <w:rsid w:val="006455A5"/>
    <w:rsid w:val="006516C7"/>
    <w:rsid w:val="00654321"/>
    <w:rsid w:val="006661FF"/>
    <w:rsid w:val="00671A78"/>
    <w:rsid w:val="00674B22"/>
    <w:rsid w:val="00675F6C"/>
    <w:rsid w:val="00683131"/>
    <w:rsid w:val="006847C0"/>
    <w:rsid w:val="00687AD4"/>
    <w:rsid w:val="006910A3"/>
    <w:rsid w:val="00693403"/>
    <w:rsid w:val="00697545"/>
    <w:rsid w:val="00697D13"/>
    <w:rsid w:val="006A0643"/>
    <w:rsid w:val="006A1772"/>
    <w:rsid w:val="006A3E34"/>
    <w:rsid w:val="006A551F"/>
    <w:rsid w:val="006B0160"/>
    <w:rsid w:val="006B2581"/>
    <w:rsid w:val="006B2F5A"/>
    <w:rsid w:val="006B306F"/>
    <w:rsid w:val="006B7B8D"/>
    <w:rsid w:val="006C19C1"/>
    <w:rsid w:val="006C6329"/>
    <w:rsid w:val="006C66A1"/>
    <w:rsid w:val="006C68ED"/>
    <w:rsid w:val="006D03D4"/>
    <w:rsid w:val="006D1335"/>
    <w:rsid w:val="006D2846"/>
    <w:rsid w:val="006D5F19"/>
    <w:rsid w:val="006E1721"/>
    <w:rsid w:val="006E259B"/>
    <w:rsid w:val="006E4597"/>
    <w:rsid w:val="006E600A"/>
    <w:rsid w:val="006F0C53"/>
    <w:rsid w:val="006F238F"/>
    <w:rsid w:val="006F2EDE"/>
    <w:rsid w:val="006F4322"/>
    <w:rsid w:val="007000D9"/>
    <w:rsid w:val="00702349"/>
    <w:rsid w:val="00711377"/>
    <w:rsid w:val="007122DB"/>
    <w:rsid w:val="00722CFB"/>
    <w:rsid w:val="0073007A"/>
    <w:rsid w:val="00734E15"/>
    <w:rsid w:val="007351A6"/>
    <w:rsid w:val="007364F4"/>
    <w:rsid w:val="0073726F"/>
    <w:rsid w:val="0073789A"/>
    <w:rsid w:val="0074057E"/>
    <w:rsid w:val="00740DF9"/>
    <w:rsid w:val="007415CE"/>
    <w:rsid w:val="00744E9D"/>
    <w:rsid w:val="00747701"/>
    <w:rsid w:val="0074778C"/>
    <w:rsid w:val="00750237"/>
    <w:rsid w:val="007576D3"/>
    <w:rsid w:val="00757B41"/>
    <w:rsid w:val="00760C92"/>
    <w:rsid w:val="00762989"/>
    <w:rsid w:val="007629D3"/>
    <w:rsid w:val="007632A3"/>
    <w:rsid w:val="007653D9"/>
    <w:rsid w:val="00766143"/>
    <w:rsid w:val="00766DE8"/>
    <w:rsid w:val="00770990"/>
    <w:rsid w:val="0077311D"/>
    <w:rsid w:val="00776A90"/>
    <w:rsid w:val="00784E72"/>
    <w:rsid w:val="0078553F"/>
    <w:rsid w:val="00785C01"/>
    <w:rsid w:val="007879A1"/>
    <w:rsid w:val="007879B8"/>
    <w:rsid w:val="007913A6"/>
    <w:rsid w:val="0079196C"/>
    <w:rsid w:val="00792228"/>
    <w:rsid w:val="00794616"/>
    <w:rsid w:val="00795894"/>
    <w:rsid w:val="00796C5B"/>
    <w:rsid w:val="007A11AD"/>
    <w:rsid w:val="007A48E6"/>
    <w:rsid w:val="007A731E"/>
    <w:rsid w:val="007A76B4"/>
    <w:rsid w:val="007C0031"/>
    <w:rsid w:val="007C1277"/>
    <w:rsid w:val="007C4157"/>
    <w:rsid w:val="007C62CA"/>
    <w:rsid w:val="007C6341"/>
    <w:rsid w:val="007C6C4D"/>
    <w:rsid w:val="007D1524"/>
    <w:rsid w:val="007D1F42"/>
    <w:rsid w:val="007D38A2"/>
    <w:rsid w:val="007D54D5"/>
    <w:rsid w:val="007D5BEF"/>
    <w:rsid w:val="007E12F9"/>
    <w:rsid w:val="007E4ADF"/>
    <w:rsid w:val="007E5811"/>
    <w:rsid w:val="007F4AB5"/>
    <w:rsid w:val="007F717E"/>
    <w:rsid w:val="007F7CAD"/>
    <w:rsid w:val="00801124"/>
    <w:rsid w:val="00802DD4"/>
    <w:rsid w:val="00803182"/>
    <w:rsid w:val="00803B7D"/>
    <w:rsid w:val="00804311"/>
    <w:rsid w:val="008047DE"/>
    <w:rsid w:val="008133BF"/>
    <w:rsid w:val="0081393C"/>
    <w:rsid w:val="00813BEC"/>
    <w:rsid w:val="00817E53"/>
    <w:rsid w:val="00822E96"/>
    <w:rsid w:val="008233E0"/>
    <w:rsid w:val="0082347F"/>
    <w:rsid w:val="008243A2"/>
    <w:rsid w:val="00833E4F"/>
    <w:rsid w:val="008342B8"/>
    <w:rsid w:val="008344D4"/>
    <w:rsid w:val="008428FC"/>
    <w:rsid w:val="0084331F"/>
    <w:rsid w:val="00850E6E"/>
    <w:rsid w:val="00852400"/>
    <w:rsid w:val="008524A1"/>
    <w:rsid w:val="0085296A"/>
    <w:rsid w:val="00852AF4"/>
    <w:rsid w:val="008577F8"/>
    <w:rsid w:val="0086042A"/>
    <w:rsid w:val="00860A84"/>
    <w:rsid w:val="00863084"/>
    <w:rsid w:val="008633FA"/>
    <w:rsid w:val="00863D54"/>
    <w:rsid w:val="008655C0"/>
    <w:rsid w:val="00865B7E"/>
    <w:rsid w:val="00866535"/>
    <w:rsid w:val="0086654B"/>
    <w:rsid w:val="00870330"/>
    <w:rsid w:val="008711AF"/>
    <w:rsid w:val="0087708C"/>
    <w:rsid w:val="00877988"/>
    <w:rsid w:val="00880410"/>
    <w:rsid w:val="00880A08"/>
    <w:rsid w:val="00880CBE"/>
    <w:rsid w:val="008821E0"/>
    <w:rsid w:val="00891B9F"/>
    <w:rsid w:val="008938A1"/>
    <w:rsid w:val="00897CE6"/>
    <w:rsid w:val="008A299A"/>
    <w:rsid w:val="008B148C"/>
    <w:rsid w:val="008B2FBD"/>
    <w:rsid w:val="008B39B6"/>
    <w:rsid w:val="008B77EF"/>
    <w:rsid w:val="008C0ED4"/>
    <w:rsid w:val="008C18D7"/>
    <w:rsid w:val="008C3BEE"/>
    <w:rsid w:val="008C5334"/>
    <w:rsid w:val="008C6904"/>
    <w:rsid w:val="008D30F9"/>
    <w:rsid w:val="008D3C84"/>
    <w:rsid w:val="008D53B2"/>
    <w:rsid w:val="008E450C"/>
    <w:rsid w:val="008F0505"/>
    <w:rsid w:val="008F27BF"/>
    <w:rsid w:val="008F593F"/>
    <w:rsid w:val="008F6F5F"/>
    <w:rsid w:val="008F79EB"/>
    <w:rsid w:val="00900EA7"/>
    <w:rsid w:val="009020E5"/>
    <w:rsid w:val="00905CA6"/>
    <w:rsid w:val="009060D0"/>
    <w:rsid w:val="00906E43"/>
    <w:rsid w:val="009075A5"/>
    <w:rsid w:val="009079F6"/>
    <w:rsid w:val="00912169"/>
    <w:rsid w:val="00912707"/>
    <w:rsid w:val="00913C8E"/>
    <w:rsid w:val="00916666"/>
    <w:rsid w:val="0092037A"/>
    <w:rsid w:val="009243CF"/>
    <w:rsid w:val="009246AD"/>
    <w:rsid w:val="00924A33"/>
    <w:rsid w:val="00925C71"/>
    <w:rsid w:val="00927EC2"/>
    <w:rsid w:val="0093023D"/>
    <w:rsid w:val="0093268F"/>
    <w:rsid w:val="00933A93"/>
    <w:rsid w:val="00934DE5"/>
    <w:rsid w:val="00937574"/>
    <w:rsid w:val="009378D2"/>
    <w:rsid w:val="00945636"/>
    <w:rsid w:val="00954E6D"/>
    <w:rsid w:val="00955F2B"/>
    <w:rsid w:val="00961597"/>
    <w:rsid w:val="00962984"/>
    <w:rsid w:val="0096401D"/>
    <w:rsid w:val="00966449"/>
    <w:rsid w:val="00967484"/>
    <w:rsid w:val="009745B7"/>
    <w:rsid w:val="00977127"/>
    <w:rsid w:val="00982B3B"/>
    <w:rsid w:val="00982C5F"/>
    <w:rsid w:val="00985A3B"/>
    <w:rsid w:val="0099297D"/>
    <w:rsid w:val="00992C31"/>
    <w:rsid w:val="009952E6"/>
    <w:rsid w:val="0099785A"/>
    <w:rsid w:val="009A217B"/>
    <w:rsid w:val="009A759F"/>
    <w:rsid w:val="009B0531"/>
    <w:rsid w:val="009C3CBA"/>
    <w:rsid w:val="009C7E3A"/>
    <w:rsid w:val="009D06D2"/>
    <w:rsid w:val="009D7BE9"/>
    <w:rsid w:val="009E4CA2"/>
    <w:rsid w:val="009E5462"/>
    <w:rsid w:val="009E5554"/>
    <w:rsid w:val="009F046B"/>
    <w:rsid w:val="009F0B1C"/>
    <w:rsid w:val="009F240F"/>
    <w:rsid w:val="009F2E7E"/>
    <w:rsid w:val="009F345A"/>
    <w:rsid w:val="009F3997"/>
    <w:rsid w:val="009F72B3"/>
    <w:rsid w:val="009F7588"/>
    <w:rsid w:val="00A003E1"/>
    <w:rsid w:val="00A01494"/>
    <w:rsid w:val="00A02C22"/>
    <w:rsid w:val="00A02D62"/>
    <w:rsid w:val="00A0611B"/>
    <w:rsid w:val="00A14EBC"/>
    <w:rsid w:val="00A20EB5"/>
    <w:rsid w:val="00A23B40"/>
    <w:rsid w:val="00A2437B"/>
    <w:rsid w:val="00A243A9"/>
    <w:rsid w:val="00A31E8A"/>
    <w:rsid w:val="00A34F78"/>
    <w:rsid w:val="00A3513D"/>
    <w:rsid w:val="00A35775"/>
    <w:rsid w:val="00A514B6"/>
    <w:rsid w:val="00A5228E"/>
    <w:rsid w:val="00A52AF8"/>
    <w:rsid w:val="00A52CB8"/>
    <w:rsid w:val="00A52E8A"/>
    <w:rsid w:val="00A56D7F"/>
    <w:rsid w:val="00A57180"/>
    <w:rsid w:val="00A60353"/>
    <w:rsid w:val="00A61E5C"/>
    <w:rsid w:val="00A621C7"/>
    <w:rsid w:val="00A764EF"/>
    <w:rsid w:val="00A810BD"/>
    <w:rsid w:val="00A85C4F"/>
    <w:rsid w:val="00A91AD7"/>
    <w:rsid w:val="00A932A8"/>
    <w:rsid w:val="00A95228"/>
    <w:rsid w:val="00AA35CD"/>
    <w:rsid w:val="00AB00BD"/>
    <w:rsid w:val="00AB2843"/>
    <w:rsid w:val="00AB31BF"/>
    <w:rsid w:val="00AB34C5"/>
    <w:rsid w:val="00AB6118"/>
    <w:rsid w:val="00AC2083"/>
    <w:rsid w:val="00AC44F5"/>
    <w:rsid w:val="00AC68F8"/>
    <w:rsid w:val="00AD73BA"/>
    <w:rsid w:val="00AE3F80"/>
    <w:rsid w:val="00AE4BD3"/>
    <w:rsid w:val="00AE5AE7"/>
    <w:rsid w:val="00AE5EE8"/>
    <w:rsid w:val="00AF1FC2"/>
    <w:rsid w:val="00AF4F6D"/>
    <w:rsid w:val="00AF5622"/>
    <w:rsid w:val="00AF76B7"/>
    <w:rsid w:val="00AF77B5"/>
    <w:rsid w:val="00AF7F6A"/>
    <w:rsid w:val="00B009B7"/>
    <w:rsid w:val="00B05A88"/>
    <w:rsid w:val="00B05F62"/>
    <w:rsid w:val="00B07B9F"/>
    <w:rsid w:val="00B11F7A"/>
    <w:rsid w:val="00B1240A"/>
    <w:rsid w:val="00B13923"/>
    <w:rsid w:val="00B15E92"/>
    <w:rsid w:val="00B1620A"/>
    <w:rsid w:val="00B16A74"/>
    <w:rsid w:val="00B22526"/>
    <w:rsid w:val="00B23898"/>
    <w:rsid w:val="00B23CDC"/>
    <w:rsid w:val="00B27CE0"/>
    <w:rsid w:val="00B30780"/>
    <w:rsid w:val="00B312C7"/>
    <w:rsid w:val="00B3370A"/>
    <w:rsid w:val="00B33ECE"/>
    <w:rsid w:val="00B37A10"/>
    <w:rsid w:val="00B412C3"/>
    <w:rsid w:val="00B41B6A"/>
    <w:rsid w:val="00B42A68"/>
    <w:rsid w:val="00B43630"/>
    <w:rsid w:val="00B44641"/>
    <w:rsid w:val="00B45BF3"/>
    <w:rsid w:val="00B4686B"/>
    <w:rsid w:val="00B4717D"/>
    <w:rsid w:val="00B605F1"/>
    <w:rsid w:val="00B62CCE"/>
    <w:rsid w:val="00B67AF9"/>
    <w:rsid w:val="00B75408"/>
    <w:rsid w:val="00B7618D"/>
    <w:rsid w:val="00B8019E"/>
    <w:rsid w:val="00B80938"/>
    <w:rsid w:val="00B82EC4"/>
    <w:rsid w:val="00B876DE"/>
    <w:rsid w:val="00B92052"/>
    <w:rsid w:val="00B976B8"/>
    <w:rsid w:val="00BA5A7A"/>
    <w:rsid w:val="00BA7BB7"/>
    <w:rsid w:val="00BA7DC1"/>
    <w:rsid w:val="00BB0330"/>
    <w:rsid w:val="00BB0ED5"/>
    <w:rsid w:val="00BB191A"/>
    <w:rsid w:val="00BB1CD7"/>
    <w:rsid w:val="00BB54EF"/>
    <w:rsid w:val="00BB6ECE"/>
    <w:rsid w:val="00BC09EB"/>
    <w:rsid w:val="00BC2E22"/>
    <w:rsid w:val="00BC3EA0"/>
    <w:rsid w:val="00BC4B52"/>
    <w:rsid w:val="00BC7C6A"/>
    <w:rsid w:val="00BC7D83"/>
    <w:rsid w:val="00BD18C0"/>
    <w:rsid w:val="00BD1B6A"/>
    <w:rsid w:val="00BD2C44"/>
    <w:rsid w:val="00BD779F"/>
    <w:rsid w:val="00BE0685"/>
    <w:rsid w:val="00BE06DB"/>
    <w:rsid w:val="00BE202E"/>
    <w:rsid w:val="00BE3271"/>
    <w:rsid w:val="00BE3C1A"/>
    <w:rsid w:val="00BE3C24"/>
    <w:rsid w:val="00BE401A"/>
    <w:rsid w:val="00BE486C"/>
    <w:rsid w:val="00BE4C25"/>
    <w:rsid w:val="00BE7E6B"/>
    <w:rsid w:val="00BF0D76"/>
    <w:rsid w:val="00BF0E76"/>
    <w:rsid w:val="00C0165B"/>
    <w:rsid w:val="00C01A42"/>
    <w:rsid w:val="00C026E9"/>
    <w:rsid w:val="00C02792"/>
    <w:rsid w:val="00C05621"/>
    <w:rsid w:val="00C07BB1"/>
    <w:rsid w:val="00C10902"/>
    <w:rsid w:val="00C10EE0"/>
    <w:rsid w:val="00C12556"/>
    <w:rsid w:val="00C153BE"/>
    <w:rsid w:val="00C155F2"/>
    <w:rsid w:val="00C15BD7"/>
    <w:rsid w:val="00C1666B"/>
    <w:rsid w:val="00C22A42"/>
    <w:rsid w:val="00C262D7"/>
    <w:rsid w:val="00C26A94"/>
    <w:rsid w:val="00C30DC4"/>
    <w:rsid w:val="00C32245"/>
    <w:rsid w:val="00C37E85"/>
    <w:rsid w:val="00C403A8"/>
    <w:rsid w:val="00C40AC5"/>
    <w:rsid w:val="00C43CF0"/>
    <w:rsid w:val="00C47746"/>
    <w:rsid w:val="00C52830"/>
    <w:rsid w:val="00C52FC5"/>
    <w:rsid w:val="00C53975"/>
    <w:rsid w:val="00C53E45"/>
    <w:rsid w:val="00C609C7"/>
    <w:rsid w:val="00C6170A"/>
    <w:rsid w:val="00C61A79"/>
    <w:rsid w:val="00C658C5"/>
    <w:rsid w:val="00C66B8B"/>
    <w:rsid w:val="00C679BA"/>
    <w:rsid w:val="00C829A5"/>
    <w:rsid w:val="00C85591"/>
    <w:rsid w:val="00C934AC"/>
    <w:rsid w:val="00CA1918"/>
    <w:rsid w:val="00CA3848"/>
    <w:rsid w:val="00CB0AC6"/>
    <w:rsid w:val="00CB224D"/>
    <w:rsid w:val="00CB4F02"/>
    <w:rsid w:val="00CC3631"/>
    <w:rsid w:val="00CC57C3"/>
    <w:rsid w:val="00CD0CFB"/>
    <w:rsid w:val="00CD2249"/>
    <w:rsid w:val="00CD3B35"/>
    <w:rsid w:val="00CD4ABB"/>
    <w:rsid w:val="00CE3A1E"/>
    <w:rsid w:val="00CE47E9"/>
    <w:rsid w:val="00CE6284"/>
    <w:rsid w:val="00CF128F"/>
    <w:rsid w:val="00CF50A5"/>
    <w:rsid w:val="00CF76A3"/>
    <w:rsid w:val="00CF7F44"/>
    <w:rsid w:val="00D06C3D"/>
    <w:rsid w:val="00D071CE"/>
    <w:rsid w:val="00D13F7E"/>
    <w:rsid w:val="00D16F6C"/>
    <w:rsid w:val="00D240F9"/>
    <w:rsid w:val="00D24993"/>
    <w:rsid w:val="00D2620B"/>
    <w:rsid w:val="00D316BC"/>
    <w:rsid w:val="00D318E5"/>
    <w:rsid w:val="00D32E24"/>
    <w:rsid w:val="00D342C8"/>
    <w:rsid w:val="00D37406"/>
    <w:rsid w:val="00D37635"/>
    <w:rsid w:val="00D37859"/>
    <w:rsid w:val="00D40B2A"/>
    <w:rsid w:val="00D47666"/>
    <w:rsid w:val="00D47F24"/>
    <w:rsid w:val="00D530E2"/>
    <w:rsid w:val="00D61BFB"/>
    <w:rsid w:val="00D630E3"/>
    <w:rsid w:val="00D63ACE"/>
    <w:rsid w:val="00D662AB"/>
    <w:rsid w:val="00D6660A"/>
    <w:rsid w:val="00D678B2"/>
    <w:rsid w:val="00D766E6"/>
    <w:rsid w:val="00D85938"/>
    <w:rsid w:val="00D877B9"/>
    <w:rsid w:val="00D96379"/>
    <w:rsid w:val="00D96727"/>
    <w:rsid w:val="00D96DB1"/>
    <w:rsid w:val="00D97FBD"/>
    <w:rsid w:val="00DA08FD"/>
    <w:rsid w:val="00DA1932"/>
    <w:rsid w:val="00DA2931"/>
    <w:rsid w:val="00DA4489"/>
    <w:rsid w:val="00DA7B10"/>
    <w:rsid w:val="00DB16DC"/>
    <w:rsid w:val="00DB20CD"/>
    <w:rsid w:val="00DB2CC7"/>
    <w:rsid w:val="00DB36E0"/>
    <w:rsid w:val="00DB6199"/>
    <w:rsid w:val="00DC0A3C"/>
    <w:rsid w:val="00DC263C"/>
    <w:rsid w:val="00DC4DF8"/>
    <w:rsid w:val="00DC640A"/>
    <w:rsid w:val="00DD264A"/>
    <w:rsid w:val="00DD6367"/>
    <w:rsid w:val="00DD6DBB"/>
    <w:rsid w:val="00DE14E6"/>
    <w:rsid w:val="00DE1C0E"/>
    <w:rsid w:val="00DF1645"/>
    <w:rsid w:val="00DF35FC"/>
    <w:rsid w:val="00DF4AA1"/>
    <w:rsid w:val="00E03F3F"/>
    <w:rsid w:val="00E06641"/>
    <w:rsid w:val="00E074F2"/>
    <w:rsid w:val="00E075C3"/>
    <w:rsid w:val="00E07FE8"/>
    <w:rsid w:val="00E10C2A"/>
    <w:rsid w:val="00E11B95"/>
    <w:rsid w:val="00E13204"/>
    <w:rsid w:val="00E13C7F"/>
    <w:rsid w:val="00E17023"/>
    <w:rsid w:val="00E21268"/>
    <w:rsid w:val="00E22103"/>
    <w:rsid w:val="00E242F6"/>
    <w:rsid w:val="00E24AC1"/>
    <w:rsid w:val="00E257EA"/>
    <w:rsid w:val="00E317FC"/>
    <w:rsid w:val="00E3600C"/>
    <w:rsid w:val="00E42BDF"/>
    <w:rsid w:val="00E46ADC"/>
    <w:rsid w:val="00E519E4"/>
    <w:rsid w:val="00E60F18"/>
    <w:rsid w:val="00E6414D"/>
    <w:rsid w:val="00E654D4"/>
    <w:rsid w:val="00E6619B"/>
    <w:rsid w:val="00E671B4"/>
    <w:rsid w:val="00E74A03"/>
    <w:rsid w:val="00E75ACE"/>
    <w:rsid w:val="00E77760"/>
    <w:rsid w:val="00E77D4D"/>
    <w:rsid w:val="00E8120F"/>
    <w:rsid w:val="00E81F53"/>
    <w:rsid w:val="00E83469"/>
    <w:rsid w:val="00E861B2"/>
    <w:rsid w:val="00E91482"/>
    <w:rsid w:val="00E96302"/>
    <w:rsid w:val="00E96C22"/>
    <w:rsid w:val="00EA0D56"/>
    <w:rsid w:val="00EB0CF4"/>
    <w:rsid w:val="00EB1D7C"/>
    <w:rsid w:val="00EC02A5"/>
    <w:rsid w:val="00EC14F6"/>
    <w:rsid w:val="00EC1544"/>
    <w:rsid w:val="00EC4A30"/>
    <w:rsid w:val="00EC4FFC"/>
    <w:rsid w:val="00EC5269"/>
    <w:rsid w:val="00ED14E3"/>
    <w:rsid w:val="00ED2EF1"/>
    <w:rsid w:val="00ED3F0F"/>
    <w:rsid w:val="00EE17C8"/>
    <w:rsid w:val="00EE1832"/>
    <w:rsid w:val="00EE4586"/>
    <w:rsid w:val="00EE6B6F"/>
    <w:rsid w:val="00EF0325"/>
    <w:rsid w:val="00EF2243"/>
    <w:rsid w:val="00EF6335"/>
    <w:rsid w:val="00EF6947"/>
    <w:rsid w:val="00F0240D"/>
    <w:rsid w:val="00F048F4"/>
    <w:rsid w:val="00F1123B"/>
    <w:rsid w:val="00F1220E"/>
    <w:rsid w:val="00F12D56"/>
    <w:rsid w:val="00F134F5"/>
    <w:rsid w:val="00F13DF9"/>
    <w:rsid w:val="00F167B5"/>
    <w:rsid w:val="00F23ED2"/>
    <w:rsid w:val="00F34AA6"/>
    <w:rsid w:val="00F365E9"/>
    <w:rsid w:val="00F36698"/>
    <w:rsid w:val="00F40932"/>
    <w:rsid w:val="00F412D1"/>
    <w:rsid w:val="00F41F81"/>
    <w:rsid w:val="00F41F9F"/>
    <w:rsid w:val="00F42CB6"/>
    <w:rsid w:val="00F47B85"/>
    <w:rsid w:val="00F5489C"/>
    <w:rsid w:val="00F54BDD"/>
    <w:rsid w:val="00F54BF7"/>
    <w:rsid w:val="00F5645C"/>
    <w:rsid w:val="00F57E6A"/>
    <w:rsid w:val="00F66543"/>
    <w:rsid w:val="00F6680D"/>
    <w:rsid w:val="00F715CF"/>
    <w:rsid w:val="00F73718"/>
    <w:rsid w:val="00F745D1"/>
    <w:rsid w:val="00F87B3C"/>
    <w:rsid w:val="00F911E2"/>
    <w:rsid w:val="00F918A2"/>
    <w:rsid w:val="00F91BAD"/>
    <w:rsid w:val="00FA2684"/>
    <w:rsid w:val="00FA3292"/>
    <w:rsid w:val="00FB0297"/>
    <w:rsid w:val="00FB37A8"/>
    <w:rsid w:val="00FB6B01"/>
    <w:rsid w:val="00FC5CF0"/>
    <w:rsid w:val="00FC63E7"/>
    <w:rsid w:val="00FD47E3"/>
    <w:rsid w:val="00FD59A6"/>
    <w:rsid w:val="00FD59F2"/>
    <w:rsid w:val="00FD723F"/>
    <w:rsid w:val="00FE5369"/>
    <w:rsid w:val="00FE6219"/>
    <w:rsid w:val="00FF27B5"/>
    <w:rsid w:val="00FF2D4B"/>
    <w:rsid w:val="00FF480D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87FCA"/>
  <w15:docId w15:val="{C0302432-2416-415E-BE35-623DE0B2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  <w:sz w:val="40"/>
    </w:rPr>
  </w:style>
  <w:style w:type="paragraph" w:styleId="FootnoteText">
    <w:name w:val="footnote text"/>
    <w:basedOn w:val="Normal"/>
    <w:next w:val="TFReferencesSection"/>
    <w:semiHidden/>
  </w:style>
  <w:style w:type="paragraph" w:customStyle="1" w:styleId="TFReferencesSection">
    <w:name w:val="TF_References_Section"/>
    <w:basedOn w:val="Normal"/>
    <w:pPr>
      <w:spacing w:line="480" w:lineRule="auto"/>
      <w:ind w:firstLine="187"/>
    </w:pPr>
  </w:style>
  <w:style w:type="paragraph" w:customStyle="1" w:styleId="TAMainText">
    <w:name w:val="TA_Main_Text"/>
    <w:basedOn w:val="Normal"/>
    <w:pPr>
      <w:spacing w:after="0" w:line="480" w:lineRule="auto"/>
      <w:ind w:firstLine="202"/>
    </w:pPr>
  </w:style>
  <w:style w:type="paragraph" w:customStyle="1" w:styleId="BATitle">
    <w:name w:val="BA_Title"/>
    <w:basedOn w:val="Normal"/>
    <w:next w:val="BBAuthorName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BBAuthorName">
    <w:name w:val="BB_Author_Name"/>
    <w:basedOn w:val="Normal"/>
    <w:next w:val="BCAuthorAddress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pPr>
      <w:spacing w:line="480" w:lineRule="auto"/>
    </w:pPr>
  </w:style>
  <w:style w:type="paragraph" w:customStyle="1" w:styleId="AIReceivedDate">
    <w:name w:val="AI_Received_Date"/>
    <w:basedOn w:val="Normal"/>
    <w:next w:val="BDAbstract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pPr>
      <w:spacing w:line="480" w:lineRule="auto"/>
    </w:pPr>
  </w:style>
  <w:style w:type="paragraph" w:customStyle="1" w:styleId="VDTableTitle">
    <w:name w:val="VD_Table_Title"/>
    <w:basedOn w:val="Normal"/>
    <w:next w:val="Normal"/>
    <w:pPr>
      <w:spacing w:line="480" w:lineRule="auto"/>
    </w:pPr>
  </w:style>
  <w:style w:type="paragraph" w:customStyle="1" w:styleId="VAFigureCaption">
    <w:name w:val="VA_Figure_Caption"/>
    <w:basedOn w:val="Normal"/>
    <w:next w:val="Normal"/>
    <w:pPr>
      <w:spacing w:line="480" w:lineRule="auto"/>
    </w:pPr>
  </w:style>
  <w:style w:type="paragraph" w:customStyle="1" w:styleId="VBChartTitle">
    <w:name w:val="VB_Chart_Title"/>
    <w:basedOn w:val="Normal"/>
    <w:next w:val="Normal"/>
    <w:pPr>
      <w:spacing w:line="480" w:lineRule="auto"/>
    </w:pPr>
  </w:style>
  <w:style w:type="paragraph" w:customStyle="1" w:styleId="FETableFootnote">
    <w:name w:val="FE_Table_Footnote"/>
    <w:basedOn w:val="Normal"/>
    <w:next w:val="Normal"/>
    <w:pPr>
      <w:ind w:firstLine="187"/>
    </w:pPr>
  </w:style>
  <w:style w:type="paragraph" w:customStyle="1" w:styleId="FCChartFootnote">
    <w:name w:val="FC_Chart_Footnote"/>
    <w:basedOn w:val="Normal"/>
    <w:next w:val="Normal"/>
    <w:pPr>
      <w:ind w:firstLine="187"/>
    </w:pPr>
  </w:style>
  <w:style w:type="paragraph" w:customStyle="1" w:styleId="FDSchemeFootnote">
    <w:name w:val="FD_Scheme_Footnote"/>
    <w:basedOn w:val="Normal"/>
    <w:next w:val="Normal"/>
    <w:pPr>
      <w:ind w:firstLine="187"/>
    </w:pPr>
  </w:style>
  <w:style w:type="paragraph" w:customStyle="1" w:styleId="TCTableBody">
    <w:name w:val="TC_Table_Body"/>
    <w:basedOn w:val="Normal"/>
  </w:style>
  <w:style w:type="paragraph" w:customStyle="1" w:styleId="AFTitleRunningHead">
    <w:name w:val="AF_Title_Running_Head"/>
    <w:basedOn w:val="Normal"/>
    <w:next w:val="TAMainText"/>
    <w:pPr>
      <w:spacing w:line="480" w:lineRule="auto"/>
    </w:pPr>
  </w:style>
  <w:style w:type="paragraph" w:customStyle="1" w:styleId="BEAuthorBiography">
    <w:name w:val="BE_Author_Biography"/>
    <w:basedOn w:val="Normal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pPr>
      <w:spacing w:line="480" w:lineRule="auto"/>
    </w:pPr>
  </w:style>
  <w:style w:type="paragraph" w:customStyle="1" w:styleId="SNSynopsisTOC">
    <w:name w:val="SN_Synopsis_TOC"/>
    <w:basedOn w:val="Normal"/>
    <w:pPr>
      <w:spacing w:line="480" w:lineRule="auto"/>
    </w:p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GKeywords">
    <w:name w:val="BG_Keywords"/>
    <w:basedOn w:val="Normal"/>
    <w:pPr>
      <w:spacing w:line="480" w:lineRule="auto"/>
    </w:pPr>
  </w:style>
  <w:style w:type="paragraph" w:customStyle="1" w:styleId="BHBriefs">
    <w:name w:val="BH_Briefs"/>
    <w:basedOn w:val="Normal"/>
    <w:pPr>
      <w:spacing w:line="480" w:lineRule="auto"/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E96302"/>
    <w:rPr>
      <w:rFonts w:ascii="Tahoma" w:hAnsi="Tahoma" w:cs="Tahoma"/>
      <w:sz w:val="16"/>
      <w:szCs w:val="16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C10EE0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C10EE0"/>
    <w:rPr>
      <w:rFonts w:ascii="Arno Pro" w:hAnsi="Arno Pro"/>
      <w:kern w:val="20"/>
      <w:sz w:val="18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131C8C"/>
    <w:pPr>
      <w:spacing w:before="120" w:after="60" w:line="480" w:lineRule="auto"/>
      <w:jc w:val="left"/>
    </w:pPr>
    <w:rPr>
      <w:b/>
      <w:szCs w:val="24"/>
    </w:rPr>
  </w:style>
  <w:style w:type="character" w:customStyle="1" w:styleId="FAAuthorInfoSubtitleChar">
    <w:name w:val="FA_Author_Info_Subtitle Char"/>
    <w:link w:val="FAAuthorInfoSubtitle"/>
    <w:rsid w:val="00131C8C"/>
    <w:rPr>
      <w:rFonts w:ascii="Times" w:hAnsi="Times"/>
      <w:b/>
      <w:sz w:val="24"/>
      <w:szCs w:val="24"/>
    </w:rPr>
  </w:style>
  <w:style w:type="paragraph" w:customStyle="1" w:styleId="Default">
    <w:name w:val="Default"/>
    <w:rsid w:val="001A7A9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5E18F2"/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0F18"/>
    <w:rPr>
      <w:color w:val="808080"/>
    </w:rPr>
  </w:style>
  <w:style w:type="table" w:styleId="TableGrid">
    <w:name w:val="Table Grid"/>
    <w:basedOn w:val="TableNormal"/>
    <w:rsid w:val="007F7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4C6D2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E0664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red">
    <w:name w:val="red"/>
    <w:basedOn w:val="DefaultParagraphFont"/>
    <w:rsid w:val="002F561B"/>
  </w:style>
  <w:style w:type="paragraph" w:styleId="Bibliography">
    <w:name w:val="Bibliography"/>
    <w:basedOn w:val="Normal"/>
    <w:next w:val="Normal"/>
    <w:uiPriority w:val="37"/>
    <w:unhideWhenUsed/>
    <w:rsid w:val="002E0978"/>
    <w:pPr>
      <w:tabs>
        <w:tab w:val="left" w:pos="504"/>
      </w:tabs>
      <w:spacing w:after="0"/>
      <w:ind w:left="50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al\Downloads\acstemplate_msw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49AC7A8-594E-4245-89CC-BD95A739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acstemplate_msw2010.dotx</Template>
  <TotalTime>6220</TotalTime>
  <Pages>7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Electronic Submission to ACS Journals</vt:lpstr>
    </vt:vector>
  </TitlesOfParts>
  <Company>ACS</Company>
  <LinksUpToDate>false</LinksUpToDate>
  <CharactersWithSpaces>9901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http://pubs.acs.org/page/4authors/index.html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to ACS Journals</dc:title>
  <dc:subject/>
  <dc:creator>Coral Pichardo</dc:creator>
  <cp:keywords/>
  <cp:lastModifiedBy>Coral Pichardo</cp:lastModifiedBy>
  <cp:revision>803</cp:revision>
  <cp:lastPrinted>2008-06-11T21:33:00Z</cp:lastPrinted>
  <dcterms:created xsi:type="dcterms:W3CDTF">2019-11-01T16:05:00Z</dcterms:created>
  <dcterms:modified xsi:type="dcterms:W3CDTF">2019-11-17T17:48:00Z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id="EZYpizBX"/&gt;&lt;style id="http://www.zotero.org/styles/american-chemical-society" hasBibliography="1" bibliographyStyleHasBeenSet="1"/&gt;&lt;prefs&gt;&lt;pref name="fieldType" value="Field"/&gt;&lt;pref name="automat</vt:lpwstr>
  </property>
  <property fmtid="{D5CDD505-2E9C-101B-9397-08002B2CF9AE}" pid="3" name="ZOTERO_PREF_2">
    <vt:lpwstr>icJournalAbbreviations" value="true"/&gt;&lt;/prefs&gt;&lt;/data&gt;</vt:lpwstr>
  </property>
</Properties>
</file>