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E5676" w14:textId="6787E346" w:rsidR="00B6720F" w:rsidRPr="00E82E77" w:rsidRDefault="00DD7FBE" w:rsidP="00E82E77">
      <w:pPr>
        <w:rPr>
          <w:b/>
          <w:sz w:val="36"/>
          <w:szCs w:val="36"/>
        </w:rPr>
      </w:pPr>
      <w:r w:rsidRPr="00E82E77">
        <w:rPr>
          <w:b/>
          <w:sz w:val="36"/>
          <w:szCs w:val="36"/>
        </w:rPr>
        <w:t>Determination of Alcohol Dehydration Mechanism Favor</w:t>
      </w:r>
      <w:r w:rsidRPr="00E82E77">
        <w:rPr>
          <w:b/>
          <w:sz w:val="36"/>
          <w:szCs w:val="36"/>
        </w:rPr>
        <w:t>a</w:t>
      </w:r>
      <w:r w:rsidR="00E82E77">
        <w:rPr>
          <w:b/>
          <w:sz w:val="36"/>
          <w:szCs w:val="36"/>
        </w:rPr>
        <w:t xml:space="preserve">bility </w:t>
      </w:r>
      <w:r w:rsidR="004C2C01">
        <w:rPr>
          <w:b/>
          <w:sz w:val="36"/>
          <w:szCs w:val="36"/>
        </w:rPr>
        <w:t>with Thermodynamic Computation by</w:t>
      </w:r>
      <w:r w:rsidR="00E82E77">
        <w:rPr>
          <w:b/>
          <w:sz w:val="36"/>
          <w:szCs w:val="36"/>
        </w:rPr>
        <w:t xml:space="preserve"> </w:t>
      </w:r>
      <w:r w:rsidRPr="00E82E77">
        <w:rPr>
          <w:b/>
          <w:sz w:val="36"/>
          <w:szCs w:val="36"/>
        </w:rPr>
        <w:t xml:space="preserve">Gaussian 16 </w:t>
      </w:r>
    </w:p>
    <w:p w14:paraId="401582B5" w14:textId="1444285B" w:rsidR="00E82E77" w:rsidRPr="00E82E77" w:rsidRDefault="00E82E77" w:rsidP="00E82E77">
      <w:pPr>
        <w:rPr>
          <w:sz w:val="28"/>
          <w:szCs w:val="28"/>
        </w:rPr>
      </w:pPr>
      <w:r>
        <w:rPr>
          <w:sz w:val="28"/>
          <w:szCs w:val="28"/>
        </w:rPr>
        <w:t>Justyn Cespedes, Coral Pichardo, Nafis Mukut</w:t>
      </w:r>
    </w:p>
    <w:p w14:paraId="6557DF35" w14:textId="77777777" w:rsidR="00B6720F" w:rsidRDefault="00B6720F" w:rsidP="003274D2">
      <w:pPr>
        <w:jc w:val="center"/>
      </w:pPr>
    </w:p>
    <w:p w14:paraId="771AD548" w14:textId="0EA1206B" w:rsidR="00B6720F" w:rsidRPr="00B6720F" w:rsidRDefault="00B6720F" w:rsidP="00B6720F">
      <w:r w:rsidRPr="00B6720F">
        <w:rPr>
          <w:b/>
        </w:rPr>
        <w:t xml:space="preserve">Abstract: </w:t>
      </w:r>
      <w:r>
        <w:t>Using the Gaussian 16 electronic structure program, two mechanisms of alcohol deh</w:t>
      </w:r>
      <w:r>
        <w:t>y</w:t>
      </w:r>
      <w:r>
        <w:t>dration were studied to determine which one is more thermodynamically favored.  Because ove</w:t>
      </w:r>
      <w:r>
        <w:t>r</w:t>
      </w:r>
      <w:r>
        <w:t>all reactions would yield the same thermodynamic va</w:t>
      </w:r>
      <w:r>
        <w:t>l</w:t>
      </w:r>
      <w:r>
        <w:t xml:space="preserve">ues, each individual step was modeled and examined to determine favorability based on spontaneity.  </w:t>
      </w:r>
      <w:r w:rsidR="00B83A9B">
        <w:t>It was determined that the second rea</w:t>
      </w:r>
      <w:r w:rsidR="00B83A9B">
        <w:t>c</w:t>
      </w:r>
      <w:r w:rsidR="00B83A9B">
        <w:t>tion, E2, was more f</w:t>
      </w:r>
      <w:r w:rsidR="00B83A9B">
        <w:t>a</w:t>
      </w:r>
      <w:r w:rsidR="00B83A9B">
        <w:t>vorable due to having less dependence on temperature.</w:t>
      </w:r>
    </w:p>
    <w:p w14:paraId="42152CF7" w14:textId="5EFC8F79" w:rsidR="006351A4" w:rsidRDefault="00C816E5" w:rsidP="006351A4">
      <w:pPr>
        <w:keepNext/>
        <w:jc w:val="center"/>
      </w:pPr>
      <w:r w:rsidRPr="00532E41">
        <w:rPr>
          <w:rFonts w:ascii="Times New Roman" w:hAnsi="Times New Roman" w:cs="Times New Roman"/>
          <w:noProof/>
        </w:rPr>
        <w:drawing>
          <wp:inline distT="0" distB="0" distL="0" distR="0" wp14:anchorId="7DA79693" wp14:editId="630C24DF">
            <wp:extent cx="1688123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812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1A4" w:rsidRPr="002249D7">
        <w:rPr>
          <w:rFonts w:ascii="Times New Roman" w:hAnsi="Times New Roman" w:cs="Times New Roman"/>
          <w:noProof/>
        </w:rPr>
        <w:drawing>
          <wp:inline distT="0" distB="0" distL="0" distR="0" wp14:anchorId="1A1900DB" wp14:editId="4C429A9D">
            <wp:extent cx="1611419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141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54BA" w14:textId="13AE172D" w:rsidR="004A4FD1" w:rsidRDefault="006351A4" w:rsidP="006351A4">
      <w:pPr>
        <w:pStyle w:val="Caption"/>
        <w:ind w:firstLine="3240"/>
      </w:pPr>
      <w:r>
        <w:t xml:space="preserve">Mechanism </w:t>
      </w:r>
      <w:fldSimple w:instr=" SEQ Mechanism \* ARABIC ">
        <w:r>
          <w:rPr>
            <w:noProof/>
          </w:rPr>
          <w:t>1</w:t>
        </w:r>
      </w:fldSimple>
      <w:r>
        <w:tab/>
      </w:r>
      <w:r>
        <w:tab/>
        <w:t xml:space="preserve">Mechanism </w:t>
      </w:r>
      <w:fldSimple w:instr=" SEQ Mechanism \* ARABIC ">
        <w:r>
          <w:rPr>
            <w:noProof/>
          </w:rPr>
          <w:t>2</w:t>
        </w:r>
      </w:fldSimple>
    </w:p>
    <w:p w14:paraId="00A030D3" w14:textId="77777777" w:rsidR="00C816E5" w:rsidRDefault="00C816E5"/>
    <w:p w14:paraId="1C7DCC8C" w14:textId="77777777" w:rsidR="00C816E5" w:rsidRDefault="00C816E5"/>
    <w:p w14:paraId="64A13131" w14:textId="566561AA" w:rsidR="005E60C7" w:rsidRDefault="005E60C7" w:rsidP="006E2200">
      <w:pPr>
        <w:spacing w:line="480" w:lineRule="auto"/>
        <w:sectPr w:rsidR="005E60C7" w:rsidSect="00E82E77">
          <w:footerReference w:type="even" r:id="rId10"/>
          <w:footerReference w:type="default" r:id="rId11"/>
          <w:pgSz w:w="12240" w:h="15840"/>
          <w:pgMar w:top="1440" w:right="1080" w:bottom="1440" w:left="1080" w:header="720" w:footer="720" w:gutter="0"/>
          <w:cols w:space="720"/>
        </w:sectPr>
      </w:pPr>
    </w:p>
    <w:p w14:paraId="1A14E709" w14:textId="4A41C68E" w:rsidR="00A34F86" w:rsidRDefault="00A34F86" w:rsidP="00727D31">
      <w:pPr>
        <w:spacing w:line="480" w:lineRule="auto"/>
        <w:rPr>
          <w:b/>
        </w:rPr>
      </w:pPr>
      <w:r>
        <w:rPr>
          <w:b/>
        </w:rPr>
        <w:lastRenderedPageBreak/>
        <w:t>Introduction:</w:t>
      </w:r>
    </w:p>
    <w:p w14:paraId="5B60E6A4" w14:textId="7A97C13D" w:rsidR="00BB14F2" w:rsidRDefault="00493F54" w:rsidP="00FF6A6E">
      <w:pPr>
        <w:spacing w:line="480" w:lineRule="auto"/>
        <w:ind w:firstLine="720"/>
      </w:pPr>
      <w:r>
        <w:t xml:space="preserve">The Gaussian electronic structure program </w:t>
      </w:r>
      <w:r w:rsidR="0075324F">
        <w:t>can be used</w:t>
      </w:r>
      <w:r>
        <w:t xml:space="preserve"> for simula</w:t>
      </w:r>
      <w:r>
        <w:t>t</w:t>
      </w:r>
      <w:r>
        <w:t>ed</w:t>
      </w:r>
      <w:r w:rsidR="0075324F">
        <w:t xml:space="preserve"> analysis of chemical species, allowing comput</w:t>
      </w:r>
      <w:r w:rsidR="0075324F">
        <w:t>a</w:t>
      </w:r>
      <w:r w:rsidR="0075324F">
        <w:t>tion of thermodynamic values</w:t>
      </w:r>
      <w:r w:rsidR="008F6D1E">
        <w:t xml:space="preserve"> such as e</w:t>
      </w:r>
      <w:r w:rsidR="008F6D1E">
        <w:t>n</w:t>
      </w:r>
      <w:r w:rsidR="008F6D1E">
        <w:t xml:space="preserve">thalpy and entropy.  </w:t>
      </w:r>
      <w:r w:rsidR="007163E5">
        <w:t>These compu</w:t>
      </w:r>
      <w:r w:rsidR="00E57A0C">
        <w:t>tations can be pe</w:t>
      </w:r>
      <w:r w:rsidR="00E57A0C">
        <w:t>r</w:t>
      </w:r>
      <w:r w:rsidR="00E57A0C">
        <w:t>formed on the components of an alcoh</w:t>
      </w:r>
      <w:r w:rsidR="003C5A11">
        <w:t>ol d</w:t>
      </w:r>
      <w:r w:rsidR="003C5A11">
        <w:t>e</w:t>
      </w:r>
      <w:r w:rsidR="003C5A11">
        <w:t xml:space="preserve">hydration </w:t>
      </w:r>
      <w:r w:rsidR="00E47D34">
        <w:t>to determine if the reaction unde</w:t>
      </w:r>
      <w:r w:rsidR="00E47D34">
        <w:t>r</w:t>
      </w:r>
      <w:r w:rsidR="00E47D34">
        <w:t>goes an E1 or E2 mech</w:t>
      </w:r>
      <w:r w:rsidR="00BB14F2">
        <w:t>a</w:t>
      </w:r>
      <w:r w:rsidR="00BB14F2">
        <w:t>nism.</w:t>
      </w:r>
    </w:p>
    <w:p w14:paraId="69F0FC17" w14:textId="1AF272ED" w:rsidR="00BB14F2" w:rsidRDefault="00727D31" w:rsidP="00727D31">
      <w:pPr>
        <w:spacing w:line="480" w:lineRule="auto"/>
      </w:pPr>
      <w:r>
        <w:t>(1)</w:t>
      </w:r>
      <w:r>
        <w:tab/>
      </w:r>
      <w:r>
        <w:tab/>
      </w:r>
      <w:r w:rsidR="00BB14F2" w:rsidRPr="00BB14F2">
        <w:t>ΔG</w:t>
      </w:r>
      <w:r w:rsidR="00BB14F2" w:rsidRPr="00BB14F2">
        <w:rPr>
          <w:vertAlign w:val="superscript"/>
        </w:rPr>
        <w:t>o</w:t>
      </w:r>
      <w:r w:rsidR="00BB14F2">
        <w:rPr>
          <w:vertAlign w:val="superscript"/>
        </w:rPr>
        <w:t xml:space="preserve"> </w:t>
      </w:r>
      <w:r w:rsidR="00BB14F2" w:rsidRPr="00BB14F2">
        <w:t>=</w:t>
      </w:r>
      <w:r w:rsidR="00BB14F2">
        <w:t xml:space="preserve"> </w:t>
      </w:r>
      <w:r w:rsidR="00BB14F2" w:rsidRPr="00BB14F2">
        <w:t>ΔH</w:t>
      </w:r>
      <w:r w:rsidR="00BB14F2" w:rsidRPr="00BB14F2">
        <w:rPr>
          <w:vertAlign w:val="superscript"/>
        </w:rPr>
        <w:t>o</w:t>
      </w:r>
      <w:r w:rsidR="00BB14F2">
        <w:rPr>
          <w:vertAlign w:val="superscript"/>
        </w:rPr>
        <w:t xml:space="preserve"> </w:t>
      </w:r>
      <w:r w:rsidR="00BB14F2" w:rsidRPr="00BB14F2">
        <w:t>−</w:t>
      </w:r>
      <w:r w:rsidR="00BB14F2">
        <w:t xml:space="preserve"> </w:t>
      </w:r>
      <w:r w:rsidR="00BB14F2" w:rsidRPr="00BB14F2">
        <w:t>TΔS</w:t>
      </w:r>
      <w:r w:rsidR="00BB14F2" w:rsidRPr="00BB14F2">
        <w:rPr>
          <w:vertAlign w:val="superscript"/>
        </w:rPr>
        <w:t>o</w:t>
      </w:r>
    </w:p>
    <w:p w14:paraId="0504E11D" w14:textId="760DEE2D" w:rsidR="00166FB7" w:rsidRDefault="00D66225" w:rsidP="00166FB7">
      <w:pPr>
        <w:spacing w:line="480" w:lineRule="auto"/>
        <w:ind w:firstLine="720"/>
      </w:pPr>
      <w:r>
        <w:t>The overall reactions should have the same thermodynamics</w:t>
      </w:r>
      <w:r w:rsidR="00B30FF5">
        <w:t xml:space="preserve"> regardless of mech</w:t>
      </w:r>
      <w:r w:rsidR="00B30FF5">
        <w:t>a</w:t>
      </w:r>
      <w:r w:rsidR="00B30FF5">
        <w:lastRenderedPageBreak/>
        <w:t>nism</w:t>
      </w:r>
      <w:r>
        <w:t>, so the likely elimina</w:t>
      </w:r>
      <w:r w:rsidR="00B30FF5">
        <w:t>tion will be verified by analy</w:t>
      </w:r>
      <w:r w:rsidR="00B30FF5">
        <w:t>z</w:t>
      </w:r>
      <w:r w:rsidR="00B30FF5">
        <w:t>ing the different</w:t>
      </w:r>
      <w:r w:rsidR="009B7651">
        <w:t xml:space="preserve"> steps involved with each one.  The likeliness of the mec</w:t>
      </w:r>
      <w:r w:rsidR="009B7651">
        <w:t>h</w:t>
      </w:r>
      <w:r w:rsidR="009B7651">
        <w:t>anism will be based on the spontaneity of the rea</w:t>
      </w:r>
      <w:r w:rsidR="009B7651">
        <w:t>c</w:t>
      </w:r>
      <w:r w:rsidR="009B7651">
        <w:t xml:space="preserve">tions, which is defined by the </w:t>
      </w:r>
      <w:r w:rsidR="009B7651" w:rsidRPr="00BB14F2">
        <w:t>ΔG</w:t>
      </w:r>
      <w:r w:rsidR="009B7651">
        <w:t xml:space="preserve"> value.  If negative the reaction is spontaneous, if pos</w:t>
      </w:r>
      <w:r w:rsidR="009B7651">
        <w:t>i</w:t>
      </w:r>
      <w:r w:rsidR="009B7651">
        <w:t>tive the reaction is not spontan</w:t>
      </w:r>
      <w:r w:rsidR="009B7651">
        <w:t>e</w:t>
      </w:r>
      <w:r w:rsidR="009B7651">
        <w:t xml:space="preserve">ous.  </w:t>
      </w:r>
    </w:p>
    <w:p w14:paraId="1B40249E" w14:textId="3EDD9EE4" w:rsidR="00B6720F" w:rsidRPr="00CC3CC3" w:rsidRDefault="00E47D34" w:rsidP="00CC3CC3">
      <w:pPr>
        <w:spacing w:line="480" w:lineRule="auto"/>
        <w:ind w:firstLine="720"/>
      </w:pPr>
      <w:r>
        <w:t>To ensure accurate values and eff</w:t>
      </w:r>
      <w:r>
        <w:t>i</w:t>
      </w:r>
      <w:r>
        <w:t>cient use of time, the computations will be performed by building up data sets star</w:t>
      </w:r>
      <w:r>
        <w:t>t</w:t>
      </w:r>
      <w:r>
        <w:t>ing with 3-21G, 6-31G to 6-311G</w:t>
      </w:r>
      <w:r w:rsidR="00BB14F2">
        <w:t>.</w:t>
      </w:r>
      <w:r w:rsidR="00851C8B">
        <w:t xml:space="preserve"> </w:t>
      </w:r>
    </w:p>
    <w:p w14:paraId="64CD298C" w14:textId="77777777" w:rsidR="00587C89" w:rsidRDefault="00587C89" w:rsidP="00727D31">
      <w:pPr>
        <w:spacing w:line="480" w:lineRule="auto"/>
        <w:rPr>
          <w:b/>
        </w:rPr>
      </w:pPr>
    </w:p>
    <w:p w14:paraId="302A45C5" w14:textId="1727958E" w:rsidR="006E2200" w:rsidRPr="00462DCE" w:rsidRDefault="006E2200" w:rsidP="00727D31">
      <w:pPr>
        <w:spacing w:line="480" w:lineRule="auto"/>
        <w:rPr>
          <w:b/>
        </w:rPr>
      </w:pPr>
      <w:r w:rsidRPr="00462DCE">
        <w:rPr>
          <w:b/>
        </w:rPr>
        <w:lastRenderedPageBreak/>
        <w:t>Computational Details:</w:t>
      </w:r>
    </w:p>
    <w:p w14:paraId="29DE0D11" w14:textId="3368AC29" w:rsidR="005D5C38" w:rsidRDefault="00825944" w:rsidP="00FD437E">
      <w:pPr>
        <w:spacing w:line="480" w:lineRule="auto"/>
        <w:ind w:firstLine="720"/>
      </w:pPr>
      <w:r>
        <w:t xml:space="preserve">Using Gaussian, models of each </w:t>
      </w:r>
      <w:r w:rsidR="00462DCE">
        <w:t>mol</w:t>
      </w:r>
      <w:r w:rsidR="00462DCE">
        <w:t>e</w:t>
      </w:r>
      <w:r w:rsidR="00462DCE">
        <w:t>cule</w:t>
      </w:r>
      <w:r>
        <w:t xml:space="preserve"> in the reactions were created and an</w:t>
      </w:r>
      <w:r>
        <w:t>a</w:t>
      </w:r>
      <w:r>
        <w:t xml:space="preserve">lyzed to acquire thermodynamic </w:t>
      </w:r>
      <w:r w:rsidR="00462DCE">
        <w:t>values. Each molecule was opt</w:t>
      </w:r>
      <w:r w:rsidR="00462DCE">
        <w:t>i</w:t>
      </w:r>
      <w:r w:rsidR="00462DCE">
        <w:t>mized using the Hartree-Fock method with</w:t>
      </w:r>
      <w:r w:rsidR="00462DCE" w:rsidRPr="00462DCE">
        <w:t xml:space="preserve"> </w:t>
      </w:r>
      <w:r w:rsidR="00462DCE">
        <w:t>the 3-21G basis set.  With this foundation, energy calculations were performed using the DFT method with the 3-21G basis set.  The basis sets were then co</w:t>
      </w:r>
      <w:r w:rsidR="00462DCE">
        <w:t>m</w:t>
      </w:r>
      <w:r w:rsidR="00462DCE">
        <w:t>pounded and built up going from 3-21G to 6-31G and ult</w:t>
      </w:r>
      <w:r w:rsidR="00462DCE">
        <w:t>i</w:t>
      </w:r>
      <w:r w:rsidR="00462DCE">
        <w:t>mately 6-311G.  Once the final energy calculation was completed, an Opt+Freq calculation was performed u</w:t>
      </w:r>
      <w:r w:rsidR="00462DCE">
        <w:t>s</w:t>
      </w:r>
      <w:r w:rsidR="00462DCE">
        <w:t>ing DFT with the 6-311G basis set.  The therm</w:t>
      </w:r>
      <w:r w:rsidR="00462DCE">
        <w:t>o</w:t>
      </w:r>
      <w:r w:rsidR="00462DCE">
        <w:t>dynamics of each of the steps were then ca</w:t>
      </w:r>
      <w:r w:rsidR="00462DCE">
        <w:t>l</w:t>
      </w:r>
      <w:r w:rsidR="00462DCE">
        <w:t>culated using the [products – reactants] fo</w:t>
      </w:r>
      <w:r w:rsidR="00462DCE">
        <w:t>r</w:t>
      </w:r>
      <w:r w:rsidR="00462DCE">
        <w:t>mula for eac</w:t>
      </w:r>
      <w:r w:rsidR="003A3831">
        <w:t>h measurement.</w:t>
      </w:r>
      <w:r w:rsidR="00B97AA7">
        <w:t xml:space="preserve">  The models were analyzed at 298 K and with default so</w:t>
      </w:r>
      <w:r w:rsidR="00B97AA7">
        <w:t>l</w:t>
      </w:r>
      <w:r w:rsidR="00B97AA7">
        <w:t>vent settings.</w:t>
      </w:r>
    </w:p>
    <w:p w14:paraId="38424A94" w14:textId="77777777" w:rsidR="005D5C38" w:rsidRPr="005D5C38" w:rsidRDefault="005D5C38" w:rsidP="00727D31">
      <w:pPr>
        <w:spacing w:line="480" w:lineRule="auto"/>
        <w:rPr>
          <w:b/>
        </w:rPr>
      </w:pPr>
      <w:r w:rsidRPr="005D5C38">
        <w:rPr>
          <w:b/>
        </w:rPr>
        <w:t>Results and Discussion:</w:t>
      </w:r>
    </w:p>
    <w:p w14:paraId="567CB408" w14:textId="6222EF97" w:rsidR="00B6720F" w:rsidRDefault="00CB2832" w:rsidP="006E2200">
      <w:pPr>
        <w:spacing w:line="480" w:lineRule="auto"/>
      </w:pPr>
      <w:r>
        <w:tab/>
      </w:r>
      <w:r w:rsidR="00B97AA7">
        <w:t xml:space="preserve">For </w:t>
      </w:r>
      <w:r w:rsidR="001C3BC9">
        <w:t>the first mechanism</w:t>
      </w:r>
      <w:r w:rsidR="00B97AA7">
        <w:t xml:space="preserve">, the results </w:t>
      </w:r>
      <w:r w:rsidR="001C3BC9">
        <w:t>in Figure 1 show that S</w:t>
      </w:r>
      <w:r w:rsidR="00B97AA7">
        <w:t xml:space="preserve">tep 1 is not spontaneous </w:t>
      </w:r>
      <w:r w:rsidR="001C3BC9">
        <w:t>while S</w:t>
      </w:r>
      <w:r w:rsidR="00B97AA7">
        <w:t>teps</w:t>
      </w:r>
      <w:r w:rsidR="00BC1D23">
        <w:t xml:space="preserve"> 2 and 3 are spontaneous.  </w:t>
      </w:r>
      <w:r w:rsidR="00B97AA7">
        <w:t xml:space="preserve">The first two steps are entropically </w:t>
      </w:r>
      <w:r w:rsidR="00316B4B">
        <w:t>driven as temperature increases, while the third step is enthalpically driven.</w:t>
      </w:r>
      <w:r w:rsidR="00B97AA7">
        <w:t xml:space="preserve">  </w:t>
      </w:r>
      <w:r w:rsidR="001C3BC9">
        <w:t>It should be noted that 1 and 2 require high temperatures to mai</w:t>
      </w:r>
      <w:r w:rsidR="001C3BC9">
        <w:t>n</w:t>
      </w:r>
      <w:r w:rsidR="001C3BC9">
        <w:t>tain spontaneity, while 3 requires low te</w:t>
      </w:r>
      <w:r w:rsidR="001C3BC9">
        <w:t>m</w:t>
      </w:r>
      <w:r w:rsidR="001C3BC9">
        <w:t xml:space="preserve">peratures.  </w:t>
      </w:r>
    </w:p>
    <w:p w14:paraId="30FF56EB" w14:textId="4DAE1BA7" w:rsidR="00283C33" w:rsidRDefault="001C3BC9" w:rsidP="006E2200">
      <w:pPr>
        <w:spacing w:line="480" w:lineRule="auto"/>
      </w:pPr>
      <w:r>
        <w:tab/>
        <w:t xml:space="preserve">For the second mechanism, </w:t>
      </w:r>
      <w:r w:rsidR="00BC1D23">
        <w:t xml:space="preserve">the data in Figure 2 show that </w:t>
      </w:r>
      <w:r>
        <w:t>Step 1 is only spontan</w:t>
      </w:r>
      <w:r>
        <w:t>e</w:t>
      </w:r>
      <w:r>
        <w:t>ous when temperatures are high, as in mec</w:t>
      </w:r>
      <w:r>
        <w:t>h</w:t>
      </w:r>
      <w:r>
        <w:t xml:space="preserve">anism 1, however Step 2 is negative at all temperatures. </w:t>
      </w:r>
      <w:r w:rsidR="005C0B29">
        <w:t xml:space="preserve"> </w:t>
      </w:r>
      <w:r w:rsidR="00316B4B">
        <w:t>Step 1 is once again entrop</w:t>
      </w:r>
      <w:r w:rsidR="00316B4B">
        <w:t>i</w:t>
      </w:r>
      <w:r w:rsidR="00316B4B">
        <w:t>cally dri</w:t>
      </w:r>
      <w:r w:rsidR="00316B4B">
        <w:t>v</w:t>
      </w:r>
      <w:r w:rsidR="00316B4B">
        <w:t xml:space="preserve">en, due to being the same Step as the first mechanism, and Step 2 is </w:t>
      </w:r>
      <w:r w:rsidR="001E299F">
        <w:t>favored by both the entropy and enthalpy terms.</w:t>
      </w:r>
    </w:p>
    <w:p w14:paraId="35587356" w14:textId="77777777" w:rsidR="00AF02E5" w:rsidRPr="00AF02E5" w:rsidRDefault="00AF02E5" w:rsidP="00AF02E5">
      <w:pPr>
        <w:rPr>
          <w:b/>
        </w:rPr>
      </w:pPr>
      <w:r w:rsidRPr="00AF02E5">
        <w:rPr>
          <w:b/>
        </w:rPr>
        <w:t>(1)</w:t>
      </w:r>
    </w:p>
    <w:tbl>
      <w:tblPr>
        <w:tblW w:w="5374" w:type="dxa"/>
        <w:jc w:val="center"/>
        <w:tblInd w:w="-2921" w:type="dxa"/>
        <w:tblLook w:val="04A0" w:firstRow="1" w:lastRow="0" w:firstColumn="1" w:lastColumn="0" w:noHBand="0" w:noVBand="1"/>
      </w:tblPr>
      <w:tblGrid>
        <w:gridCol w:w="1458"/>
        <w:gridCol w:w="1335"/>
        <w:gridCol w:w="1311"/>
        <w:gridCol w:w="1270"/>
      </w:tblGrid>
      <w:tr w:rsidR="00AF02E5" w:rsidRPr="00CB2832" w14:paraId="0009F88F" w14:textId="77777777" w:rsidTr="00B97857">
        <w:trPr>
          <w:trHeight w:val="404"/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D4D87AE" w14:textId="77777777" w:rsidR="00AF02E5" w:rsidRPr="00CB2832" w:rsidRDefault="00AF02E5" w:rsidP="00B9785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CB2832">
              <w:rPr>
                <w:rFonts w:ascii="Calibri" w:eastAsia="Times New Roman" w:hAnsi="Calibri" w:cs="Times New Roman"/>
                <w:b/>
                <w:bCs/>
                <w:color w:val="FFFFFF"/>
              </w:rPr>
              <w:t>Mech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anism</w:t>
            </w:r>
            <w:r w:rsidRPr="00CB2832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25AE518" w14:textId="77777777" w:rsidR="00AF02E5" w:rsidRPr="00D332C4" w:rsidRDefault="00AF02E5" w:rsidP="00B9785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B14F2">
              <w:t>Δ</w:t>
            </w:r>
            <w:r w:rsidRPr="00CB2832">
              <w:rPr>
                <w:rFonts w:ascii="Calibri" w:eastAsia="Times New Roman" w:hAnsi="Calibri" w:cs="Times New Roman"/>
                <w:b/>
                <w:bCs/>
                <w:color w:val="FFFFFF"/>
              </w:rPr>
              <w:t>H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4139D1D" w14:textId="77777777" w:rsidR="00AF02E5" w:rsidRPr="00CB2832" w:rsidRDefault="00AF02E5" w:rsidP="00B9785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B14F2">
              <w:t>Δ</w:t>
            </w:r>
            <w:r w:rsidRPr="00CB2832">
              <w:rPr>
                <w:rFonts w:ascii="Calibri" w:eastAsia="Times New Roman" w:hAnsi="Calibri" w:cs="Times New Roman"/>
                <w:b/>
                <w:bCs/>
                <w:color w:val="FFFFFF"/>
              </w:rPr>
              <w:t>S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F7F41BE" w14:textId="77777777" w:rsidR="00AF02E5" w:rsidRPr="00D332C4" w:rsidRDefault="00AF02E5" w:rsidP="00B9785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B14F2">
              <w:t>Δ</w:t>
            </w:r>
            <w:r w:rsidRPr="00CB2832">
              <w:rPr>
                <w:rFonts w:ascii="Calibri" w:eastAsia="Times New Roman" w:hAnsi="Calibri" w:cs="Times New Roman"/>
                <w:b/>
                <w:bCs/>
                <w:color w:val="FFFFFF"/>
              </w:rPr>
              <w:t>G</w:t>
            </w:r>
          </w:p>
        </w:tc>
      </w:tr>
      <w:tr w:rsidR="00AF02E5" w:rsidRPr="00CB2832" w14:paraId="2E886378" w14:textId="77777777" w:rsidTr="00B97857">
        <w:trPr>
          <w:trHeight w:val="530"/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9913408" w14:textId="77777777" w:rsidR="00AF02E5" w:rsidRPr="00CB2832" w:rsidRDefault="00AF02E5" w:rsidP="00B978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832">
              <w:rPr>
                <w:rFonts w:ascii="Calibri" w:eastAsia="Times New Roman" w:hAnsi="Calibri" w:cs="Times New Roman"/>
                <w:color w:val="000000"/>
              </w:rPr>
              <w:t>Step 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285E594" w14:textId="77777777" w:rsidR="00AF02E5" w:rsidRPr="00CB2832" w:rsidRDefault="00AF02E5" w:rsidP="00B978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0.9488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5C561FD" w14:textId="77777777" w:rsidR="00AF02E5" w:rsidRPr="00CB2832" w:rsidRDefault="00AF02E5" w:rsidP="00B978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832">
              <w:rPr>
                <w:rFonts w:ascii="Calibri" w:eastAsia="Times New Roman" w:hAnsi="Calibri" w:cs="Times New Roman"/>
                <w:color w:val="000000"/>
              </w:rPr>
              <w:t>0.000481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04CD4B1" w14:textId="77777777" w:rsidR="00AF02E5" w:rsidRPr="00CB2832" w:rsidRDefault="00AF02E5" w:rsidP="00B978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0.8051</w:t>
            </w:r>
          </w:p>
        </w:tc>
      </w:tr>
      <w:tr w:rsidR="00AF02E5" w:rsidRPr="00CB2832" w14:paraId="440AC02D" w14:textId="77777777" w:rsidTr="00B97857">
        <w:trPr>
          <w:trHeight w:val="512"/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CABEA" w14:textId="77777777" w:rsidR="00AF02E5" w:rsidRPr="00CB2832" w:rsidRDefault="00AF02E5" w:rsidP="00B978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832">
              <w:rPr>
                <w:rFonts w:ascii="Calibri" w:eastAsia="Times New Roman" w:hAnsi="Calibri" w:cs="Times New Roman"/>
                <w:color w:val="000000"/>
              </w:rPr>
              <w:t>Step 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C0820" w14:textId="77777777" w:rsidR="00AF02E5" w:rsidRPr="00CB2832" w:rsidRDefault="00AF02E5" w:rsidP="00B978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9.258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07E7A" w14:textId="77777777" w:rsidR="00AF02E5" w:rsidRPr="00CB2832" w:rsidRDefault="00AF02E5" w:rsidP="00B978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0.0406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F9C5" w14:textId="77777777" w:rsidR="00AF02E5" w:rsidRPr="00CB2832" w:rsidRDefault="00AF02E5" w:rsidP="00B978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-2.849</w:t>
            </w:r>
          </w:p>
        </w:tc>
      </w:tr>
      <w:tr w:rsidR="00AF02E5" w:rsidRPr="00CB2832" w14:paraId="287DB24F" w14:textId="77777777" w:rsidTr="00B97857">
        <w:trPr>
          <w:trHeight w:val="300"/>
          <w:jc w:val="center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B7B4E5E" w14:textId="77777777" w:rsidR="00AF02E5" w:rsidRPr="00CB2832" w:rsidRDefault="00AF02E5" w:rsidP="00B978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832">
              <w:rPr>
                <w:rFonts w:ascii="Calibri" w:eastAsia="Times New Roman" w:hAnsi="Calibri" w:cs="Times New Roman"/>
                <w:color w:val="000000"/>
              </w:rPr>
              <w:t>Step 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47A6C0C" w14:textId="77777777" w:rsidR="00AF02E5" w:rsidRPr="00CB2832" w:rsidRDefault="00AF02E5" w:rsidP="00B978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-742.037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7900AF6" w14:textId="77777777" w:rsidR="00AF02E5" w:rsidRPr="00CB2832" w:rsidRDefault="00AF02E5" w:rsidP="00B978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-0.00088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C0149ED" w14:textId="77777777" w:rsidR="00AF02E5" w:rsidRPr="00CB2832" w:rsidRDefault="00AF02E5" w:rsidP="00B978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-741.77</w:t>
            </w:r>
          </w:p>
        </w:tc>
      </w:tr>
    </w:tbl>
    <w:p w14:paraId="638AAE9E" w14:textId="77777777" w:rsidR="00AF02E5" w:rsidRDefault="00AF02E5" w:rsidP="00AF02E5"/>
    <w:p w14:paraId="792E56CA" w14:textId="77777777" w:rsidR="00AF02E5" w:rsidRPr="00AF02E5" w:rsidRDefault="00AF02E5" w:rsidP="00AF02E5">
      <w:pPr>
        <w:rPr>
          <w:b/>
        </w:rPr>
      </w:pPr>
      <w:r w:rsidRPr="00AF02E5">
        <w:rPr>
          <w:b/>
        </w:rPr>
        <w:t>(2)</w:t>
      </w:r>
    </w:p>
    <w:tbl>
      <w:tblPr>
        <w:tblW w:w="5355" w:type="dxa"/>
        <w:jc w:val="center"/>
        <w:tblInd w:w="2549" w:type="dxa"/>
        <w:tblLook w:val="04A0" w:firstRow="1" w:lastRow="0" w:firstColumn="1" w:lastColumn="0" w:noHBand="0" w:noVBand="1"/>
      </w:tblPr>
      <w:tblGrid>
        <w:gridCol w:w="1486"/>
        <w:gridCol w:w="1292"/>
        <w:gridCol w:w="1307"/>
        <w:gridCol w:w="1270"/>
      </w:tblGrid>
      <w:tr w:rsidR="00AF02E5" w:rsidRPr="00CB2832" w14:paraId="0B0885BE" w14:textId="77777777" w:rsidTr="00B97857">
        <w:trPr>
          <w:trHeight w:val="300"/>
          <w:jc w:val="center"/>
        </w:trPr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1C47846" w14:textId="77777777" w:rsidR="00AF02E5" w:rsidRPr="00CB2832" w:rsidRDefault="00AF02E5" w:rsidP="00B9785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CB2832">
              <w:rPr>
                <w:rFonts w:ascii="Calibri" w:eastAsia="Times New Roman" w:hAnsi="Calibri" w:cs="Times New Roman"/>
                <w:b/>
                <w:bCs/>
                <w:color w:val="FFFFFF"/>
              </w:rPr>
              <w:t>Mech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anism</w:t>
            </w:r>
            <w:r w:rsidRPr="00CB2832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946D6B1" w14:textId="77777777" w:rsidR="00AF02E5" w:rsidRPr="00CB2832" w:rsidRDefault="00AF02E5" w:rsidP="00B9785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B14F2">
              <w:t>Δ</w:t>
            </w:r>
            <w:r w:rsidRPr="00CB2832">
              <w:rPr>
                <w:rFonts w:ascii="Calibri" w:eastAsia="Times New Roman" w:hAnsi="Calibri" w:cs="Times New Roman"/>
                <w:b/>
                <w:bCs/>
                <w:color w:val="FFFFFF"/>
              </w:rPr>
              <w:t>H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DA72628" w14:textId="77777777" w:rsidR="00AF02E5" w:rsidRPr="00CB2832" w:rsidRDefault="00AF02E5" w:rsidP="00B9785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B14F2">
              <w:t>Δ</w:t>
            </w:r>
            <w:r w:rsidRPr="00CB2832">
              <w:rPr>
                <w:rFonts w:ascii="Calibri" w:eastAsia="Times New Roman" w:hAnsi="Calibri" w:cs="Times New Roman"/>
                <w:b/>
                <w:bCs/>
                <w:color w:val="FFFFFF"/>
              </w:rPr>
              <w:t>S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06FC5EA" w14:textId="77777777" w:rsidR="00AF02E5" w:rsidRPr="00CB2832" w:rsidRDefault="00AF02E5" w:rsidP="00B9785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B14F2">
              <w:t>Δ</w:t>
            </w:r>
            <w:r w:rsidRPr="00CB2832">
              <w:rPr>
                <w:rFonts w:ascii="Calibri" w:eastAsia="Times New Roman" w:hAnsi="Calibri" w:cs="Times New Roman"/>
                <w:b/>
                <w:bCs/>
                <w:color w:val="FFFFFF"/>
              </w:rPr>
              <w:t>G</w:t>
            </w:r>
          </w:p>
        </w:tc>
      </w:tr>
      <w:tr w:rsidR="00AF02E5" w:rsidRPr="00CB2832" w14:paraId="71034FEA" w14:textId="77777777" w:rsidTr="00B97857">
        <w:trPr>
          <w:trHeight w:val="300"/>
          <w:jc w:val="center"/>
        </w:trPr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center"/>
            <w:hideMark/>
          </w:tcPr>
          <w:p w14:paraId="60FF7482" w14:textId="77777777" w:rsidR="00AF02E5" w:rsidRPr="00CB2832" w:rsidRDefault="00AF02E5" w:rsidP="00B978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832">
              <w:rPr>
                <w:rFonts w:ascii="Calibri" w:eastAsia="Times New Roman" w:hAnsi="Calibri" w:cs="Times New Roman"/>
                <w:color w:val="000000"/>
              </w:rPr>
              <w:t>Step 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center"/>
            <w:hideMark/>
          </w:tcPr>
          <w:p w14:paraId="432578B1" w14:textId="77777777" w:rsidR="00AF02E5" w:rsidRPr="00CB2832" w:rsidRDefault="00AF02E5" w:rsidP="00B978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832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.9488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center"/>
            <w:hideMark/>
          </w:tcPr>
          <w:p w14:paraId="0F93F37F" w14:textId="77777777" w:rsidR="00AF02E5" w:rsidRPr="00CB2832" w:rsidRDefault="00AF02E5" w:rsidP="00B978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832">
              <w:rPr>
                <w:rFonts w:ascii="Calibri" w:eastAsia="Times New Roman" w:hAnsi="Calibri" w:cs="Times New Roman"/>
                <w:color w:val="000000"/>
              </w:rPr>
              <w:t>0.000481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6A6A6" w:fill="A6A6A6"/>
            <w:noWrap/>
            <w:vAlign w:val="center"/>
            <w:hideMark/>
          </w:tcPr>
          <w:p w14:paraId="39F116C5" w14:textId="77777777" w:rsidR="00AF02E5" w:rsidRPr="00CB2832" w:rsidRDefault="00AF02E5" w:rsidP="00B978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0.8051</w:t>
            </w:r>
          </w:p>
        </w:tc>
      </w:tr>
      <w:tr w:rsidR="00AF02E5" w:rsidRPr="00CB2832" w14:paraId="79736387" w14:textId="77777777" w:rsidTr="00B97857">
        <w:trPr>
          <w:trHeight w:val="300"/>
          <w:jc w:val="center"/>
        </w:trPr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71DC7BC" w14:textId="77777777" w:rsidR="00AF02E5" w:rsidRPr="00CB2832" w:rsidRDefault="00AF02E5" w:rsidP="00B978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832">
              <w:rPr>
                <w:rFonts w:ascii="Calibri" w:eastAsia="Times New Roman" w:hAnsi="Calibri" w:cs="Times New Roman"/>
                <w:color w:val="000000"/>
              </w:rPr>
              <w:t>Step 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C84375C" w14:textId="77777777" w:rsidR="00AF02E5" w:rsidRPr="00CB2832" w:rsidRDefault="00AF02E5" w:rsidP="00B978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-732.778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74CA9E0" w14:textId="77777777" w:rsidR="00AF02E5" w:rsidRPr="00CB2832" w:rsidRDefault="00AF02E5" w:rsidP="00B978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0.0397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31DCDF8" w14:textId="77777777" w:rsidR="00AF02E5" w:rsidRPr="00CB2832" w:rsidRDefault="00AF02E5" w:rsidP="00B9785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-744.623</w:t>
            </w:r>
          </w:p>
        </w:tc>
      </w:tr>
    </w:tbl>
    <w:p w14:paraId="5ABE3A56" w14:textId="77777777" w:rsidR="00AF02E5" w:rsidRDefault="00AF02E5" w:rsidP="00AF02E5">
      <w:pPr>
        <w:jc w:val="center"/>
        <w:rPr>
          <w:b/>
        </w:rPr>
      </w:pPr>
    </w:p>
    <w:p w14:paraId="14344C1B" w14:textId="2DBFCDC8" w:rsidR="00AF02E5" w:rsidRPr="00587C89" w:rsidRDefault="00AF02E5" w:rsidP="00587C89">
      <w:pPr>
        <w:jc w:val="center"/>
        <w:rPr>
          <w:sz w:val="22"/>
          <w:szCs w:val="22"/>
        </w:rPr>
      </w:pPr>
      <w:r w:rsidRPr="001B593C">
        <w:rPr>
          <w:b/>
          <w:sz w:val="22"/>
          <w:szCs w:val="22"/>
        </w:rPr>
        <w:t>Figures 1 &amp; 2</w:t>
      </w:r>
      <w:r w:rsidRPr="001B593C">
        <w:rPr>
          <w:sz w:val="22"/>
          <w:szCs w:val="22"/>
        </w:rPr>
        <w:t>.  Thermodynamic values of Mec</w:t>
      </w:r>
      <w:r w:rsidRPr="001B593C">
        <w:rPr>
          <w:sz w:val="22"/>
          <w:szCs w:val="22"/>
        </w:rPr>
        <w:t>h</w:t>
      </w:r>
      <w:r w:rsidRPr="001B593C">
        <w:rPr>
          <w:sz w:val="22"/>
          <w:szCs w:val="22"/>
        </w:rPr>
        <w:t>anisms 1 and 2 as obtained from Gaus</w:t>
      </w:r>
      <w:r w:rsidRPr="001B593C">
        <w:rPr>
          <w:sz w:val="22"/>
          <w:szCs w:val="22"/>
        </w:rPr>
        <w:t>s</w:t>
      </w:r>
      <w:r w:rsidRPr="001B593C">
        <w:rPr>
          <w:sz w:val="22"/>
          <w:szCs w:val="22"/>
        </w:rPr>
        <w:t>ian.  These values were ultimately collected after compiling calculations while building up basis sets in Gaus</w:t>
      </w:r>
      <w:r w:rsidRPr="001B593C">
        <w:rPr>
          <w:sz w:val="22"/>
          <w:szCs w:val="22"/>
        </w:rPr>
        <w:t>s</w:t>
      </w:r>
      <w:r w:rsidRPr="001B593C">
        <w:rPr>
          <w:sz w:val="22"/>
          <w:szCs w:val="22"/>
        </w:rPr>
        <w:t>ian 16.  Values are in kcal*mol</w:t>
      </w:r>
      <w:r w:rsidRPr="001B593C">
        <w:rPr>
          <w:sz w:val="22"/>
          <w:szCs w:val="22"/>
          <w:vertAlign w:val="superscript"/>
        </w:rPr>
        <w:t>-1</w:t>
      </w:r>
      <w:r w:rsidRPr="001B593C">
        <w:rPr>
          <w:sz w:val="22"/>
          <w:szCs w:val="22"/>
        </w:rPr>
        <w:t xml:space="preserve"> (Δ</w:t>
      </w:r>
      <w:r w:rsidRPr="001B593C">
        <w:rPr>
          <w:rFonts w:ascii="Calibri" w:eastAsia="Times New Roman" w:hAnsi="Calibri" w:cs="Times New Roman"/>
          <w:bCs/>
          <w:sz w:val="22"/>
          <w:szCs w:val="22"/>
        </w:rPr>
        <w:t xml:space="preserve">H and </w:t>
      </w:r>
      <w:r w:rsidRPr="001B593C">
        <w:rPr>
          <w:sz w:val="22"/>
          <w:szCs w:val="22"/>
        </w:rPr>
        <w:t>Δ</w:t>
      </w:r>
      <w:r w:rsidRPr="001B593C">
        <w:rPr>
          <w:rFonts w:ascii="Calibri" w:eastAsia="Times New Roman" w:hAnsi="Calibri" w:cs="Times New Roman"/>
          <w:bCs/>
          <w:sz w:val="22"/>
          <w:szCs w:val="22"/>
        </w:rPr>
        <w:t>G) and kcal*mol</w:t>
      </w:r>
      <w:r w:rsidRPr="001B593C">
        <w:rPr>
          <w:rFonts w:ascii="Calibri" w:eastAsia="Times New Roman" w:hAnsi="Calibri" w:cs="Times New Roman"/>
          <w:bCs/>
          <w:sz w:val="22"/>
          <w:szCs w:val="22"/>
          <w:vertAlign w:val="superscript"/>
        </w:rPr>
        <w:t>-1</w:t>
      </w:r>
      <w:r w:rsidRPr="001B593C">
        <w:rPr>
          <w:rFonts w:ascii="Calibri" w:eastAsia="Times New Roman" w:hAnsi="Calibri" w:cs="Times New Roman"/>
          <w:bCs/>
          <w:sz w:val="22"/>
          <w:szCs w:val="22"/>
        </w:rPr>
        <w:t>K</w:t>
      </w:r>
      <w:r w:rsidRPr="001B593C">
        <w:rPr>
          <w:rFonts w:ascii="Calibri" w:eastAsia="Times New Roman" w:hAnsi="Calibri" w:cs="Times New Roman"/>
          <w:bCs/>
          <w:sz w:val="22"/>
          <w:szCs w:val="22"/>
          <w:vertAlign w:val="superscript"/>
        </w:rPr>
        <w:t>-1</w:t>
      </w:r>
      <w:r w:rsidRPr="001B593C">
        <w:rPr>
          <w:rFonts w:ascii="Calibri" w:eastAsia="Times New Roman" w:hAnsi="Calibri" w:cs="Times New Roman"/>
          <w:bCs/>
          <w:sz w:val="22"/>
          <w:szCs w:val="22"/>
        </w:rPr>
        <w:t xml:space="preserve"> (</w:t>
      </w:r>
      <w:r w:rsidRPr="001B593C">
        <w:rPr>
          <w:sz w:val="22"/>
          <w:szCs w:val="22"/>
        </w:rPr>
        <w:t>Δ</w:t>
      </w:r>
      <w:r w:rsidRPr="001B593C">
        <w:rPr>
          <w:rFonts w:ascii="Calibri" w:eastAsia="Times New Roman" w:hAnsi="Calibri" w:cs="Times New Roman"/>
          <w:bCs/>
          <w:sz w:val="22"/>
          <w:szCs w:val="22"/>
        </w:rPr>
        <w:t>S)</w:t>
      </w:r>
      <w:bookmarkStart w:id="0" w:name="_GoBack"/>
      <w:bookmarkEnd w:id="0"/>
    </w:p>
    <w:p w14:paraId="546986A8" w14:textId="77777777" w:rsidR="00220431" w:rsidRDefault="00283C33" w:rsidP="00F635DE">
      <w:pPr>
        <w:spacing w:line="480" w:lineRule="auto"/>
      </w:pPr>
      <w:r>
        <w:tab/>
        <w:t>The changes in thermodynamic values of the overall rea</w:t>
      </w:r>
      <w:r>
        <w:t>c</w:t>
      </w:r>
      <w:r>
        <w:t>tions of each mechanism are not included in the tables.  They were omitted because they produce equivalent values due to the starting reactants and final pro</w:t>
      </w:r>
      <w:r>
        <w:t>d</w:t>
      </w:r>
      <w:r>
        <w:t xml:space="preserve">ucts being identical in both.  </w:t>
      </w:r>
    </w:p>
    <w:p w14:paraId="24BCD35B" w14:textId="77777777" w:rsidR="00CF6DB6" w:rsidRDefault="005C0B29" w:rsidP="006E2200">
      <w:pPr>
        <w:spacing w:line="480" w:lineRule="auto"/>
      </w:pPr>
      <w:r>
        <w:tab/>
        <w:t>When comparing the two mech</w:t>
      </w:r>
      <w:r>
        <w:t>a</w:t>
      </w:r>
      <w:r>
        <w:t>nisms, the data suggests that mech</w:t>
      </w:r>
      <w:r>
        <w:t>a</w:t>
      </w:r>
      <w:r>
        <w:t xml:space="preserve">nism 2 is more thermodynamically favored.  While mechanism 1 has two spontaneous steps and one non-spontaneous step, the spontaneity is dependent on the temperature the reaction occurs at.  If the temperature were reduced, the first two steps would become non-spontaneous.  Mechanism 2 is less dependent on temperature because it’s Step 2 is always spontaneous due to the negative </w:t>
      </w:r>
      <w:r w:rsidRPr="00BB14F2">
        <w:t>Δ</w:t>
      </w:r>
      <w:r>
        <w:t xml:space="preserve">H and </w:t>
      </w:r>
      <w:r w:rsidRPr="00BB14F2">
        <w:t>Δ</w:t>
      </w:r>
      <w:r>
        <w:t xml:space="preserve">S values.  </w:t>
      </w:r>
    </w:p>
    <w:p w14:paraId="1D63A447" w14:textId="77777777" w:rsidR="00CF6DB6" w:rsidRPr="00CF6DB6" w:rsidRDefault="00CF6DB6" w:rsidP="006E2200">
      <w:pPr>
        <w:spacing w:line="480" w:lineRule="auto"/>
        <w:rPr>
          <w:b/>
        </w:rPr>
      </w:pPr>
      <w:r w:rsidRPr="00CF6DB6">
        <w:rPr>
          <w:b/>
        </w:rPr>
        <w:t>Conclusion:</w:t>
      </w:r>
    </w:p>
    <w:p w14:paraId="038C0A9B" w14:textId="56DC111A" w:rsidR="005E60C7" w:rsidRDefault="00CF6DB6" w:rsidP="00CB27BD">
      <w:pPr>
        <w:spacing w:line="480" w:lineRule="auto"/>
        <w:sectPr w:rsidR="005E60C7" w:rsidSect="00B6720F">
          <w:type w:val="continuous"/>
          <w:pgSz w:w="12240" w:h="15840"/>
          <w:pgMar w:top="1440" w:right="1080" w:bottom="1080" w:left="1080" w:header="720" w:footer="720" w:gutter="0"/>
          <w:cols w:num="2" w:space="720"/>
        </w:sectPr>
      </w:pPr>
      <w:r>
        <w:tab/>
        <w:t>Although the anticipated result was for mechanism 1 to be more thermodynam</w:t>
      </w:r>
      <w:r>
        <w:t>i</w:t>
      </w:r>
      <w:r>
        <w:t>cally favorable than mechanism 2, the data co</w:t>
      </w:r>
      <w:r>
        <w:t>l</w:t>
      </w:r>
      <w:r>
        <w:t>lected suggests the opposite.  Overall, the two pathways have the same changes in e</w:t>
      </w:r>
      <w:r>
        <w:t>n</w:t>
      </w:r>
      <w:r>
        <w:t>thalpy, entropy, Gibbs free energy and inte</w:t>
      </w:r>
      <w:r>
        <w:t>r</w:t>
      </w:r>
      <w:r>
        <w:t xml:space="preserve">nal energy but the individual steps exhibit behaviors that vary based on temperature.  Each of the steps could be manipulated by changing the temperatures but mechanism 2 requires less </w:t>
      </w:r>
      <w:r w:rsidR="00B6720F">
        <w:t xml:space="preserve">manipulation due to its second step being spontaneous at any temperature, a characteristic that none of the mechanism 1 steps possess.  </w:t>
      </w:r>
    </w:p>
    <w:p w14:paraId="2DB8AB90" w14:textId="77777777" w:rsidR="007C1D1A" w:rsidRDefault="007C1D1A" w:rsidP="003274D2"/>
    <w:p w14:paraId="209A8D3B" w14:textId="3E8637C4" w:rsidR="001B593C" w:rsidRDefault="001B593C">
      <w:r>
        <w:br w:type="page"/>
      </w:r>
    </w:p>
    <w:p w14:paraId="3E163145" w14:textId="77777777" w:rsidR="007C1D1A" w:rsidRDefault="007C1D1A" w:rsidP="003274D2"/>
    <w:p w14:paraId="6428C2B5" w14:textId="77777777" w:rsidR="007C1D1A" w:rsidRDefault="007C1D1A" w:rsidP="003274D2"/>
    <w:p w14:paraId="7038978E" w14:textId="6C02441E" w:rsidR="00AD0398" w:rsidRDefault="00AD0398" w:rsidP="00AD0398">
      <w:pPr>
        <w:spacing w:line="480" w:lineRule="auto"/>
        <w:rPr>
          <w:b/>
        </w:rPr>
      </w:pPr>
      <w:r w:rsidRPr="00AD0398">
        <w:rPr>
          <w:b/>
        </w:rPr>
        <w:t>Bibliography:</w:t>
      </w:r>
    </w:p>
    <w:p w14:paraId="0B54A26A" w14:textId="6A5075B3" w:rsidR="00EE1A32" w:rsidRPr="00EE1A32" w:rsidRDefault="00E93592" w:rsidP="00EE1A32">
      <w:p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(1) </w:t>
      </w:r>
      <w:r w:rsidR="00EE1A32" w:rsidRPr="00EE1A32">
        <w:rPr>
          <w:rFonts w:eastAsia="Times New Roman" w:cs="Times New Roman"/>
          <w:color w:val="000000"/>
          <w:shd w:val="clear" w:color="auto" w:fill="FFFFFF"/>
        </w:rPr>
        <w:t>Gaussian 16, Revision </w:t>
      </w:r>
      <w:r w:rsidR="00EE1A32" w:rsidRPr="00EE1A32">
        <w:rPr>
          <w:rFonts w:eastAsia="Times New Roman" w:cs="Times New Roman"/>
          <w:color w:val="CD0000"/>
          <w:bdr w:val="none" w:sz="0" w:space="0" w:color="auto" w:frame="1"/>
          <w:shd w:val="clear" w:color="auto" w:fill="FFFFFF"/>
        </w:rPr>
        <w:t>C.01</w:t>
      </w:r>
      <w:r w:rsidR="00EE1A32" w:rsidRPr="00EE1A32">
        <w:rPr>
          <w:rFonts w:eastAsia="Times New Roman" w:cs="Times New Roman"/>
          <w:color w:val="000000"/>
          <w:shd w:val="clear" w:color="auto" w:fill="FFFFFF"/>
        </w:rPr>
        <w:t>, Frisch, M. J.; Trucks, G. W.; Schlegel, H. B.; Scuseria, G. E.; Robb, M. A.; Cheeseman, J. R.; Scalmani, G.; Barone, V.; Petersson, G. A.; Nakatsuji, H.; Li, X.; Caricato, M.; Marenich, A. V.; Bloino, J.; Janesko, B. G.; Gomperts, R.; Me</w:t>
      </w:r>
      <w:r w:rsidR="00EE1A32" w:rsidRPr="00EE1A32">
        <w:rPr>
          <w:rFonts w:eastAsia="Times New Roman" w:cs="Times New Roman"/>
          <w:color w:val="000000"/>
          <w:shd w:val="clear" w:color="auto" w:fill="FFFFFF"/>
        </w:rPr>
        <w:t>n</w:t>
      </w:r>
      <w:r w:rsidR="00EE1A32" w:rsidRPr="00EE1A32">
        <w:rPr>
          <w:rFonts w:eastAsia="Times New Roman" w:cs="Times New Roman"/>
          <w:color w:val="000000"/>
          <w:shd w:val="clear" w:color="auto" w:fill="FFFFFF"/>
        </w:rPr>
        <w:t>nucci, B.; Hratchian, H. P.; Ortiz, J. V.; Izmaylov, A. F.; Sonnenberg, J. L.; Williams-Young, D.; Ding, F.; Lipparini, F.; Egidi, F.; Goings, J.; Peng, B.; Petrone, A.; Henderson, T.; Ran</w:t>
      </w:r>
      <w:r w:rsidR="00EE1A32" w:rsidRPr="00EE1A32">
        <w:rPr>
          <w:rFonts w:eastAsia="Times New Roman" w:cs="Times New Roman"/>
          <w:color w:val="000000"/>
          <w:shd w:val="clear" w:color="auto" w:fill="FFFFFF"/>
        </w:rPr>
        <w:t>a</w:t>
      </w:r>
      <w:r w:rsidR="00EE1A32" w:rsidRPr="00EE1A32">
        <w:rPr>
          <w:rFonts w:eastAsia="Times New Roman" w:cs="Times New Roman"/>
          <w:color w:val="000000"/>
          <w:shd w:val="clear" w:color="auto" w:fill="FFFFFF"/>
        </w:rPr>
        <w:t>singhe, D.; Zakrzewski, V. G.; Gao, J.; Rega, N.; Zheng, G.; Liang, W.; Hada, M.; Ehara, M.; Toyota, K.; Fukuda, R.; Hasegawa, J.; Ishida, M.; Nakajima, T.; Honda, Y.; Kitao, O.; Nakai, H.; Vreven, T.; Throssell, K.; Montgomery, J. A., Jr.; Peralta, J. E.; Ogl</w:t>
      </w:r>
      <w:r w:rsidR="00EE1A32" w:rsidRPr="00EE1A32">
        <w:rPr>
          <w:rFonts w:eastAsia="Times New Roman" w:cs="Times New Roman"/>
          <w:color w:val="000000"/>
          <w:shd w:val="clear" w:color="auto" w:fill="FFFFFF"/>
        </w:rPr>
        <w:t>i</w:t>
      </w:r>
      <w:r w:rsidR="00EE1A32" w:rsidRPr="00EE1A32">
        <w:rPr>
          <w:rFonts w:eastAsia="Times New Roman" w:cs="Times New Roman"/>
          <w:color w:val="000000"/>
          <w:shd w:val="clear" w:color="auto" w:fill="FFFFFF"/>
        </w:rPr>
        <w:t>aro, F.; Bearpark, M. J.; Heyd, J. J.; Brothers, E. N.; Kudin, K. N.; Staroverov, V. N.; Keith, T. A.; Kobayashi, R.; Normand, J.; Raghavachari, K.; Rendell, A. P.; Burant, J. C.; Iyengar, S. S.; Tomasi, J.; Cossi, M.; Millam, J. M.; Klene, M.; Adamo, C.; Cammi, R.; Ochterski, J. W.; Martin, R. L.; Morokuma, K.; Farkas, O.; Foresman, J. B.; Fox, D. J. Gaussian, Inc., Wal</w:t>
      </w:r>
      <w:r w:rsidR="00EE1A32" w:rsidRPr="00EE1A32">
        <w:rPr>
          <w:rFonts w:eastAsia="Times New Roman" w:cs="Times New Roman"/>
          <w:color w:val="000000"/>
          <w:shd w:val="clear" w:color="auto" w:fill="FFFFFF"/>
        </w:rPr>
        <w:t>l</w:t>
      </w:r>
      <w:r w:rsidR="00EE1A32" w:rsidRPr="00EE1A32">
        <w:rPr>
          <w:rFonts w:eastAsia="Times New Roman" w:cs="Times New Roman"/>
          <w:color w:val="000000"/>
          <w:shd w:val="clear" w:color="auto" w:fill="FFFFFF"/>
        </w:rPr>
        <w:t>ingford CT, 2016.</w:t>
      </w:r>
    </w:p>
    <w:p w14:paraId="0C869E7E" w14:textId="77777777" w:rsidR="003E183E" w:rsidRDefault="003E183E" w:rsidP="003E183E">
      <w:r w:rsidRPr="003E183E">
        <w:t>(2)</w:t>
      </w:r>
      <w:r>
        <w:t xml:space="preserve"> </w:t>
      </w:r>
      <w:r>
        <w:t xml:space="preserve">Format </w:t>
      </w:r>
    </w:p>
    <w:p w14:paraId="70F68358" w14:textId="237B073D" w:rsidR="003E183E" w:rsidRDefault="003E183E" w:rsidP="003E183E">
      <w:pPr>
        <w:rPr>
          <w:rFonts w:ascii="Times New Roman" w:hAnsi="Times New Roman" w:cs="Times New Roman"/>
        </w:rPr>
      </w:pPr>
      <w:r w:rsidRPr="003E183E">
        <w:t>https://pubs.acs.org/doi/pdf/10.1021/ja8025906</w:t>
      </w:r>
    </w:p>
    <w:p w14:paraId="2BC031B0" w14:textId="2731DF77" w:rsidR="00E93592" w:rsidRPr="003E183E" w:rsidRDefault="003E183E" w:rsidP="003E183E">
      <w:r>
        <w:t xml:space="preserve">(3) Spontaneous Reactions and Free Energy </w:t>
      </w:r>
      <w:r w:rsidRPr="003E183E">
        <w:t>https://chem.libretexts.org/Courses/University_of_Kentucky/UK%3A_CHE_103_-_Chemistry_for_Allied_Health_(Soult)/Chapters/Chapter_11%3A_Properties_of_Reactions/11.5%3A_Spontaneous_Reactions_and_Free_Energy</w:t>
      </w:r>
    </w:p>
    <w:sectPr w:rsidR="00E93592" w:rsidRPr="003E183E" w:rsidSect="005E60C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E4348" w14:textId="77777777" w:rsidR="00C52E48" w:rsidRDefault="00C52E48" w:rsidP="00C52E48">
      <w:r>
        <w:separator/>
      </w:r>
    </w:p>
  </w:endnote>
  <w:endnote w:type="continuationSeparator" w:id="0">
    <w:p w14:paraId="46A5030F" w14:textId="77777777" w:rsidR="00C52E48" w:rsidRDefault="00C52E48" w:rsidP="00C5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21A3E" w14:textId="77777777" w:rsidR="00C52E48" w:rsidRDefault="00C52E48" w:rsidP="007A67C8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BDA93B" w14:textId="77777777" w:rsidR="00C52E48" w:rsidRDefault="00C52E48" w:rsidP="00C52E4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CF5B7" w14:textId="77777777" w:rsidR="00C52E48" w:rsidRDefault="00C52E48" w:rsidP="007A67C8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7C8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C47A40A" w14:textId="77777777" w:rsidR="00C52E48" w:rsidRDefault="00C52E48" w:rsidP="00C52E4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B9430" w14:textId="77777777" w:rsidR="00C52E48" w:rsidRDefault="00C52E48" w:rsidP="00C52E48">
      <w:r>
        <w:separator/>
      </w:r>
    </w:p>
  </w:footnote>
  <w:footnote w:type="continuationSeparator" w:id="0">
    <w:p w14:paraId="6A44C9B8" w14:textId="77777777" w:rsidR="00C52E48" w:rsidRDefault="00C52E48" w:rsidP="00C52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autoHyphenation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BAF"/>
    <w:rsid w:val="00090206"/>
    <w:rsid w:val="00166FB7"/>
    <w:rsid w:val="001B593C"/>
    <w:rsid w:val="001C3BC9"/>
    <w:rsid w:val="001E299F"/>
    <w:rsid w:val="001F3221"/>
    <w:rsid w:val="00217B60"/>
    <w:rsid w:val="00220431"/>
    <w:rsid w:val="00225BAF"/>
    <w:rsid w:val="00245883"/>
    <w:rsid w:val="00283C33"/>
    <w:rsid w:val="00316B4B"/>
    <w:rsid w:val="003274D2"/>
    <w:rsid w:val="003A3831"/>
    <w:rsid w:val="003C5A11"/>
    <w:rsid w:val="003E183E"/>
    <w:rsid w:val="00417C79"/>
    <w:rsid w:val="004218E8"/>
    <w:rsid w:val="00462DCE"/>
    <w:rsid w:val="00493F54"/>
    <w:rsid w:val="004A4FD1"/>
    <w:rsid w:val="004B47F7"/>
    <w:rsid w:val="004C2C01"/>
    <w:rsid w:val="004F3F58"/>
    <w:rsid w:val="005832D0"/>
    <w:rsid w:val="00587C89"/>
    <w:rsid w:val="005C0B29"/>
    <w:rsid w:val="005C662D"/>
    <w:rsid w:val="005D5C38"/>
    <w:rsid w:val="005E60C7"/>
    <w:rsid w:val="006351A4"/>
    <w:rsid w:val="00645FDE"/>
    <w:rsid w:val="00683153"/>
    <w:rsid w:val="006E2200"/>
    <w:rsid w:val="007133B3"/>
    <w:rsid w:val="007163E5"/>
    <w:rsid w:val="00727D31"/>
    <w:rsid w:val="0075324F"/>
    <w:rsid w:val="007C1D1A"/>
    <w:rsid w:val="008170E3"/>
    <w:rsid w:val="00825944"/>
    <w:rsid w:val="00851C8B"/>
    <w:rsid w:val="008C72FD"/>
    <w:rsid w:val="008D52D2"/>
    <w:rsid w:val="008F6D1E"/>
    <w:rsid w:val="00992BF8"/>
    <w:rsid w:val="009B7651"/>
    <w:rsid w:val="009D32B2"/>
    <w:rsid w:val="009D59BC"/>
    <w:rsid w:val="00A157E2"/>
    <w:rsid w:val="00A34F86"/>
    <w:rsid w:val="00A719E7"/>
    <w:rsid w:val="00A774E7"/>
    <w:rsid w:val="00A8734C"/>
    <w:rsid w:val="00AD0398"/>
    <w:rsid w:val="00AF02E5"/>
    <w:rsid w:val="00B30FF5"/>
    <w:rsid w:val="00B33884"/>
    <w:rsid w:val="00B6720F"/>
    <w:rsid w:val="00B7111B"/>
    <w:rsid w:val="00B83A9B"/>
    <w:rsid w:val="00B97AA7"/>
    <w:rsid w:val="00BB14F2"/>
    <w:rsid w:val="00BC1D23"/>
    <w:rsid w:val="00C373EC"/>
    <w:rsid w:val="00C52E48"/>
    <w:rsid w:val="00C816E5"/>
    <w:rsid w:val="00CB27BD"/>
    <w:rsid w:val="00CB2832"/>
    <w:rsid w:val="00CC3CC3"/>
    <w:rsid w:val="00CC5A04"/>
    <w:rsid w:val="00CE1DCA"/>
    <w:rsid w:val="00CF6DB6"/>
    <w:rsid w:val="00D14347"/>
    <w:rsid w:val="00D23635"/>
    <w:rsid w:val="00D332C4"/>
    <w:rsid w:val="00D66225"/>
    <w:rsid w:val="00DD7FBE"/>
    <w:rsid w:val="00E01CA0"/>
    <w:rsid w:val="00E47D34"/>
    <w:rsid w:val="00E57A0C"/>
    <w:rsid w:val="00E816F8"/>
    <w:rsid w:val="00E82E77"/>
    <w:rsid w:val="00E93592"/>
    <w:rsid w:val="00EE1A32"/>
    <w:rsid w:val="00F606D2"/>
    <w:rsid w:val="00F635DE"/>
    <w:rsid w:val="00FD437E"/>
    <w:rsid w:val="00FF6A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EDC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6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6E5"/>
    <w:rPr>
      <w:rFonts w:ascii="Lucida Grande" w:hAnsi="Lucida Grande"/>
      <w:sz w:val="18"/>
      <w:szCs w:val="18"/>
    </w:rPr>
  </w:style>
  <w:style w:type="character" w:customStyle="1" w:styleId="red">
    <w:name w:val="red"/>
    <w:basedOn w:val="DefaultParagraphFont"/>
    <w:rsid w:val="00EE1A32"/>
  </w:style>
  <w:style w:type="character" w:styleId="Hyperlink">
    <w:name w:val="Hyperlink"/>
    <w:basedOn w:val="DefaultParagraphFont"/>
    <w:uiPriority w:val="99"/>
    <w:unhideWhenUsed/>
    <w:rsid w:val="003E18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183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351A4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52E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E48"/>
  </w:style>
  <w:style w:type="character" w:styleId="PageNumber">
    <w:name w:val="page number"/>
    <w:basedOn w:val="DefaultParagraphFont"/>
    <w:uiPriority w:val="99"/>
    <w:semiHidden/>
    <w:unhideWhenUsed/>
    <w:rsid w:val="00C52E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6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6E5"/>
    <w:rPr>
      <w:rFonts w:ascii="Lucida Grande" w:hAnsi="Lucida Grande"/>
      <w:sz w:val="18"/>
      <w:szCs w:val="18"/>
    </w:rPr>
  </w:style>
  <w:style w:type="character" w:customStyle="1" w:styleId="red">
    <w:name w:val="red"/>
    <w:basedOn w:val="DefaultParagraphFont"/>
    <w:rsid w:val="00EE1A32"/>
  </w:style>
  <w:style w:type="character" w:styleId="Hyperlink">
    <w:name w:val="Hyperlink"/>
    <w:basedOn w:val="DefaultParagraphFont"/>
    <w:uiPriority w:val="99"/>
    <w:unhideWhenUsed/>
    <w:rsid w:val="003E18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183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351A4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52E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E48"/>
  </w:style>
  <w:style w:type="character" w:styleId="PageNumber">
    <w:name w:val="page number"/>
    <w:basedOn w:val="DefaultParagraphFont"/>
    <w:uiPriority w:val="99"/>
    <w:semiHidden/>
    <w:unhideWhenUsed/>
    <w:rsid w:val="00C52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1FD234-92D9-D145-9049-0BAD52610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933</Words>
  <Characters>5322</Characters>
  <Application>Microsoft Macintosh Word</Application>
  <DocSecurity>0</DocSecurity>
  <Lines>44</Lines>
  <Paragraphs>12</Paragraphs>
  <ScaleCrop>false</ScaleCrop>
  <Company>St. John's University</Company>
  <LinksUpToDate>false</LinksUpToDate>
  <CharactersWithSpaces>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Information Technology</cp:lastModifiedBy>
  <cp:revision>71</cp:revision>
  <dcterms:created xsi:type="dcterms:W3CDTF">2019-11-15T19:25:00Z</dcterms:created>
  <dcterms:modified xsi:type="dcterms:W3CDTF">2019-11-18T04:51:00Z</dcterms:modified>
</cp:coreProperties>
</file>