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51E3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22" w:lineRule="auto"/>
        <w:ind w:left="2188" w:right="1872" w:firstLine="884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Automobile Insurance Complaint &amp; Premium Analysis Dashboard </w:t>
      </w:r>
      <w:r>
        <w:rPr>
          <w:rFonts w:ascii="Calibri" w:eastAsia="Calibri" w:hAnsi="Calibri" w:cs="Calibri"/>
          <w:color w:val="000000"/>
          <w:sz w:val="48"/>
          <w:szCs w:val="48"/>
        </w:rPr>
        <w:t xml:space="preserve">Power BI | Data Analytics Project </w:t>
      </w:r>
    </w:p>
    <w:p w14:paraId="7CBD38B8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40" w:lineRule="auto"/>
        <w:ind w:left="2188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Junaid shaik</w:t>
      </w:r>
    </w:p>
    <w:p w14:paraId="0235E116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40" w:lineRule="auto"/>
        <w:ind w:left="2004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noProof/>
          <w:color w:val="000000"/>
          <w:sz w:val="48"/>
          <w:szCs w:val="48"/>
        </w:rPr>
        <w:drawing>
          <wp:inline distT="19050" distB="19050" distL="19050" distR="19050" wp14:anchorId="160745D2" wp14:editId="300E3858">
            <wp:extent cx="2552700" cy="1409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8AE61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2"/>
        <w:jc w:val="right"/>
        <w:rPr>
          <w:rFonts w:ascii="Calibri" w:eastAsia="Calibri" w:hAnsi="Calibri" w:cs="Calibri"/>
          <w:color w:val="00206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Business Problem </w:t>
      </w:r>
    </w:p>
    <w:p w14:paraId="3016B195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16" w:lineRule="auto"/>
        <w:ind w:left="1453" w:hanging="355"/>
        <w:jc w:val="both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 xml:space="preserve">Insurance companies receive different types of customer </w:t>
      </w:r>
      <w:proofErr w:type="gramStart"/>
      <w:r>
        <w:rPr>
          <w:rFonts w:ascii="Calibri" w:eastAsia="Calibri" w:hAnsi="Calibri" w:cs="Calibri"/>
          <w:color w:val="000000"/>
          <w:sz w:val="55"/>
          <w:szCs w:val="55"/>
        </w:rPr>
        <w:t>complaints  every</w:t>
      </w:r>
      <w:proofErr w:type="gramEnd"/>
      <w:r>
        <w:rPr>
          <w:rFonts w:ascii="Calibri" w:eastAsia="Calibri" w:hAnsi="Calibri" w:cs="Calibri"/>
          <w:color w:val="000000"/>
          <w:sz w:val="55"/>
          <w:szCs w:val="55"/>
        </w:rPr>
        <w:t xml:space="preserve"> year. This project </w:t>
      </w:r>
      <w:proofErr w:type="spellStart"/>
      <w:r>
        <w:rPr>
          <w:rFonts w:ascii="Calibri" w:eastAsia="Calibri" w:hAnsi="Calibri" w:cs="Calibri"/>
          <w:color w:val="000000"/>
          <w:sz w:val="55"/>
          <w:szCs w:val="55"/>
        </w:rPr>
        <w:t>analyzes</w:t>
      </w:r>
      <w:proofErr w:type="spellEnd"/>
      <w:r>
        <w:rPr>
          <w:rFonts w:ascii="Calibri" w:eastAsia="Calibri" w:hAnsi="Calibri" w:cs="Calibri"/>
          <w:color w:val="000000"/>
          <w:sz w:val="55"/>
          <w:szCs w:val="55"/>
        </w:rPr>
        <w:t xml:space="preserve"> complaint trends, premium </w:t>
      </w:r>
      <w:proofErr w:type="gramStart"/>
      <w:r>
        <w:rPr>
          <w:rFonts w:ascii="Calibri" w:eastAsia="Calibri" w:hAnsi="Calibri" w:cs="Calibri"/>
          <w:color w:val="000000"/>
          <w:sz w:val="55"/>
          <w:szCs w:val="55"/>
        </w:rPr>
        <w:t>growth,  and</w:t>
      </w:r>
      <w:proofErr w:type="gramEnd"/>
      <w:r>
        <w:rPr>
          <w:rFonts w:ascii="Calibri" w:eastAsia="Calibri" w:hAnsi="Calibri" w:cs="Calibri"/>
          <w:color w:val="000000"/>
          <w:sz w:val="55"/>
          <w:szCs w:val="55"/>
        </w:rPr>
        <w:t xml:space="preserve"> company performance to identify patterns and compare insurers.</w:t>
      </w:r>
    </w:p>
    <w:p w14:paraId="71A772A6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85"/>
        <w:jc w:val="right"/>
        <w:rPr>
          <w:rFonts w:ascii="Calibri" w:eastAsia="Calibri" w:hAnsi="Calibri" w:cs="Calibri"/>
          <w:color w:val="00206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Dataset </w:t>
      </w:r>
    </w:p>
    <w:p w14:paraId="3FE63C1F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7" w:line="246" w:lineRule="auto"/>
        <w:ind w:left="1097" w:right="1599"/>
        <w:rPr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lastRenderedPageBreak/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 xml:space="preserve">Source: New York State Department of Financial Services (DFS) </w:t>
      </w:r>
      <w:r>
        <w:rPr>
          <w:color w:val="000000"/>
          <w:sz w:val="55"/>
          <w:szCs w:val="55"/>
        </w:rPr>
        <w:t xml:space="preserve">• Years Covered: 2009–2016  </w:t>
      </w:r>
    </w:p>
    <w:p w14:paraId="7E9D47CD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1097"/>
        <w:rPr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Companies: 223  </w:t>
      </w:r>
    </w:p>
    <w:p w14:paraId="72D87BCE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097"/>
        <w:rPr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Key fields: </w:t>
      </w:r>
    </w:p>
    <w:p w14:paraId="7612833F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833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48"/>
          <w:szCs w:val="48"/>
        </w:rPr>
        <w:t xml:space="preserve">• Premiums Written </w:t>
      </w:r>
    </w:p>
    <w:p w14:paraId="3F41FA01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833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48"/>
          <w:szCs w:val="48"/>
        </w:rPr>
        <w:t xml:space="preserve">• Total Complaints </w:t>
      </w:r>
    </w:p>
    <w:p w14:paraId="6120C46A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833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48"/>
          <w:szCs w:val="48"/>
        </w:rPr>
        <w:t xml:space="preserve">• Upheld Complaints </w:t>
      </w:r>
    </w:p>
    <w:p w14:paraId="411BFE5C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833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48"/>
          <w:szCs w:val="48"/>
        </w:rPr>
        <w:t xml:space="preserve">• Complaint Ratio </w:t>
      </w:r>
    </w:p>
    <w:p w14:paraId="69F9DFD1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1833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48"/>
          <w:szCs w:val="48"/>
        </w:rPr>
        <w:t>• Ranking</w:t>
      </w:r>
    </w:p>
    <w:p w14:paraId="320C514F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131"/>
        <w:jc w:val="right"/>
        <w:rPr>
          <w:rFonts w:ascii="Calibri" w:eastAsia="Calibri" w:hAnsi="Calibri" w:cs="Calibri"/>
          <w:color w:val="002060"/>
          <w:sz w:val="43"/>
          <w:szCs w:val="43"/>
        </w:rPr>
      </w:pPr>
      <w:r>
        <w:rPr>
          <w:rFonts w:ascii="Calibri" w:eastAsia="Calibri" w:hAnsi="Calibri" w:cs="Calibri"/>
          <w:color w:val="002060"/>
          <w:sz w:val="43"/>
          <w:szCs w:val="43"/>
        </w:rPr>
        <w:t xml:space="preserve">Complaint Dashboard </w:t>
      </w:r>
    </w:p>
    <w:p w14:paraId="1D980B42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01" w:lineRule="auto"/>
        <w:ind w:left="5" w:right="208" w:firstLine="445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noProof/>
          <w:color w:val="002060"/>
          <w:sz w:val="43"/>
          <w:szCs w:val="43"/>
        </w:rPr>
        <w:lastRenderedPageBreak/>
        <w:drawing>
          <wp:inline distT="19050" distB="19050" distL="19050" distR="19050" wp14:anchorId="2C946482" wp14:editId="53E08F37">
            <wp:extent cx="10515600" cy="462229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622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Dashboard Highlights </w:t>
      </w:r>
    </w:p>
    <w:p w14:paraId="6CF4A85C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•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Complaint trends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analyzed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</w:rPr>
        <w:t xml:space="preserve"> across 223 insurance companies (2009–2016).  </w:t>
      </w:r>
    </w:p>
    <w:p w14:paraId="00EBB2E8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39" w:lineRule="auto"/>
        <w:ind w:right="3134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•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Compared the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Top 5 companies 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by Total Complaints, Upheld Complaints, and Complaint Ratio.  </w:t>
      </w:r>
      <w:r>
        <w:rPr>
          <w:color w:val="000000"/>
          <w:sz w:val="36"/>
          <w:szCs w:val="36"/>
        </w:rPr>
        <w:t>•</w:t>
      </w:r>
      <w:r>
        <w:rPr>
          <w:rFonts w:ascii="Calibri" w:eastAsia="Calibri" w:hAnsi="Calibri" w:cs="Calibri"/>
          <w:color w:val="000000"/>
          <w:sz w:val="36"/>
          <w:szCs w:val="36"/>
        </w:rPr>
        <w:t>Evaluated yearly complaint patterns by complaint outcome.</w:t>
      </w:r>
    </w:p>
    <w:p w14:paraId="6D3B2DE5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060"/>
        <w:jc w:val="right"/>
        <w:rPr>
          <w:rFonts w:ascii="Calibri" w:eastAsia="Calibri" w:hAnsi="Calibri" w:cs="Calibri"/>
          <w:color w:val="00206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Premium Dashboard </w:t>
      </w:r>
    </w:p>
    <w:p w14:paraId="125C8C34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01" w:lineRule="auto"/>
        <w:ind w:left="620" w:right="208" w:hanging="168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noProof/>
          <w:color w:val="002060"/>
          <w:sz w:val="48"/>
          <w:szCs w:val="48"/>
        </w:rPr>
        <w:lastRenderedPageBreak/>
        <w:drawing>
          <wp:inline distT="19050" distB="19050" distL="19050" distR="19050" wp14:anchorId="68E30F76" wp14:editId="69D523F1">
            <wp:extent cx="10515600" cy="454914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54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Dashboard Highlights </w:t>
      </w:r>
    </w:p>
    <w:p w14:paraId="037B5606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614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•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Analyzed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</w:rPr>
        <w:t xml:space="preserve"> premium trends over time.  </w:t>
      </w:r>
    </w:p>
    <w:p w14:paraId="2D9FE153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14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• 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Identified the Top 5 companies by Premiums Written.  </w:t>
      </w:r>
    </w:p>
    <w:p w14:paraId="6993E905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614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• </w:t>
      </w:r>
      <w:r>
        <w:rPr>
          <w:rFonts w:ascii="Calibri" w:eastAsia="Calibri" w:hAnsi="Calibri" w:cs="Calibri"/>
          <w:color w:val="000000"/>
          <w:sz w:val="36"/>
          <w:szCs w:val="36"/>
        </w:rPr>
        <w:t>Explored the relationship between Premiums and Upheld Complaints.</w:t>
      </w:r>
    </w:p>
    <w:p w14:paraId="6A5F43AC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77"/>
        <w:jc w:val="right"/>
        <w:rPr>
          <w:rFonts w:ascii="Calibri" w:eastAsia="Calibri" w:hAnsi="Calibri" w:cs="Calibri"/>
          <w:color w:val="002060"/>
          <w:sz w:val="43"/>
          <w:szCs w:val="43"/>
        </w:rPr>
      </w:pPr>
      <w:r>
        <w:rPr>
          <w:rFonts w:ascii="Calibri" w:eastAsia="Calibri" w:hAnsi="Calibri" w:cs="Calibri"/>
          <w:color w:val="002060"/>
          <w:sz w:val="43"/>
          <w:szCs w:val="43"/>
        </w:rPr>
        <w:t xml:space="preserve">Comparison Dashboard </w:t>
      </w:r>
    </w:p>
    <w:p w14:paraId="63B41C09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right="414"/>
        <w:jc w:val="right"/>
        <w:rPr>
          <w:rFonts w:ascii="Calibri" w:eastAsia="Calibri" w:hAnsi="Calibri" w:cs="Calibri"/>
          <w:color w:val="002060"/>
          <w:sz w:val="43"/>
          <w:szCs w:val="43"/>
        </w:rPr>
      </w:pPr>
      <w:r>
        <w:rPr>
          <w:rFonts w:ascii="Calibri" w:eastAsia="Calibri" w:hAnsi="Calibri" w:cs="Calibri"/>
          <w:noProof/>
          <w:color w:val="002060"/>
          <w:sz w:val="43"/>
          <w:szCs w:val="43"/>
        </w:rPr>
        <w:lastRenderedPageBreak/>
        <w:drawing>
          <wp:inline distT="19050" distB="19050" distL="19050" distR="19050" wp14:anchorId="30D0BAFB" wp14:editId="52A1EE46">
            <wp:extent cx="10250423" cy="486613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50423" cy="4866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47D75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31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Dashboard Highlights </w:t>
      </w:r>
    </w:p>
    <w:p w14:paraId="346DB278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26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•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Compared five insurance companies using key performance metrics.  </w:t>
      </w:r>
    </w:p>
    <w:p w14:paraId="6F646B93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826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•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Interactive filters for company and year selection.  </w:t>
      </w:r>
    </w:p>
    <w:p w14:paraId="7A7FD944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826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•</w:t>
      </w:r>
      <w:r>
        <w:rPr>
          <w:rFonts w:ascii="Calibri" w:eastAsia="Calibri" w:hAnsi="Calibri" w:cs="Calibri"/>
          <w:color w:val="000000"/>
          <w:sz w:val="36"/>
          <w:szCs w:val="36"/>
        </w:rPr>
        <w:t>Comparison table enables quick performance evaluation.</w:t>
      </w:r>
    </w:p>
    <w:p w14:paraId="15BEF114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898"/>
        <w:jc w:val="right"/>
        <w:rPr>
          <w:rFonts w:ascii="Calibri" w:eastAsia="Calibri" w:hAnsi="Calibri" w:cs="Calibri"/>
          <w:color w:val="00206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Key Insights </w:t>
      </w:r>
    </w:p>
    <w:p w14:paraId="59334AFB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1" w:line="240" w:lineRule="auto"/>
        <w:ind w:left="1089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•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Complaint volumes generally declined over the observed years. </w:t>
      </w:r>
    </w:p>
    <w:p w14:paraId="1FD05A4C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39" w:lineRule="auto"/>
        <w:ind w:left="1085" w:right="1389" w:firstLine="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• GEICO General Insurance Company recorded the highest premiums among the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selected  companies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 xml:space="preserve">.  </w:t>
      </w:r>
    </w:p>
    <w:p w14:paraId="1724EAA8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39" w:lineRule="auto"/>
        <w:ind w:left="1105" w:right="173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• Allstate Insurance Company recorded the highest complaint volume in the selected comparison.  • Complaint ratios remained relatively low across most insurers. </w:t>
      </w:r>
    </w:p>
    <w:p w14:paraId="7E4AE8B9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993"/>
        <w:jc w:val="right"/>
        <w:rPr>
          <w:rFonts w:ascii="Calibri" w:eastAsia="Calibri" w:hAnsi="Calibri" w:cs="Calibri"/>
          <w:color w:val="00206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Tools Used </w:t>
      </w:r>
    </w:p>
    <w:p w14:paraId="1ACEFC2B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40" w:lineRule="auto"/>
        <w:ind w:left="1097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 xml:space="preserve">Power BI </w:t>
      </w:r>
    </w:p>
    <w:p w14:paraId="11ACB3F2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1097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 xml:space="preserve">Power Query </w:t>
      </w:r>
    </w:p>
    <w:p w14:paraId="298018D7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1097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 xml:space="preserve">DAX </w:t>
      </w:r>
    </w:p>
    <w:p w14:paraId="3245C659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ind w:left="1097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 xml:space="preserve">Data Cleaning </w:t>
      </w:r>
    </w:p>
    <w:p w14:paraId="39D720CB" w14:textId="77777777" w:rsidR="00A937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1097"/>
        <w:rPr>
          <w:rFonts w:ascii="Calibri" w:eastAsia="Calibri" w:hAnsi="Calibri" w:cs="Calibri"/>
          <w:color w:val="000000"/>
          <w:sz w:val="55"/>
          <w:szCs w:val="55"/>
        </w:rPr>
      </w:pPr>
      <w:r>
        <w:rPr>
          <w:color w:val="000000"/>
          <w:sz w:val="55"/>
          <w:szCs w:val="55"/>
        </w:rPr>
        <w:t xml:space="preserve">• </w:t>
      </w:r>
      <w:r>
        <w:rPr>
          <w:rFonts w:ascii="Calibri" w:eastAsia="Calibri" w:hAnsi="Calibri" w:cs="Calibri"/>
          <w:color w:val="000000"/>
          <w:sz w:val="55"/>
          <w:szCs w:val="55"/>
        </w:rPr>
        <w:t>Data Visualization</w:t>
      </w:r>
    </w:p>
    <w:p w14:paraId="45602F66" w14:textId="764AD985" w:rsidR="00A937C3" w:rsidRPr="001E22B8" w:rsidRDefault="00000000" w:rsidP="001E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947"/>
        <w:jc w:val="right"/>
        <w:rPr>
          <w:rFonts w:ascii="Calibri" w:eastAsia="Calibri" w:hAnsi="Calibri" w:cs="Calibri"/>
          <w:color w:val="002060"/>
          <w:sz w:val="48"/>
          <w:szCs w:val="48"/>
        </w:rPr>
      </w:pPr>
      <w:r>
        <w:rPr>
          <w:rFonts w:ascii="Calibri" w:eastAsia="Calibri" w:hAnsi="Calibri" w:cs="Calibri"/>
          <w:color w:val="002060"/>
          <w:sz w:val="48"/>
          <w:szCs w:val="48"/>
        </w:rPr>
        <w:t xml:space="preserve">Thank You! </w:t>
      </w:r>
    </w:p>
    <w:sectPr w:rsidR="00A937C3" w:rsidRPr="001E22B8">
      <w:pgSz w:w="19200" w:h="10800" w:orient="landscape"/>
      <w:pgMar w:top="170" w:right="1584" w:bottom="183" w:left="39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F40390-5A89-49EA-BA5A-1D852B9BA2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9532C0-65E5-4844-A4E2-09F59F00367C}"/>
    <w:embedBold r:id="rId3" w:fontKey="{C420C686-893E-4864-A5EE-AAA13E5228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410735-F7A2-4DC4-B804-67C83F202E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7C3"/>
    <w:rsid w:val="001E22B8"/>
    <w:rsid w:val="00867108"/>
    <w:rsid w:val="00A9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BFDE"/>
  <w15:docId w15:val="{6A4ECF0D-0665-449E-BA00-6CA0055D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mobeena shaik</cp:lastModifiedBy>
  <cp:revision>2</cp:revision>
  <dcterms:created xsi:type="dcterms:W3CDTF">2026-08-20T10:54:00Z</dcterms:created>
  <dcterms:modified xsi:type="dcterms:W3CDTF">2026-08-20T10:55:00Z</dcterms:modified>
</cp:coreProperties>
</file>