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5EE6" w14:textId="77777777" w:rsidR="00FA1B2E" w:rsidRDefault="00000000">
      <w:pPr>
        <w:spacing w:after="60"/>
      </w:pPr>
      <w:r>
        <w:rPr>
          <w:b/>
          <w:bCs/>
          <w:color w:val="1F2A44"/>
          <w:sz w:val="44"/>
          <w:szCs w:val="44"/>
        </w:rPr>
        <w:t>Customer Data Analysis</w:t>
      </w:r>
    </w:p>
    <w:p w14:paraId="39B46629" w14:textId="77777777" w:rsidR="00FA1B2E" w:rsidRDefault="00000000">
      <w:pPr>
        <w:spacing w:after="40"/>
      </w:pPr>
      <w:r>
        <w:rPr>
          <w:color w:val="5B6472"/>
          <w:sz w:val="26"/>
          <w:szCs w:val="26"/>
        </w:rPr>
        <w:t>Insights Narrative — Power BI Dashboard Analysis Report</w:t>
      </w:r>
    </w:p>
    <w:p w14:paraId="58C00D1B" w14:textId="77777777" w:rsidR="00FA1B2E" w:rsidRDefault="00FA1B2E">
      <w:pPr>
        <w:pBdr>
          <w:bottom w:val="single" w:sz="12" w:space="8" w:color="C9A227"/>
        </w:pBdr>
        <w:spacing w:after="200"/>
      </w:pPr>
    </w:p>
    <w:p w14:paraId="5AC3B952" w14:textId="7DBCFF09" w:rsidR="00FA1B2E" w:rsidRDefault="00FA1B2E">
      <w:pPr>
        <w:spacing w:after="400"/>
      </w:pPr>
    </w:p>
    <w:p w14:paraId="21A969F0" w14:textId="77777777" w:rsidR="00FA1B2E" w:rsidRDefault="00000000">
      <w:pPr>
        <w:pStyle w:val="Heading1"/>
        <w:spacing w:before="360"/>
      </w:pPr>
      <w:r>
        <w:t>Executive Summary</w:t>
      </w:r>
    </w:p>
    <w:p w14:paraId="7B51EC48" w14:textId="77777777" w:rsidR="00FA1B2E" w:rsidRDefault="00000000">
      <w:pPr>
        <w:spacing w:after="160"/>
      </w:pPr>
      <w:r>
        <w:rPr>
          <w:color w:val="222222"/>
          <w:sz w:val="22"/>
          <w:szCs w:val="22"/>
        </w:rPr>
        <w:t xml:space="preserve">This report translates the two-page Power BI dashboard into a written </w:t>
      </w:r>
      <w:proofErr w:type="gramStart"/>
      <w:r>
        <w:rPr>
          <w:color w:val="222222"/>
          <w:sz w:val="22"/>
          <w:szCs w:val="22"/>
        </w:rPr>
        <w:t>insights</w:t>
      </w:r>
      <w:proofErr w:type="gramEnd"/>
      <w:r>
        <w:rPr>
          <w:color w:val="222222"/>
          <w:sz w:val="22"/>
          <w:szCs w:val="22"/>
        </w:rPr>
        <w:t xml:space="preserve"> narrative, grounded in the underlying transaction data (1,000 orders). Overall, the business generated $2,365,367.77 in revenue across 1,000 orders and 2,981 units sold, for an average order value of $2,365.37.</w:t>
      </w:r>
    </w:p>
    <w:p w14:paraId="10E28D08" w14:textId="77777777" w:rsidR="00FA1B2E" w:rsidRDefault="00000000">
      <w:pPr>
        <w:spacing w:after="80"/>
      </w:pPr>
      <w:r>
        <w:rPr>
          <w:b/>
          <w:bCs/>
          <w:color w:val="1F2A44"/>
          <w:sz w:val="22"/>
          <w:szCs w:val="22"/>
        </w:rPr>
        <w:t xml:space="preserve">Total Revenue: </w:t>
      </w:r>
      <w:r>
        <w:rPr>
          <w:color w:val="2E7D6E"/>
          <w:sz w:val="22"/>
          <w:szCs w:val="22"/>
        </w:rPr>
        <w:t>$2,365,367.77</w:t>
      </w:r>
    </w:p>
    <w:p w14:paraId="5E491D95" w14:textId="77777777" w:rsidR="00FA1B2E" w:rsidRDefault="00000000">
      <w:pPr>
        <w:spacing w:after="80"/>
      </w:pPr>
      <w:r>
        <w:rPr>
          <w:b/>
          <w:bCs/>
          <w:color w:val="1F2A44"/>
          <w:sz w:val="22"/>
          <w:szCs w:val="22"/>
        </w:rPr>
        <w:t xml:space="preserve">Total Orders: </w:t>
      </w:r>
      <w:r>
        <w:rPr>
          <w:color w:val="2E7D6E"/>
          <w:sz w:val="22"/>
          <w:szCs w:val="22"/>
        </w:rPr>
        <w:t>1,000</w:t>
      </w:r>
    </w:p>
    <w:p w14:paraId="3600C761" w14:textId="77777777" w:rsidR="00FA1B2E" w:rsidRDefault="00000000">
      <w:pPr>
        <w:spacing w:after="80"/>
      </w:pPr>
      <w:r>
        <w:rPr>
          <w:b/>
          <w:bCs/>
          <w:color w:val="1F2A44"/>
          <w:sz w:val="22"/>
          <w:szCs w:val="22"/>
        </w:rPr>
        <w:t xml:space="preserve">Total Units Sold: </w:t>
      </w:r>
      <w:r>
        <w:rPr>
          <w:color w:val="2E7D6E"/>
          <w:sz w:val="22"/>
          <w:szCs w:val="22"/>
        </w:rPr>
        <w:t>2,981</w:t>
      </w:r>
    </w:p>
    <w:p w14:paraId="56ED9D71" w14:textId="77777777" w:rsidR="00FA1B2E" w:rsidRDefault="00000000">
      <w:pPr>
        <w:spacing w:after="80"/>
      </w:pPr>
      <w:r>
        <w:rPr>
          <w:b/>
          <w:bCs/>
          <w:color w:val="1F2A44"/>
          <w:sz w:val="22"/>
          <w:szCs w:val="22"/>
        </w:rPr>
        <w:t xml:space="preserve">Average Order Value: </w:t>
      </w:r>
      <w:r>
        <w:rPr>
          <w:color w:val="2E7D6E"/>
          <w:sz w:val="22"/>
          <w:szCs w:val="22"/>
        </w:rPr>
        <w:t>$2,365.37</w:t>
      </w:r>
    </w:p>
    <w:p w14:paraId="74BDE3A5" w14:textId="77777777" w:rsidR="00FA1B2E" w:rsidRDefault="00000000">
      <w:pPr>
        <w:spacing w:after="80"/>
      </w:pPr>
      <w:r>
        <w:rPr>
          <w:b/>
          <w:bCs/>
          <w:color w:val="1F2A44"/>
          <w:sz w:val="22"/>
          <w:szCs w:val="22"/>
        </w:rPr>
        <w:t xml:space="preserve">Customer Age Range: </w:t>
      </w:r>
      <w:r>
        <w:rPr>
          <w:color w:val="2E7D6E"/>
          <w:sz w:val="22"/>
          <w:szCs w:val="22"/>
        </w:rPr>
        <w:t>18 – 69 years</w:t>
      </w:r>
    </w:p>
    <w:p w14:paraId="33D32ADA" w14:textId="77777777" w:rsidR="00FA1B2E" w:rsidRDefault="00FA1B2E">
      <w:pPr>
        <w:spacing w:after="120"/>
      </w:pPr>
    </w:p>
    <w:p w14:paraId="471FB50D" w14:textId="77777777" w:rsidR="00FA1B2E" w:rsidRDefault="00000000">
      <w:pPr>
        <w:spacing w:after="160"/>
      </w:pPr>
      <w:r>
        <w:rPr>
          <w:b/>
          <w:bCs/>
          <w:color w:val="222222"/>
          <w:sz w:val="22"/>
          <w:szCs w:val="22"/>
        </w:rPr>
        <w:t>Key headline findings, detailed in the sections below:</w:t>
      </w:r>
    </w:p>
    <w:p w14:paraId="267194FB" w14:textId="77777777" w:rsidR="00FA1B2E" w:rsidRDefault="00000000">
      <w:pPr>
        <w:pStyle w:val="ListParagraph"/>
        <w:numPr>
          <w:ilvl w:val="0"/>
          <w:numId w:val="1"/>
        </w:numPr>
        <w:spacing w:after="100"/>
      </w:pPr>
      <w:r>
        <w:rPr>
          <w:color w:val="222222"/>
          <w:sz w:val="22"/>
          <w:szCs w:val="22"/>
        </w:rPr>
        <w:t>Women make up 62% of customers and drive 60% of revenue, but men spend more per transaction ($2,517 vs. $2,272 average order value).</w:t>
      </w:r>
    </w:p>
    <w:p w14:paraId="6E6D322E" w14:textId="77777777" w:rsidR="00FA1B2E" w:rsidRDefault="00000000">
      <w:pPr>
        <w:pStyle w:val="ListParagraph"/>
        <w:numPr>
          <w:ilvl w:val="0"/>
          <w:numId w:val="1"/>
        </w:numPr>
        <w:spacing w:after="100"/>
      </w:pPr>
      <w:r>
        <w:rPr>
          <w:color w:val="222222"/>
          <w:sz w:val="22"/>
          <w:szCs w:val="22"/>
        </w:rPr>
        <w:t>Clothing is the volume leader (338 orders, 34% of all orders) and the single largest revenue category ($1.05M, 44% of revenue), and it is the top category in every age bracket.</w:t>
      </w:r>
    </w:p>
    <w:p w14:paraId="6E2AF61C" w14:textId="77777777" w:rsidR="00FA1B2E" w:rsidRDefault="00000000">
      <w:pPr>
        <w:pStyle w:val="ListParagraph"/>
        <w:numPr>
          <w:ilvl w:val="0"/>
          <w:numId w:val="1"/>
        </w:numPr>
        <w:spacing w:after="100"/>
      </w:pPr>
      <w:r>
        <w:rPr>
          <w:color w:val="222222"/>
          <w:sz w:val="22"/>
          <w:szCs w:val="22"/>
        </w:rPr>
        <w:t>Technology and Shoes are low-frequency but high-value: together just 14.5% of orders, yet 50% of total revenue, driven by average prices of $3,200 and $1,818 per item.</w:t>
      </w:r>
    </w:p>
    <w:p w14:paraId="0130837E" w14:textId="77777777" w:rsidR="00FA1B2E" w:rsidRDefault="00000000">
      <w:pPr>
        <w:pStyle w:val="ListParagraph"/>
        <w:numPr>
          <w:ilvl w:val="0"/>
          <w:numId w:val="1"/>
        </w:numPr>
        <w:spacing w:after="100"/>
      </w:pPr>
      <w:r>
        <w:rPr>
          <w:color w:val="222222"/>
          <w:sz w:val="22"/>
          <w:szCs w:val="22"/>
        </w:rPr>
        <w:t>The 55–64 age group generates the most revenue of any bracket ($466,593), not because it buys the most (it doesn't) but because it buys pricier items ($679 average item price, second-highest of any group).</w:t>
      </w:r>
    </w:p>
    <w:p w14:paraId="3D311ADE" w14:textId="77777777" w:rsidR="00FA1B2E" w:rsidRDefault="00000000">
      <w:pPr>
        <w:pStyle w:val="ListParagraph"/>
        <w:numPr>
          <w:ilvl w:val="0"/>
          <w:numId w:val="1"/>
        </w:numPr>
        <w:spacing w:after="100"/>
      </w:pPr>
      <w:r>
        <w:rPr>
          <w:color w:val="222222"/>
          <w:sz w:val="22"/>
          <w:szCs w:val="22"/>
        </w:rPr>
        <w:t>Cash is the leading payment method (42%), ahead of credit card (36.6%) and debit card (21.4%), consistently across both genders.</w:t>
      </w:r>
    </w:p>
    <w:p w14:paraId="1FE082EE" w14:textId="77777777" w:rsidR="00FA1B2E" w:rsidRDefault="00000000">
      <w:r>
        <w:br w:type="page"/>
      </w:r>
    </w:p>
    <w:p w14:paraId="030B9FF5" w14:textId="77777777" w:rsidR="00FA1B2E" w:rsidRDefault="00000000">
      <w:pPr>
        <w:pStyle w:val="Heading1"/>
        <w:spacing w:before="360"/>
      </w:pPr>
      <w:r>
        <w:lastRenderedPageBreak/>
        <w:t>Dashboard Page 1 — Overview Insights</w:t>
      </w:r>
    </w:p>
    <w:p w14:paraId="70043605" w14:textId="77777777" w:rsidR="00FA1B2E" w:rsidRDefault="00000000">
      <w:pPr>
        <w:pStyle w:val="Heading2"/>
        <w:spacing w:before="280" w:after="120"/>
      </w:pPr>
      <w:r>
        <w:t>Shopping Distribution by Gender</w:t>
      </w:r>
    </w:p>
    <w:p w14:paraId="6C994A9D" w14:textId="77777777" w:rsidR="00FA1B2E" w:rsidRDefault="00000000">
      <w:pPr>
        <w:spacing w:after="160"/>
      </w:pPr>
      <w:r>
        <w:rPr>
          <w:color w:val="222222"/>
          <w:sz w:val="22"/>
          <w:szCs w:val="22"/>
        </w:rPr>
        <w:t>The customer base skews strongly female: 620 of 1,000 customers (62%) are women, versus 380 (38%) men. This nearly 2-to-1 split should anchor any segmentation or merchandising decision — the store's core, high-frequency shopper is female.</w:t>
      </w:r>
    </w:p>
    <w:p w14:paraId="4FD05010" w14:textId="77777777" w:rsidR="00FA1B2E" w:rsidRDefault="00000000">
      <w:pPr>
        <w:pStyle w:val="Heading2"/>
        <w:spacing w:before="280" w:after="120"/>
      </w:pPr>
      <w:r>
        <w:t>Shopping Distribution by Age (Quantity by Gender)</w:t>
      </w:r>
    </w:p>
    <w:p w14:paraId="059C465D" w14:textId="77777777" w:rsidR="00FA1B2E" w:rsidRDefault="00000000">
      <w:pPr>
        <w:spacing w:after="160"/>
      </w:pPr>
      <w:r>
        <w:rPr>
          <w:color w:val="222222"/>
          <w:sz w:val="22"/>
          <w:szCs w:val="22"/>
        </w:rPr>
        <w:t>Female customers also purchase more total units — 1,853 versus 1,128 for men — consistent with their larger share of the customer base. On a per-order basis, though, the gap narrows: women average roughly 3.0 units per order against men's 3.0 as well, so the unit gap tracks customer count rather than a difference in basket size.</w:t>
      </w:r>
    </w:p>
    <w:p w14:paraId="57441B60" w14:textId="77777777" w:rsidR="00FA1B2E" w:rsidRDefault="00000000">
      <w:pPr>
        <w:pStyle w:val="Heading2"/>
        <w:spacing w:before="280" w:after="120"/>
      </w:pPr>
      <w:r>
        <w:t>Revenue by Gender</w:t>
      </w:r>
    </w:p>
    <w:p w14:paraId="6ADB178D" w14:textId="77777777" w:rsidR="00FA1B2E" w:rsidRDefault="00000000">
      <w:pPr>
        <w:spacing w:after="160"/>
      </w:pPr>
      <w:r>
        <w:rPr>
          <w:color w:val="222222"/>
          <w:sz w:val="22"/>
          <w:szCs w:val="22"/>
        </w:rPr>
        <w:t>Female customers generated $1,408,881.11 in total revenue versus $956,486.66 for male customers — a natural result of the 62/38 population split. The more interesting signal is average order value: male orders average $2,517.07, about 11% higher than female orders at $2,272.39. Men are a smaller but higher-value segment per transaction.</w:t>
      </w:r>
    </w:p>
    <w:tbl>
      <w:tblPr>
        <w:tblW w:w="9600" w:type="dxa"/>
        <w:tblBorders>
          <w:top w:val="single" w:sz="2" w:space="0" w:color="E3E6EA"/>
          <w:left w:val="single" w:sz="2" w:space="0" w:color="E3E6EA"/>
          <w:bottom w:val="single" w:sz="2" w:space="0" w:color="E3E6EA"/>
          <w:right w:val="single" w:sz="2" w:space="0" w:color="E3E6EA"/>
          <w:insideH w:val="single" w:sz="2" w:space="0" w:color="E3E6EA"/>
          <w:insideV w:val="single" w:sz="2" w:space="0" w:color="E3E6EA"/>
        </w:tblBorders>
        <w:tblCellMar>
          <w:left w:w="10" w:type="dxa"/>
          <w:right w:w="10" w:type="dxa"/>
        </w:tblCellMar>
        <w:tblLook w:val="0000" w:firstRow="0" w:lastRow="0" w:firstColumn="0" w:lastColumn="0" w:noHBand="0" w:noVBand="0"/>
      </w:tblPr>
      <w:tblGrid>
        <w:gridCol w:w="2200"/>
        <w:gridCol w:w="2200"/>
        <w:gridCol w:w="2800"/>
        <w:gridCol w:w="2400"/>
      </w:tblGrid>
      <w:tr w:rsidR="00FA1B2E" w14:paraId="3185E688" w14:textId="77777777">
        <w:tblPrEx>
          <w:tblCellMar>
            <w:top w:w="0" w:type="dxa"/>
            <w:bottom w:w="0" w:type="dxa"/>
          </w:tblCellMar>
        </w:tblPrEx>
        <w:trPr>
          <w:tblHeader/>
        </w:trPr>
        <w:tc>
          <w:tcPr>
            <w:tcW w:w="2200" w:type="dxa"/>
            <w:shd w:val="clear" w:color="auto" w:fill="1F2A44"/>
            <w:tcMar>
              <w:top w:w="100" w:type="dxa"/>
              <w:left w:w="120" w:type="dxa"/>
              <w:bottom w:w="100" w:type="dxa"/>
              <w:right w:w="120" w:type="dxa"/>
            </w:tcMar>
            <w:vAlign w:val="center"/>
          </w:tcPr>
          <w:p w14:paraId="722368B7" w14:textId="77777777" w:rsidR="00FA1B2E" w:rsidRDefault="00000000">
            <w:r>
              <w:rPr>
                <w:b/>
                <w:bCs/>
                <w:color w:val="FFFFFF"/>
              </w:rPr>
              <w:t>Gender</w:t>
            </w:r>
          </w:p>
        </w:tc>
        <w:tc>
          <w:tcPr>
            <w:tcW w:w="2200" w:type="dxa"/>
            <w:shd w:val="clear" w:color="auto" w:fill="1F2A44"/>
            <w:tcMar>
              <w:top w:w="100" w:type="dxa"/>
              <w:left w:w="120" w:type="dxa"/>
              <w:bottom w:w="100" w:type="dxa"/>
              <w:right w:w="120" w:type="dxa"/>
            </w:tcMar>
            <w:vAlign w:val="center"/>
          </w:tcPr>
          <w:p w14:paraId="53753548" w14:textId="77777777" w:rsidR="00FA1B2E" w:rsidRDefault="00000000">
            <w:r>
              <w:rPr>
                <w:b/>
                <w:bCs/>
                <w:color w:val="FFFFFF"/>
              </w:rPr>
              <w:t>Customers</w:t>
            </w:r>
          </w:p>
        </w:tc>
        <w:tc>
          <w:tcPr>
            <w:tcW w:w="2800" w:type="dxa"/>
            <w:shd w:val="clear" w:color="auto" w:fill="1F2A44"/>
            <w:tcMar>
              <w:top w:w="100" w:type="dxa"/>
              <w:left w:w="120" w:type="dxa"/>
              <w:bottom w:w="100" w:type="dxa"/>
              <w:right w:w="120" w:type="dxa"/>
            </w:tcMar>
            <w:vAlign w:val="center"/>
          </w:tcPr>
          <w:p w14:paraId="5289EE49" w14:textId="77777777" w:rsidR="00FA1B2E" w:rsidRDefault="00000000">
            <w:r>
              <w:rPr>
                <w:b/>
                <w:bCs/>
                <w:color w:val="FFFFFF"/>
              </w:rPr>
              <w:t>Total Revenue</w:t>
            </w:r>
          </w:p>
        </w:tc>
        <w:tc>
          <w:tcPr>
            <w:tcW w:w="2400" w:type="dxa"/>
            <w:shd w:val="clear" w:color="auto" w:fill="1F2A44"/>
            <w:tcMar>
              <w:top w:w="100" w:type="dxa"/>
              <w:left w:w="120" w:type="dxa"/>
              <w:bottom w:w="100" w:type="dxa"/>
              <w:right w:w="120" w:type="dxa"/>
            </w:tcMar>
            <w:vAlign w:val="center"/>
          </w:tcPr>
          <w:p w14:paraId="10874C46" w14:textId="77777777" w:rsidR="00FA1B2E" w:rsidRDefault="00000000">
            <w:r>
              <w:rPr>
                <w:b/>
                <w:bCs/>
                <w:color w:val="FFFFFF"/>
              </w:rPr>
              <w:t>Avg. Order Value</w:t>
            </w:r>
          </w:p>
        </w:tc>
      </w:tr>
      <w:tr w:rsidR="00FA1B2E" w14:paraId="4D48D3AE" w14:textId="77777777">
        <w:tblPrEx>
          <w:tblCellMar>
            <w:top w:w="0" w:type="dxa"/>
            <w:bottom w:w="0" w:type="dxa"/>
          </w:tblCellMar>
        </w:tblPrEx>
        <w:tc>
          <w:tcPr>
            <w:tcW w:w="2200" w:type="dxa"/>
            <w:tcMar>
              <w:top w:w="90" w:type="dxa"/>
              <w:left w:w="120" w:type="dxa"/>
              <w:bottom w:w="90" w:type="dxa"/>
              <w:right w:w="120" w:type="dxa"/>
            </w:tcMar>
            <w:vAlign w:val="center"/>
          </w:tcPr>
          <w:p w14:paraId="78E9C5B8" w14:textId="77777777" w:rsidR="00FA1B2E" w:rsidRDefault="00000000">
            <w:r>
              <w:rPr>
                <w:color w:val="222222"/>
              </w:rPr>
              <w:t>Female</w:t>
            </w:r>
          </w:p>
        </w:tc>
        <w:tc>
          <w:tcPr>
            <w:tcW w:w="2200" w:type="dxa"/>
            <w:tcMar>
              <w:top w:w="90" w:type="dxa"/>
              <w:left w:w="120" w:type="dxa"/>
              <w:bottom w:w="90" w:type="dxa"/>
              <w:right w:w="120" w:type="dxa"/>
            </w:tcMar>
            <w:vAlign w:val="center"/>
          </w:tcPr>
          <w:p w14:paraId="3B532DA3" w14:textId="77777777" w:rsidR="00FA1B2E" w:rsidRDefault="00000000">
            <w:r>
              <w:rPr>
                <w:color w:val="222222"/>
              </w:rPr>
              <w:t>620 (62%)</w:t>
            </w:r>
          </w:p>
        </w:tc>
        <w:tc>
          <w:tcPr>
            <w:tcW w:w="2800" w:type="dxa"/>
            <w:tcMar>
              <w:top w:w="90" w:type="dxa"/>
              <w:left w:w="120" w:type="dxa"/>
              <w:bottom w:w="90" w:type="dxa"/>
              <w:right w:w="120" w:type="dxa"/>
            </w:tcMar>
            <w:vAlign w:val="center"/>
          </w:tcPr>
          <w:p w14:paraId="010AA18E" w14:textId="77777777" w:rsidR="00FA1B2E" w:rsidRDefault="00000000">
            <w:r>
              <w:rPr>
                <w:color w:val="222222"/>
              </w:rPr>
              <w:t>$1,408,881.11</w:t>
            </w:r>
          </w:p>
        </w:tc>
        <w:tc>
          <w:tcPr>
            <w:tcW w:w="2400" w:type="dxa"/>
            <w:tcMar>
              <w:top w:w="90" w:type="dxa"/>
              <w:left w:w="120" w:type="dxa"/>
              <w:bottom w:w="90" w:type="dxa"/>
              <w:right w:w="120" w:type="dxa"/>
            </w:tcMar>
            <w:vAlign w:val="center"/>
          </w:tcPr>
          <w:p w14:paraId="0FE4882D" w14:textId="77777777" w:rsidR="00FA1B2E" w:rsidRDefault="00000000">
            <w:r>
              <w:rPr>
                <w:color w:val="222222"/>
              </w:rPr>
              <w:t>$2,272.39</w:t>
            </w:r>
          </w:p>
        </w:tc>
      </w:tr>
      <w:tr w:rsidR="00FA1B2E" w14:paraId="6DC4F1D6" w14:textId="77777777">
        <w:tblPrEx>
          <w:tblCellMar>
            <w:top w:w="0" w:type="dxa"/>
            <w:bottom w:w="0" w:type="dxa"/>
          </w:tblCellMar>
        </w:tblPrEx>
        <w:tc>
          <w:tcPr>
            <w:tcW w:w="2200" w:type="dxa"/>
            <w:tcMar>
              <w:top w:w="90" w:type="dxa"/>
              <w:left w:w="120" w:type="dxa"/>
              <w:bottom w:w="90" w:type="dxa"/>
              <w:right w:w="120" w:type="dxa"/>
            </w:tcMar>
            <w:vAlign w:val="center"/>
          </w:tcPr>
          <w:p w14:paraId="7DED9B6D" w14:textId="77777777" w:rsidR="00FA1B2E" w:rsidRDefault="00000000">
            <w:r>
              <w:rPr>
                <w:color w:val="222222"/>
              </w:rPr>
              <w:t>Male</w:t>
            </w:r>
          </w:p>
        </w:tc>
        <w:tc>
          <w:tcPr>
            <w:tcW w:w="2200" w:type="dxa"/>
            <w:tcMar>
              <w:top w:w="90" w:type="dxa"/>
              <w:left w:w="120" w:type="dxa"/>
              <w:bottom w:w="90" w:type="dxa"/>
              <w:right w:w="120" w:type="dxa"/>
            </w:tcMar>
            <w:vAlign w:val="center"/>
          </w:tcPr>
          <w:p w14:paraId="1F70AB9F" w14:textId="77777777" w:rsidR="00FA1B2E" w:rsidRDefault="00000000">
            <w:r>
              <w:rPr>
                <w:color w:val="222222"/>
              </w:rPr>
              <w:t>380 (38%)</w:t>
            </w:r>
          </w:p>
        </w:tc>
        <w:tc>
          <w:tcPr>
            <w:tcW w:w="2800" w:type="dxa"/>
            <w:tcMar>
              <w:top w:w="90" w:type="dxa"/>
              <w:left w:w="120" w:type="dxa"/>
              <w:bottom w:w="90" w:type="dxa"/>
              <w:right w:w="120" w:type="dxa"/>
            </w:tcMar>
            <w:vAlign w:val="center"/>
          </w:tcPr>
          <w:p w14:paraId="4074B287" w14:textId="77777777" w:rsidR="00FA1B2E" w:rsidRDefault="00000000">
            <w:r>
              <w:rPr>
                <w:color w:val="222222"/>
              </w:rPr>
              <w:t>$956,486.66</w:t>
            </w:r>
          </w:p>
        </w:tc>
        <w:tc>
          <w:tcPr>
            <w:tcW w:w="2400" w:type="dxa"/>
            <w:tcMar>
              <w:top w:w="90" w:type="dxa"/>
              <w:left w:w="120" w:type="dxa"/>
              <w:bottom w:w="90" w:type="dxa"/>
              <w:right w:w="120" w:type="dxa"/>
            </w:tcMar>
            <w:vAlign w:val="center"/>
          </w:tcPr>
          <w:p w14:paraId="57F1AE9F" w14:textId="77777777" w:rsidR="00FA1B2E" w:rsidRDefault="00000000">
            <w:r>
              <w:rPr>
                <w:color w:val="222222"/>
              </w:rPr>
              <w:t>$2,517.07</w:t>
            </w:r>
          </w:p>
        </w:tc>
      </w:tr>
    </w:tbl>
    <w:p w14:paraId="377E840C" w14:textId="77777777" w:rsidR="00FA1B2E" w:rsidRDefault="00000000">
      <w:pPr>
        <w:pStyle w:val="Heading2"/>
        <w:spacing w:before="280" w:after="120"/>
      </w:pPr>
      <w:r>
        <w:t>Orders by Category &amp; Gender</w:t>
      </w:r>
    </w:p>
    <w:p w14:paraId="0B9C8A04" w14:textId="77777777" w:rsidR="00FA1B2E" w:rsidRDefault="00000000">
      <w:pPr>
        <w:spacing w:after="160"/>
      </w:pPr>
      <w:r>
        <w:rPr>
          <w:color w:val="222222"/>
          <w:sz w:val="22"/>
          <w:szCs w:val="22"/>
        </w:rPr>
        <w:t>Clothing dominates order volume for both genders — 211 orders from women and 127 from men — more than any other category combined for either gender. Cosmetics is the clear second category for women (100 orders) but ranks lower for men, who show relatively more balanced interest across Food &amp; Beverage (50), Shoes (42), and Toys (39).</w:t>
      </w:r>
    </w:p>
    <w:p w14:paraId="0F678423" w14:textId="77777777" w:rsidR="00FA1B2E" w:rsidRDefault="00000000">
      <w:pPr>
        <w:pStyle w:val="Heading2"/>
        <w:spacing w:before="280" w:after="120"/>
      </w:pPr>
      <w:r>
        <w:t>Purchase Category by Age Group</w:t>
      </w:r>
    </w:p>
    <w:p w14:paraId="1144ED89" w14:textId="77777777" w:rsidR="00FA1B2E" w:rsidRDefault="00000000">
      <w:pPr>
        <w:spacing w:after="160"/>
      </w:pPr>
      <w:r>
        <w:rPr>
          <w:color w:val="222222"/>
          <w:sz w:val="22"/>
          <w:szCs w:val="22"/>
        </w:rPr>
        <w:t>Clothing is the top-selling category in every single age bracket, from 18–24 through 65+, confirming it as the store's universal, cross-generational anchor category rather than a trend tied to a specific age group. Order counts for Clothing are fairly stable through the 25–54 range (55–69 orders per bracket) before tapering for 65+ (36 orders), which lines up with that group's overall lower order volume.</w:t>
      </w:r>
    </w:p>
    <w:p w14:paraId="1C596ACD" w14:textId="77777777" w:rsidR="00FA1B2E" w:rsidRDefault="00000000">
      <w:pPr>
        <w:pStyle w:val="Heading2"/>
        <w:spacing w:before="280" w:after="120"/>
      </w:pPr>
      <w:r>
        <w:t>Purchase Category by Payment Method</w:t>
      </w:r>
    </w:p>
    <w:p w14:paraId="2D62FFA2" w14:textId="77777777" w:rsidR="00FA1B2E" w:rsidRDefault="00000000">
      <w:pPr>
        <w:spacing w:after="160"/>
      </w:pPr>
      <w:r>
        <w:rPr>
          <w:color w:val="222222"/>
          <w:sz w:val="22"/>
          <w:szCs w:val="22"/>
        </w:rPr>
        <w:t>Across categories, cash is consistently the most-used payment method, followed by credit card and then debit card — the same ordering holds within Clothing (134 cash / 110 credit / 94 debit), Cosmetics, and Food &amp; Beverage. Debit card is the least-used method in every category, suggesting an opportunity to test targeted debit incentives if the business wants to shift payment mix.</w:t>
      </w:r>
    </w:p>
    <w:p w14:paraId="49F5B66E" w14:textId="77777777" w:rsidR="00FA1B2E" w:rsidRDefault="00000000">
      <w:r>
        <w:br w:type="page"/>
      </w:r>
    </w:p>
    <w:p w14:paraId="726465DC" w14:textId="0A76BD77" w:rsidR="00FA1B2E" w:rsidRDefault="00000000">
      <w:pPr>
        <w:pStyle w:val="Heading1"/>
        <w:spacing w:before="360"/>
      </w:pPr>
      <w:r>
        <w:lastRenderedPageBreak/>
        <w:t>Dashboard Page 2 — Age Insights</w:t>
      </w:r>
    </w:p>
    <w:p w14:paraId="10A4A934" w14:textId="77777777" w:rsidR="00FA1B2E" w:rsidRDefault="00000000">
      <w:pPr>
        <w:pStyle w:val="Heading2"/>
        <w:spacing w:before="280" w:after="120"/>
      </w:pPr>
      <w:r>
        <w:t>Customers by Age</w:t>
      </w:r>
    </w:p>
    <w:p w14:paraId="17FBE22C" w14:textId="77777777" w:rsidR="00FA1B2E" w:rsidRDefault="00000000">
      <w:pPr>
        <w:spacing w:after="160"/>
      </w:pPr>
      <w:r>
        <w:rPr>
          <w:color w:val="222222"/>
          <w:sz w:val="22"/>
          <w:szCs w:val="22"/>
        </w:rPr>
        <w:t>Customer counts are spread broadly and fairly evenly across the 18–69 age range, with no single age dominating — counts per individual age mostly sit between 12 and 26 customers. This even spread means age-based marketing should target ranges (brackets) rather than narrow age spikes, since there isn't a single standout age to chase.</w:t>
      </w:r>
    </w:p>
    <w:p w14:paraId="352060E4" w14:textId="77777777" w:rsidR="00FA1B2E" w:rsidRDefault="00000000">
      <w:pPr>
        <w:pStyle w:val="Heading2"/>
        <w:spacing w:before="280" w:after="120"/>
      </w:pPr>
      <w:r>
        <w:t>Quantity by Age Category</w:t>
      </w:r>
    </w:p>
    <w:p w14:paraId="3631D96E" w14:textId="77777777" w:rsidR="00FA1B2E" w:rsidRDefault="00000000">
      <w:pPr>
        <w:spacing w:after="160"/>
      </w:pPr>
      <w:r>
        <w:rPr>
          <w:color w:val="222222"/>
          <w:sz w:val="22"/>
          <w:szCs w:val="22"/>
        </w:rPr>
        <w:t>Units purchased peak in the 45–54 bracket (588 units) and 35–44 bracket (579 units), the two mid-life segments, while 65+ trails well behind every other group (294 units) — roughly half the volume of the leading brackets.</w:t>
      </w:r>
    </w:p>
    <w:tbl>
      <w:tblPr>
        <w:tblW w:w="9400" w:type="dxa"/>
        <w:tblBorders>
          <w:top w:val="single" w:sz="2" w:space="0" w:color="E3E6EA"/>
          <w:left w:val="single" w:sz="2" w:space="0" w:color="E3E6EA"/>
          <w:bottom w:val="single" w:sz="2" w:space="0" w:color="E3E6EA"/>
          <w:right w:val="single" w:sz="2" w:space="0" w:color="E3E6EA"/>
          <w:insideH w:val="single" w:sz="2" w:space="0" w:color="E3E6EA"/>
          <w:insideV w:val="single" w:sz="2" w:space="0" w:color="E3E6EA"/>
        </w:tblBorders>
        <w:tblCellMar>
          <w:left w:w="10" w:type="dxa"/>
          <w:right w:w="10" w:type="dxa"/>
        </w:tblCellMar>
        <w:tblLook w:val="0000" w:firstRow="0" w:lastRow="0" w:firstColumn="0" w:lastColumn="0" w:noHBand="0" w:noVBand="0"/>
      </w:tblPr>
      <w:tblGrid>
        <w:gridCol w:w="1700"/>
        <w:gridCol w:w="1500"/>
        <w:gridCol w:w="1500"/>
        <w:gridCol w:w="2300"/>
        <w:gridCol w:w="2400"/>
      </w:tblGrid>
      <w:tr w:rsidR="00FA1B2E" w14:paraId="732E95A5" w14:textId="77777777">
        <w:tblPrEx>
          <w:tblCellMar>
            <w:top w:w="0" w:type="dxa"/>
            <w:bottom w:w="0" w:type="dxa"/>
          </w:tblCellMar>
        </w:tblPrEx>
        <w:trPr>
          <w:tblHeader/>
        </w:trPr>
        <w:tc>
          <w:tcPr>
            <w:tcW w:w="1700" w:type="dxa"/>
            <w:shd w:val="clear" w:color="auto" w:fill="1F2A44"/>
            <w:tcMar>
              <w:top w:w="100" w:type="dxa"/>
              <w:left w:w="120" w:type="dxa"/>
              <w:bottom w:w="100" w:type="dxa"/>
              <w:right w:w="120" w:type="dxa"/>
            </w:tcMar>
            <w:vAlign w:val="center"/>
          </w:tcPr>
          <w:p w14:paraId="316F1931" w14:textId="77777777" w:rsidR="00FA1B2E" w:rsidRDefault="00000000">
            <w:r>
              <w:rPr>
                <w:b/>
                <w:bCs/>
                <w:color w:val="FFFFFF"/>
              </w:rPr>
              <w:t>Age Category</w:t>
            </w:r>
          </w:p>
        </w:tc>
        <w:tc>
          <w:tcPr>
            <w:tcW w:w="1500" w:type="dxa"/>
            <w:shd w:val="clear" w:color="auto" w:fill="1F2A44"/>
            <w:tcMar>
              <w:top w:w="100" w:type="dxa"/>
              <w:left w:w="120" w:type="dxa"/>
              <w:bottom w:w="100" w:type="dxa"/>
              <w:right w:w="120" w:type="dxa"/>
            </w:tcMar>
            <w:vAlign w:val="center"/>
          </w:tcPr>
          <w:p w14:paraId="0E264A8A" w14:textId="77777777" w:rsidR="00FA1B2E" w:rsidRDefault="00000000">
            <w:r>
              <w:rPr>
                <w:b/>
                <w:bCs/>
                <w:color w:val="FFFFFF"/>
              </w:rPr>
              <w:t>Orders</w:t>
            </w:r>
          </w:p>
        </w:tc>
        <w:tc>
          <w:tcPr>
            <w:tcW w:w="1500" w:type="dxa"/>
            <w:shd w:val="clear" w:color="auto" w:fill="1F2A44"/>
            <w:tcMar>
              <w:top w:w="100" w:type="dxa"/>
              <w:left w:w="120" w:type="dxa"/>
              <w:bottom w:w="100" w:type="dxa"/>
              <w:right w:w="120" w:type="dxa"/>
            </w:tcMar>
            <w:vAlign w:val="center"/>
          </w:tcPr>
          <w:p w14:paraId="6E064C86" w14:textId="77777777" w:rsidR="00FA1B2E" w:rsidRDefault="00000000">
            <w:r>
              <w:rPr>
                <w:b/>
                <w:bCs/>
                <w:color w:val="FFFFFF"/>
              </w:rPr>
              <w:t>Units</w:t>
            </w:r>
          </w:p>
        </w:tc>
        <w:tc>
          <w:tcPr>
            <w:tcW w:w="2300" w:type="dxa"/>
            <w:shd w:val="clear" w:color="auto" w:fill="1F2A44"/>
            <w:tcMar>
              <w:top w:w="100" w:type="dxa"/>
              <w:left w:w="120" w:type="dxa"/>
              <w:bottom w:w="100" w:type="dxa"/>
              <w:right w:w="120" w:type="dxa"/>
            </w:tcMar>
            <w:vAlign w:val="center"/>
          </w:tcPr>
          <w:p w14:paraId="02B299F5" w14:textId="77777777" w:rsidR="00FA1B2E" w:rsidRDefault="00000000">
            <w:r>
              <w:rPr>
                <w:b/>
                <w:bCs/>
                <w:color w:val="FFFFFF"/>
              </w:rPr>
              <w:t>Revenue</w:t>
            </w:r>
          </w:p>
        </w:tc>
        <w:tc>
          <w:tcPr>
            <w:tcW w:w="2400" w:type="dxa"/>
            <w:shd w:val="clear" w:color="auto" w:fill="1F2A44"/>
            <w:tcMar>
              <w:top w:w="100" w:type="dxa"/>
              <w:left w:w="120" w:type="dxa"/>
              <w:bottom w:w="100" w:type="dxa"/>
              <w:right w:w="120" w:type="dxa"/>
            </w:tcMar>
            <w:vAlign w:val="center"/>
          </w:tcPr>
          <w:p w14:paraId="18C9076D" w14:textId="77777777" w:rsidR="00FA1B2E" w:rsidRDefault="00000000">
            <w:r>
              <w:rPr>
                <w:b/>
                <w:bCs/>
                <w:color w:val="FFFFFF"/>
              </w:rPr>
              <w:t>Avg. Item Price</w:t>
            </w:r>
          </w:p>
        </w:tc>
      </w:tr>
      <w:tr w:rsidR="00FA1B2E" w14:paraId="4E287C3B" w14:textId="77777777">
        <w:tblPrEx>
          <w:tblCellMar>
            <w:top w:w="0" w:type="dxa"/>
            <w:bottom w:w="0" w:type="dxa"/>
          </w:tblCellMar>
        </w:tblPrEx>
        <w:tc>
          <w:tcPr>
            <w:tcW w:w="1700" w:type="dxa"/>
            <w:tcMar>
              <w:top w:w="90" w:type="dxa"/>
              <w:left w:w="120" w:type="dxa"/>
              <w:bottom w:w="90" w:type="dxa"/>
              <w:right w:w="120" w:type="dxa"/>
            </w:tcMar>
            <w:vAlign w:val="center"/>
          </w:tcPr>
          <w:p w14:paraId="5D2FE2DC" w14:textId="77777777" w:rsidR="00FA1B2E" w:rsidRDefault="00000000">
            <w:r>
              <w:rPr>
                <w:color w:val="222222"/>
              </w:rPr>
              <w:t>18–24</w:t>
            </w:r>
          </w:p>
        </w:tc>
        <w:tc>
          <w:tcPr>
            <w:tcW w:w="1500" w:type="dxa"/>
            <w:tcMar>
              <w:top w:w="90" w:type="dxa"/>
              <w:left w:w="120" w:type="dxa"/>
              <w:bottom w:w="90" w:type="dxa"/>
              <w:right w:w="120" w:type="dxa"/>
            </w:tcMar>
            <w:vAlign w:val="center"/>
          </w:tcPr>
          <w:p w14:paraId="111EFEF2" w14:textId="77777777" w:rsidR="00FA1B2E" w:rsidRDefault="00000000">
            <w:r>
              <w:rPr>
                <w:color w:val="222222"/>
              </w:rPr>
              <w:t>144</w:t>
            </w:r>
          </w:p>
        </w:tc>
        <w:tc>
          <w:tcPr>
            <w:tcW w:w="1500" w:type="dxa"/>
            <w:tcMar>
              <w:top w:w="90" w:type="dxa"/>
              <w:left w:w="120" w:type="dxa"/>
              <w:bottom w:w="90" w:type="dxa"/>
              <w:right w:w="120" w:type="dxa"/>
            </w:tcMar>
            <w:vAlign w:val="center"/>
          </w:tcPr>
          <w:p w14:paraId="6D274867" w14:textId="77777777" w:rsidR="00FA1B2E" w:rsidRDefault="00000000">
            <w:r>
              <w:rPr>
                <w:color w:val="222222"/>
              </w:rPr>
              <w:t>437</w:t>
            </w:r>
          </w:p>
        </w:tc>
        <w:tc>
          <w:tcPr>
            <w:tcW w:w="2300" w:type="dxa"/>
            <w:tcMar>
              <w:top w:w="90" w:type="dxa"/>
              <w:left w:w="120" w:type="dxa"/>
              <w:bottom w:w="90" w:type="dxa"/>
              <w:right w:w="120" w:type="dxa"/>
            </w:tcMar>
            <w:vAlign w:val="center"/>
          </w:tcPr>
          <w:p w14:paraId="171183FE" w14:textId="77777777" w:rsidR="00FA1B2E" w:rsidRDefault="00000000">
            <w:r>
              <w:rPr>
                <w:color w:val="222222"/>
              </w:rPr>
              <w:t>$332,695.17</w:t>
            </w:r>
          </w:p>
        </w:tc>
        <w:tc>
          <w:tcPr>
            <w:tcW w:w="2400" w:type="dxa"/>
            <w:tcMar>
              <w:top w:w="90" w:type="dxa"/>
              <w:left w:w="120" w:type="dxa"/>
              <w:bottom w:w="90" w:type="dxa"/>
              <w:right w:w="120" w:type="dxa"/>
            </w:tcMar>
            <w:vAlign w:val="center"/>
          </w:tcPr>
          <w:p w14:paraId="16016265" w14:textId="77777777" w:rsidR="00FA1B2E" w:rsidRDefault="00000000">
            <w:r>
              <w:rPr>
                <w:color w:val="222222"/>
              </w:rPr>
              <w:t>$634.29</w:t>
            </w:r>
          </w:p>
        </w:tc>
      </w:tr>
      <w:tr w:rsidR="00FA1B2E" w14:paraId="59C0A19E" w14:textId="77777777">
        <w:tblPrEx>
          <w:tblCellMar>
            <w:top w:w="0" w:type="dxa"/>
            <w:bottom w:w="0" w:type="dxa"/>
          </w:tblCellMar>
        </w:tblPrEx>
        <w:tc>
          <w:tcPr>
            <w:tcW w:w="1700" w:type="dxa"/>
            <w:tcMar>
              <w:top w:w="90" w:type="dxa"/>
              <w:left w:w="120" w:type="dxa"/>
              <w:bottom w:w="90" w:type="dxa"/>
              <w:right w:w="120" w:type="dxa"/>
            </w:tcMar>
            <w:vAlign w:val="center"/>
          </w:tcPr>
          <w:p w14:paraId="0232BE7A" w14:textId="77777777" w:rsidR="00FA1B2E" w:rsidRDefault="00000000">
            <w:r>
              <w:rPr>
                <w:color w:val="222222"/>
              </w:rPr>
              <w:t>25–34</w:t>
            </w:r>
          </w:p>
        </w:tc>
        <w:tc>
          <w:tcPr>
            <w:tcW w:w="1500" w:type="dxa"/>
            <w:tcMar>
              <w:top w:w="90" w:type="dxa"/>
              <w:left w:w="120" w:type="dxa"/>
              <w:bottom w:w="90" w:type="dxa"/>
              <w:right w:w="120" w:type="dxa"/>
            </w:tcMar>
            <w:vAlign w:val="center"/>
          </w:tcPr>
          <w:p w14:paraId="6FC1F608" w14:textId="77777777" w:rsidR="00FA1B2E" w:rsidRDefault="00000000">
            <w:r>
              <w:rPr>
                <w:color w:val="222222"/>
              </w:rPr>
              <w:t>176</w:t>
            </w:r>
          </w:p>
        </w:tc>
        <w:tc>
          <w:tcPr>
            <w:tcW w:w="1500" w:type="dxa"/>
            <w:tcMar>
              <w:top w:w="90" w:type="dxa"/>
              <w:left w:w="120" w:type="dxa"/>
              <w:bottom w:w="90" w:type="dxa"/>
              <w:right w:w="120" w:type="dxa"/>
            </w:tcMar>
            <w:vAlign w:val="center"/>
          </w:tcPr>
          <w:p w14:paraId="7F087516" w14:textId="77777777" w:rsidR="00FA1B2E" w:rsidRDefault="00000000">
            <w:r>
              <w:rPr>
                <w:color w:val="222222"/>
              </w:rPr>
              <w:t>535</w:t>
            </w:r>
          </w:p>
        </w:tc>
        <w:tc>
          <w:tcPr>
            <w:tcW w:w="2300" w:type="dxa"/>
            <w:tcMar>
              <w:top w:w="90" w:type="dxa"/>
              <w:left w:w="120" w:type="dxa"/>
              <w:bottom w:w="90" w:type="dxa"/>
              <w:right w:w="120" w:type="dxa"/>
            </w:tcMar>
            <w:vAlign w:val="center"/>
          </w:tcPr>
          <w:p w14:paraId="0280B838" w14:textId="77777777" w:rsidR="00FA1B2E" w:rsidRDefault="00000000">
            <w:r>
              <w:rPr>
                <w:color w:val="222222"/>
              </w:rPr>
              <w:t>$389,812.81</w:t>
            </w:r>
          </w:p>
        </w:tc>
        <w:tc>
          <w:tcPr>
            <w:tcW w:w="2400" w:type="dxa"/>
            <w:tcMar>
              <w:top w:w="90" w:type="dxa"/>
              <w:left w:w="120" w:type="dxa"/>
              <w:bottom w:w="90" w:type="dxa"/>
              <w:right w:w="120" w:type="dxa"/>
            </w:tcMar>
            <w:vAlign w:val="center"/>
          </w:tcPr>
          <w:p w14:paraId="1F27ED20" w14:textId="77777777" w:rsidR="00FA1B2E" w:rsidRDefault="00000000">
            <w:r>
              <w:rPr>
                <w:color w:val="222222"/>
              </w:rPr>
              <w:t>$605.98</w:t>
            </w:r>
          </w:p>
        </w:tc>
      </w:tr>
      <w:tr w:rsidR="00FA1B2E" w14:paraId="0AA692AE" w14:textId="77777777">
        <w:tblPrEx>
          <w:tblCellMar>
            <w:top w:w="0" w:type="dxa"/>
            <w:bottom w:w="0" w:type="dxa"/>
          </w:tblCellMar>
        </w:tblPrEx>
        <w:tc>
          <w:tcPr>
            <w:tcW w:w="1700" w:type="dxa"/>
            <w:tcMar>
              <w:top w:w="90" w:type="dxa"/>
              <w:left w:w="120" w:type="dxa"/>
              <w:bottom w:w="90" w:type="dxa"/>
              <w:right w:w="120" w:type="dxa"/>
            </w:tcMar>
            <w:vAlign w:val="center"/>
          </w:tcPr>
          <w:p w14:paraId="4E0515B2" w14:textId="77777777" w:rsidR="00FA1B2E" w:rsidRDefault="00000000">
            <w:r>
              <w:rPr>
                <w:color w:val="222222"/>
              </w:rPr>
              <w:t>35–44</w:t>
            </w:r>
          </w:p>
        </w:tc>
        <w:tc>
          <w:tcPr>
            <w:tcW w:w="1500" w:type="dxa"/>
            <w:tcMar>
              <w:top w:w="90" w:type="dxa"/>
              <w:left w:w="120" w:type="dxa"/>
              <w:bottom w:w="90" w:type="dxa"/>
              <w:right w:w="120" w:type="dxa"/>
            </w:tcMar>
            <w:vAlign w:val="center"/>
          </w:tcPr>
          <w:p w14:paraId="341E2BB3" w14:textId="77777777" w:rsidR="00FA1B2E" w:rsidRDefault="00000000">
            <w:r>
              <w:rPr>
                <w:color w:val="222222"/>
              </w:rPr>
              <w:t>198</w:t>
            </w:r>
          </w:p>
        </w:tc>
        <w:tc>
          <w:tcPr>
            <w:tcW w:w="1500" w:type="dxa"/>
            <w:tcMar>
              <w:top w:w="90" w:type="dxa"/>
              <w:left w:w="120" w:type="dxa"/>
              <w:bottom w:w="90" w:type="dxa"/>
              <w:right w:w="120" w:type="dxa"/>
            </w:tcMar>
            <w:vAlign w:val="center"/>
          </w:tcPr>
          <w:p w14:paraId="047F4A4C" w14:textId="77777777" w:rsidR="00FA1B2E" w:rsidRDefault="00000000">
            <w:r>
              <w:rPr>
                <w:color w:val="222222"/>
              </w:rPr>
              <w:t>579</w:t>
            </w:r>
          </w:p>
        </w:tc>
        <w:tc>
          <w:tcPr>
            <w:tcW w:w="2300" w:type="dxa"/>
            <w:tcMar>
              <w:top w:w="90" w:type="dxa"/>
              <w:left w:w="120" w:type="dxa"/>
              <w:bottom w:w="90" w:type="dxa"/>
              <w:right w:w="120" w:type="dxa"/>
            </w:tcMar>
            <w:vAlign w:val="center"/>
          </w:tcPr>
          <w:p w14:paraId="2251F80A" w14:textId="77777777" w:rsidR="00FA1B2E" w:rsidRDefault="00000000">
            <w:r>
              <w:rPr>
                <w:color w:val="222222"/>
              </w:rPr>
              <w:t>$434,615.60</w:t>
            </w:r>
          </w:p>
        </w:tc>
        <w:tc>
          <w:tcPr>
            <w:tcW w:w="2400" w:type="dxa"/>
            <w:tcMar>
              <w:top w:w="90" w:type="dxa"/>
              <w:left w:w="120" w:type="dxa"/>
              <w:bottom w:w="90" w:type="dxa"/>
              <w:right w:w="120" w:type="dxa"/>
            </w:tcMar>
            <w:vAlign w:val="center"/>
          </w:tcPr>
          <w:p w14:paraId="3DA5547A" w14:textId="77777777" w:rsidR="00FA1B2E" w:rsidRDefault="00000000">
            <w:r>
              <w:rPr>
                <w:color w:val="222222"/>
              </w:rPr>
              <w:t>$612.35</w:t>
            </w:r>
          </w:p>
        </w:tc>
      </w:tr>
      <w:tr w:rsidR="00FA1B2E" w14:paraId="1D0C364E" w14:textId="77777777">
        <w:tblPrEx>
          <w:tblCellMar>
            <w:top w:w="0" w:type="dxa"/>
            <w:bottom w:w="0" w:type="dxa"/>
          </w:tblCellMar>
        </w:tblPrEx>
        <w:tc>
          <w:tcPr>
            <w:tcW w:w="1700" w:type="dxa"/>
            <w:tcMar>
              <w:top w:w="90" w:type="dxa"/>
              <w:left w:w="120" w:type="dxa"/>
              <w:bottom w:w="90" w:type="dxa"/>
              <w:right w:w="120" w:type="dxa"/>
            </w:tcMar>
            <w:vAlign w:val="center"/>
          </w:tcPr>
          <w:p w14:paraId="3355E631" w14:textId="77777777" w:rsidR="00FA1B2E" w:rsidRDefault="00000000">
            <w:r>
              <w:rPr>
                <w:color w:val="222222"/>
              </w:rPr>
              <w:t>45–54</w:t>
            </w:r>
          </w:p>
        </w:tc>
        <w:tc>
          <w:tcPr>
            <w:tcW w:w="1500" w:type="dxa"/>
            <w:tcMar>
              <w:top w:w="90" w:type="dxa"/>
              <w:left w:w="120" w:type="dxa"/>
              <w:bottom w:w="90" w:type="dxa"/>
              <w:right w:w="120" w:type="dxa"/>
            </w:tcMar>
            <w:vAlign w:val="center"/>
          </w:tcPr>
          <w:p w14:paraId="016CBC7F" w14:textId="77777777" w:rsidR="00FA1B2E" w:rsidRDefault="00000000">
            <w:r>
              <w:rPr>
                <w:color w:val="222222"/>
              </w:rPr>
              <w:t>189</w:t>
            </w:r>
          </w:p>
        </w:tc>
        <w:tc>
          <w:tcPr>
            <w:tcW w:w="1500" w:type="dxa"/>
            <w:tcMar>
              <w:top w:w="90" w:type="dxa"/>
              <w:left w:w="120" w:type="dxa"/>
              <w:bottom w:w="90" w:type="dxa"/>
              <w:right w:w="120" w:type="dxa"/>
            </w:tcMar>
            <w:vAlign w:val="center"/>
          </w:tcPr>
          <w:p w14:paraId="43880DAF" w14:textId="77777777" w:rsidR="00FA1B2E" w:rsidRDefault="00000000">
            <w:r>
              <w:rPr>
                <w:color w:val="222222"/>
              </w:rPr>
              <w:t>588</w:t>
            </w:r>
          </w:p>
        </w:tc>
        <w:tc>
          <w:tcPr>
            <w:tcW w:w="2300" w:type="dxa"/>
            <w:tcMar>
              <w:top w:w="90" w:type="dxa"/>
              <w:left w:w="120" w:type="dxa"/>
              <w:bottom w:w="90" w:type="dxa"/>
              <w:right w:w="120" w:type="dxa"/>
            </w:tcMar>
            <w:vAlign w:val="center"/>
          </w:tcPr>
          <w:p w14:paraId="5581B93B" w14:textId="77777777" w:rsidR="00FA1B2E" w:rsidRDefault="00000000">
            <w:r>
              <w:rPr>
                <w:color w:val="222222"/>
              </w:rPr>
              <w:t>$447,712.77</w:t>
            </w:r>
          </w:p>
        </w:tc>
        <w:tc>
          <w:tcPr>
            <w:tcW w:w="2400" w:type="dxa"/>
            <w:tcMar>
              <w:top w:w="90" w:type="dxa"/>
              <w:left w:w="120" w:type="dxa"/>
              <w:bottom w:w="90" w:type="dxa"/>
              <w:right w:w="120" w:type="dxa"/>
            </w:tcMar>
            <w:vAlign w:val="center"/>
          </w:tcPr>
          <w:p w14:paraId="6CABFCC0" w14:textId="77777777" w:rsidR="00FA1B2E" w:rsidRDefault="00000000">
            <w:r>
              <w:rPr>
                <w:color w:val="222222"/>
              </w:rPr>
              <w:t>$644.98</w:t>
            </w:r>
          </w:p>
        </w:tc>
      </w:tr>
      <w:tr w:rsidR="00FA1B2E" w14:paraId="36DD764C" w14:textId="77777777">
        <w:tblPrEx>
          <w:tblCellMar>
            <w:top w:w="0" w:type="dxa"/>
            <w:bottom w:w="0" w:type="dxa"/>
          </w:tblCellMar>
        </w:tblPrEx>
        <w:tc>
          <w:tcPr>
            <w:tcW w:w="1700" w:type="dxa"/>
            <w:tcMar>
              <w:top w:w="90" w:type="dxa"/>
              <w:left w:w="120" w:type="dxa"/>
              <w:bottom w:w="90" w:type="dxa"/>
              <w:right w:w="120" w:type="dxa"/>
            </w:tcMar>
            <w:vAlign w:val="center"/>
          </w:tcPr>
          <w:p w14:paraId="788C1F2E" w14:textId="77777777" w:rsidR="00FA1B2E" w:rsidRDefault="00000000">
            <w:r>
              <w:rPr>
                <w:color w:val="222222"/>
              </w:rPr>
              <w:t>55–64</w:t>
            </w:r>
          </w:p>
        </w:tc>
        <w:tc>
          <w:tcPr>
            <w:tcW w:w="1500" w:type="dxa"/>
            <w:tcMar>
              <w:top w:w="90" w:type="dxa"/>
              <w:left w:w="120" w:type="dxa"/>
              <w:bottom w:w="90" w:type="dxa"/>
              <w:right w:w="120" w:type="dxa"/>
            </w:tcMar>
            <w:vAlign w:val="center"/>
          </w:tcPr>
          <w:p w14:paraId="3295278A" w14:textId="77777777" w:rsidR="00FA1B2E" w:rsidRDefault="00000000">
            <w:r>
              <w:rPr>
                <w:color w:val="222222"/>
              </w:rPr>
              <w:t>187</w:t>
            </w:r>
          </w:p>
        </w:tc>
        <w:tc>
          <w:tcPr>
            <w:tcW w:w="1500" w:type="dxa"/>
            <w:tcMar>
              <w:top w:w="90" w:type="dxa"/>
              <w:left w:w="120" w:type="dxa"/>
              <w:bottom w:w="90" w:type="dxa"/>
              <w:right w:w="120" w:type="dxa"/>
            </w:tcMar>
            <w:vAlign w:val="center"/>
          </w:tcPr>
          <w:p w14:paraId="1F1AAE7A" w14:textId="77777777" w:rsidR="00FA1B2E" w:rsidRDefault="00000000">
            <w:r>
              <w:rPr>
                <w:color w:val="222222"/>
              </w:rPr>
              <w:t>548</w:t>
            </w:r>
          </w:p>
        </w:tc>
        <w:tc>
          <w:tcPr>
            <w:tcW w:w="2300" w:type="dxa"/>
            <w:tcMar>
              <w:top w:w="90" w:type="dxa"/>
              <w:left w:w="120" w:type="dxa"/>
              <w:bottom w:w="90" w:type="dxa"/>
              <w:right w:w="120" w:type="dxa"/>
            </w:tcMar>
            <w:vAlign w:val="center"/>
          </w:tcPr>
          <w:p w14:paraId="5DA453E3" w14:textId="77777777" w:rsidR="00FA1B2E" w:rsidRDefault="00000000">
            <w:r>
              <w:rPr>
                <w:color w:val="222222"/>
              </w:rPr>
              <w:t>$466,593.42</w:t>
            </w:r>
          </w:p>
        </w:tc>
        <w:tc>
          <w:tcPr>
            <w:tcW w:w="2400" w:type="dxa"/>
            <w:tcMar>
              <w:top w:w="90" w:type="dxa"/>
              <w:left w:w="120" w:type="dxa"/>
              <w:bottom w:w="90" w:type="dxa"/>
              <w:right w:w="120" w:type="dxa"/>
            </w:tcMar>
            <w:vAlign w:val="center"/>
          </w:tcPr>
          <w:p w14:paraId="043315F1" w14:textId="77777777" w:rsidR="00FA1B2E" w:rsidRDefault="00000000">
            <w:r>
              <w:rPr>
                <w:color w:val="222222"/>
              </w:rPr>
              <w:t>$679.35</w:t>
            </w:r>
          </w:p>
        </w:tc>
      </w:tr>
      <w:tr w:rsidR="00FA1B2E" w14:paraId="2D5AA3BC" w14:textId="77777777">
        <w:tblPrEx>
          <w:tblCellMar>
            <w:top w:w="0" w:type="dxa"/>
            <w:bottom w:w="0" w:type="dxa"/>
          </w:tblCellMar>
        </w:tblPrEx>
        <w:tc>
          <w:tcPr>
            <w:tcW w:w="1700" w:type="dxa"/>
            <w:tcMar>
              <w:top w:w="90" w:type="dxa"/>
              <w:left w:w="120" w:type="dxa"/>
              <w:bottom w:w="90" w:type="dxa"/>
              <w:right w:w="120" w:type="dxa"/>
            </w:tcMar>
            <w:vAlign w:val="center"/>
          </w:tcPr>
          <w:p w14:paraId="691020D7" w14:textId="77777777" w:rsidR="00FA1B2E" w:rsidRDefault="00000000">
            <w:r>
              <w:rPr>
                <w:color w:val="222222"/>
              </w:rPr>
              <w:t>65+</w:t>
            </w:r>
          </w:p>
        </w:tc>
        <w:tc>
          <w:tcPr>
            <w:tcW w:w="1500" w:type="dxa"/>
            <w:tcMar>
              <w:top w:w="90" w:type="dxa"/>
              <w:left w:w="120" w:type="dxa"/>
              <w:bottom w:w="90" w:type="dxa"/>
              <w:right w:w="120" w:type="dxa"/>
            </w:tcMar>
            <w:vAlign w:val="center"/>
          </w:tcPr>
          <w:p w14:paraId="2AC8D324" w14:textId="77777777" w:rsidR="00FA1B2E" w:rsidRDefault="00000000">
            <w:r>
              <w:rPr>
                <w:color w:val="222222"/>
              </w:rPr>
              <w:t>106</w:t>
            </w:r>
          </w:p>
        </w:tc>
        <w:tc>
          <w:tcPr>
            <w:tcW w:w="1500" w:type="dxa"/>
            <w:tcMar>
              <w:top w:w="90" w:type="dxa"/>
              <w:left w:w="120" w:type="dxa"/>
              <w:bottom w:w="90" w:type="dxa"/>
              <w:right w:w="120" w:type="dxa"/>
            </w:tcMar>
            <w:vAlign w:val="center"/>
          </w:tcPr>
          <w:p w14:paraId="7558C94B" w14:textId="77777777" w:rsidR="00FA1B2E" w:rsidRDefault="00000000">
            <w:r>
              <w:rPr>
                <w:color w:val="222222"/>
              </w:rPr>
              <w:t>294</w:t>
            </w:r>
          </w:p>
        </w:tc>
        <w:tc>
          <w:tcPr>
            <w:tcW w:w="2300" w:type="dxa"/>
            <w:tcMar>
              <w:top w:w="90" w:type="dxa"/>
              <w:left w:w="120" w:type="dxa"/>
              <w:bottom w:w="90" w:type="dxa"/>
              <w:right w:w="120" w:type="dxa"/>
            </w:tcMar>
            <w:vAlign w:val="center"/>
          </w:tcPr>
          <w:p w14:paraId="6A2F2B71" w14:textId="77777777" w:rsidR="00FA1B2E" w:rsidRDefault="00000000">
            <w:r>
              <w:rPr>
                <w:color w:val="222222"/>
              </w:rPr>
              <w:t>$293,938.00</w:t>
            </w:r>
          </w:p>
        </w:tc>
        <w:tc>
          <w:tcPr>
            <w:tcW w:w="2400" w:type="dxa"/>
            <w:tcMar>
              <w:top w:w="90" w:type="dxa"/>
              <w:left w:w="120" w:type="dxa"/>
              <w:bottom w:w="90" w:type="dxa"/>
              <w:right w:w="120" w:type="dxa"/>
            </w:tcMar>
            <w:vAlign w:val="center"/>
          </w:tcPr>
          <w:p w14:paraId="2EA28F27" w14:textId="77777777" w:rsidR="00FA1B2E" w:rsidRDefault="00000000">
            <w:r>
              <w:rPr>
                <w:color w:val="222222"/>
              </w:rPr>
              <w:t>$800.38</w:t>
            </w:r>
          </w:p>
        </w:tc>
      </w:tr>
    </w:tbl>
    <w:p w14:paraId="0948319A" w14:textId="77777777" w:rsidR="00FA1B2E" w:rsidRDefault="00000000">
      <w:pPr>
        <w:pStyle w:val="Heading2"/>
        <w:spacing w:before="280" w:after="120"/>
      </w:pPr>
      <w:r>
        <w:t>Revenue by Age Category</w:t>
      </w:r>
    </w:p>
    <w:p w14:paraId="31A38D4E" w14:textId="77777777" w:rsidR="00FA1B2E" w:rsidRDefault="00000000">
      <w:pPr>
        <w:spacing w:after="160"/>
      </w:pPr>
      <w:r>
        <w:rPr>
          <w:color w:val="222222"/>
          <w:sz w:val="22"/>
          <w:szCs w:val="22"/>
        </w:rPr>
        <w:t>Revenue tells a different story than unit volume: the 55–64 bracket produces the most revenue of any age group ($466,593.42) despite ranking only third in units sold. It does so on the strength of higher-priced purchases — its average item price of $679.35 is the second-highest of any bracket. The 65+ group goes further in the same direction: fewest orders and units of any bracket, but the single highest average item price at $800.38, meaning older customers buy infrequently but choose premium items when they do buy.</w:t>
      </w:r>
    </w:p>
    <w:p w14:paraId="6A70B131" w14:textId="77777777" w:rsidR="00FA1B2E" w:rsidRDefault="00000000">
      <w:pPr>
        <w:pStyle w:val="Heading2"/>
        <w:spacing w:before="280" w:after="120"/>
      </w:pPr>
      <w:r>
        <w:t>Customers by Payment Method</w:t>
      </w:r>
    </w:p>
    <w:p w14:paraId="004A8610" w14:textId="77777777" w:rsidR="00FA1B2E" w:rsidRDefault="00000000">
      <w:pPr>
        <w:spacing w:after="160"/>
      </w:pPr>
      <w:r>
        <w:rPr>
          <w:color w:val="222222"/>
          <w:sz w:val="22"/>
          <w:szCs w:val="22"/>
        </w:rPr>
        <w:t>Cash is the most common payment method overall (420 customers, 42%), ahead of credit card (366, 36.6%) and debit card (214, 21.4%). This matches the payment pattern seen within each product category on Page 1 — cash preference is consistent across the customer base rather than concentrated in one segment.</w:t>
      </w:r>
    </w:p>
    <w:p w14:paraId="4605BE72" w14:textId="77777777" w:rsidR="00FA1B2E" w:rsidRDefault="00000000">
      <w:r>
        <w:br w:type="page"/>
      </w:r>
    </w:p>
    <w:p w14:paraId="656802D1" w14:textId="77777777" w:rsidR="00FA1B2E" w:rsidRDefault="00000000">
      <w:pPr>
        <w:pStyle w:val="Heading1"/>
        <w:spacing w:before="360"/>
      </w:pPr>
      <w:r>
        <w:lastRenderedPageBreak/>
        <w:t>Cross-Cutting Insights</w:t>
      </w:r>
    </w:p>
    <w:p w14:paraId="6240E743" w14:textId="77777777" w:rsidR="00FA1B2E" w:rsidRDefault="00000000">
      <w:pPr>
        <w:pStyle w:val="Heading2"/>
        <w:spacing w:before="280" w:after="120"/>
      </w:pPr>
      <w:r>
        <w:t>Revenue concentration in three categories</w:t>
      </w:r>
    </w:p>
    <w:p w14:paraId="6EF4DF49" w14:textId="77777777" w:rsidR="00FA1B2E" w:rsidRDefault="00000000">
      <w:pPr>
        <w:spacing w:after="160"/>
      </w:pPr>
      <w:r>
        <w:rPr>
          <w:color w:val="222222"/>
          <w:sz w:val="22"/>
          <w:szCs w:val="22"/>
        </w:rPr>
        <w:t>Clothing, Shoes, and Technology together account for 94.2% of total revenue ($2,227,073.58 of $2,365,367.77), even though they represent well under half of all orders. Clothing wins on volume (338 orders); Shoes and Technology win on price ($1,818 and $3,200 average item price respectively, versus $867 for Clothing and far less for every other category). The remaining five categories — Cosmetics, Toys, Books, Souvenir, Food &amp; Beverage — are high-frequency-adjacent but contribute under 6% of revenue combined.</w:t>
      </w:r>
    </w:p>
    <w:p w14:paraId="4326ED94" w14:textId="77777777" w:rsidR="00FA1B2E" w:rsidRDefault="00000000">
      <w:pPr>
        <w:pStyle w:val="Heading2"/>
        <w:spacing w:before="280" w:after="120"/>
      </w:pPr>
      <w:r>
        <w:t>Age and spend-per-item move together</w:t>
      </w:r>
    </w:p>
    <w:p w14:paraId="47751C8F" w14:textId="77777777" w:rsidR="00FA1B2E" w:rsidRDefault="00000000">
      <w:pPr>
        <w:spacing w:after="160"/>
      </w:pPr>
      <w:r>
        <w:rPr>
          <w:color w:val="222222"/>
          <w:sz w:val="22"/>
          <w:szCs w:val="22"/>
        </w:rPr>
        <w:t>Average item price rises fairly steadily with age: from about $606–634 in the under-35 brackets, up to $645, $679, and finally $800 for 65+. Older customers shop less often but trade up when they do — a pattern worth testing with premium bundles or loyalty offers aimed specifically at the 55+ segment, where revenue-per-visit is highest.</w:t>
      </w:r>
    </w:p>
    <w:p w14:paraId="72D572F6" w14:textId="77777777" w:rsidR="00FA1B2E" w:rsidRDefault="00000000">
      <w:pPr>
        <w:pStyle w:val="Heading2"/>
        <w:spacing w:before="280" w:after="120"/>
      </w:pPr>
      <w:r>
        <w:t>Gender: reach vs. value</w:t>
      </w:r>
    </w:p>
    <w:p w14:paraId="01A83F7B" w14:textId="77777777" w:rsidR="00FA1B2E" w:rsidRDefault="00000000">
      <w:pPr>
        <w:spacing w:after="160"/>
      </w:pPr>
      <w:r>
        <w:rPr>
          <w:color w:val="222222"/>
          <w:sz w:val="22"/>
          <w:szCs w:val="22"/>
        </w:rPr>
        <w:t>Female customers are the larger audience (62% of the base, 60% of revenue) and should remain the primary volume driver in acquisition efforts. Male customers, while a smaller group, spend about 11% more per order — a segment worth targeting with higher-ticket categories (Technology, Shoes) where they may already over-index, rather than competing on volume alone.</w:t>
      </w:r>
    </w:p>
    <w:p w14:paraId="2E980BC1" w14:textId="77777777" w:rsidR="00FA1B2E" w:rsidRDefault="00000000">
      <w:r>
        <w:br w:type="page"/>
      </w:r>
    </w:p>
    <w:p w14:paraId="1A07BC31" w14:textId="77777777" w:rsidR="00FA1B2E" w:rsidRDefault="00000000">
      <w:pPr>
        <w:pStyle w:val="Heading1"/>
        <w:spacing w:before="360"/>
      </w:pPr>
      <w:r>
        <w:lastRenderedPageBreak/>
        <w:t>Recommendations</w:t>
      </w:r>
    </w:p>
    <w:p w14:paraId="35CB50F2" w14:textId="77777777" w:rsidR="00FA1B2E" w:rsidRDefault="00000000">
      <w:pPr>
        <w:pStyle w:val="ListParagraph"/>
        <w:numPr>
          <w:ilvl w:val="0"/>
          <w:numId w:val="1"/>
        </w:numPr>
        <w:spacing w:after="100"/>
      </w:pPr>
      <w:r>
        <w:rPr>
          <w:color w:val="222222"/>
          <w:sz w:val="22"/>
          <w:szCs w:val="22"/>
        </w:rPr>
        <w:t>Protect and grow the Clothing category — it is the only category that performs consistently across every gender and age segment, and remains the largest single revenue contributor.</w:t>
      </w:r>
    </w:p>
    <w:p w14:paraId="53ED2B64" w14:textId="77777777" w:rsidR="00FA1B2E" w:rsidRDefault="00000000">
      <w:pPr>
        <w:pStyle w:val="ListParagraph"/>
        <w:numPr>
          <w:ilvl w:val="0"/>
          <w:numId w:val="1"/>
        </w:numPr>
        <w:spacing w:after="100"/>
      </w:pPr>
      <w:r>
        <w:rPr>
          <w:color w:val="222222"/>
          <w:sz w:val="22"/>
          <w:szCs w:val="22"/>
        </w:rPr>
        <w:t>Use Technology and Shoes as margin/AOV drivers: cross-sell them to loyal Clothing shoppers, especially male customers and the 55+ segment, where average spend per item is already highest.</w:t>
      </w:r>
    </w:p>
    <w:p w14:paraId="4CA68AD2" w14:textId="77777777" w:rsidR="00FA1B2E" w:rsidRDefault="00000000">
      <w:pPr>
        <w:pStyle w:val="ListParagraph"/>
        <w:numPr>
          <w:ilvl w:val="0"/>
          <w:numId w:val="1"/>
        </w:numPr>
        <w:spacing w:after="100"/>
      </w:pPr>
      <w:r>
        <w:rPr>
          <w:color w:val="222222"/>
          <w:sz w:val="22"/>
          <w:szCs w:val="22"/>
        </w:rPr>
        <w:t>Design a re-engagement offer for the 65+ segment — it has the fewest orders and lowest total revenue of any age bracket, despite spending the most per item; even a modest lift in visit frequency here could be high-value.</w:t>
      </w:r>
    </w:p>
    <w:p w14:paraId="2C287EEB" w14:textId="77777777" w:rsidR="00FA1B2E" w:rsidRDefault="00000000">
      <w:pPr>
        <w:pStyle w:val="ListParagraph"/>
        <w:numPr>
          <w:ilvl w:val="0"/>
          <w:numId w:val="1"/>
        </w:numPr>
        <w:spacing w:after="100"/>
      </w:pPr>
      <w:r>
        <w:rPr>
          <w:color w:val="222222"/>
          <w:sz w:val="22"/>
          <w:szCs w:val="22"/>
        </w:rPr>
        <w:t>Investigate the debit card gap — it trails cash and credit in every category and age group; a targeted debit promotion could shift payment mix without much category-specific customization.</w:t>
      </w:r>
    </w:p>
    <w:p w14:paraId="2899D50A" w14:textId="77777777" w:rsidR="00FA1B2E" w:rsidRDefault="00000000">
      <w:pPr>
        <w:pStyle w:val="ListParagraph"/>
        <w:numPr>
          <w:ilvl w:val="0"/>
          <w:numId w:val="1"/>
        </w:numPr>
        <w:spacing w:after="100"/>
      </w:pPr>
      <w:r>
        <w:rPr>
          <w:color w:val="222222"/>
          <w:sz w:val="22"/>
          <w:szCs w:val="22"/>
        </w:rPr>
        <w:t>Prioritize female-focused acquisition campaigns for reach (62% of customers) alongside male-focused campaigns for value (11% higher average order value), rather than a one-size-fits-all approach.</w:t>
      </w:r>
    </w:p>
    <w:sectPr w:rsidR="00FA1B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23E4C"/>
    <w:multiLevelType w:val="hybridMultilevel"/>
    <w:tmpl w:val="6E8A0F6C"/>
    <w:lvl w:ilvl="0" w:tplc="F8A0DCB0">
      <w:start w:val="1"/>
      <w:numFmt w:val="bullet"/>
      <w:lvlText w:val="●"/>
      <w:lvlJc w:val="left"/>
      <w:pPr>
        <w:ind w:left="720" w:hanging="360"/>
      </w:pPr>
    </w:lvl>
    <w:lvl w:ilvl="1" w:tplc="F3EAF4AE">
      <w:start w:val="1"/>
      <w:numFmt w:val="bullet"/>
      <w:lvlText w:val="○"/>
      <w:lvlJc w:val="left"/>
      <w:pPr>
        <w:ind w:left="1440" w:hanging="360"/>
      </w:pPr>
    </w:lvl>
    <w:lvl w:ilvl="2" w:tplc="6F92BDC8">
      <w:start w:val="1"/>
      <w:numFmt w:val="bullet"/>
      <w:lvlText w:val="■"/>
      <w:lvlJc w:val="left"/>
      <w:pPr>
        <w:ind w:left="2160" w:hanging="360"/>
      </w:pPr>
    </w:lvl>
    <w:lvl w:ilvl="3" w:tplc="5B100362">
      <w:start w:val="1"/>
      <w:numFmt w:val="bullet"/>
      <w:lvlText w:val="●"/>
      <w:lvlJc w:val="left"/>
      <w:pPr>
        <w:ind w:left="2880" w:hanging="360"/>
      </w:pPr>
    </w:lvl>
    <w:lvl w:ilvl="4" w:tplc="1ECCCECE">
      <w:start w:val="1"/>
      <w:numFmt w:val="bullet"/>
      <w:lvlText w:val="○"/>
      <w:lvlJc w:val="left"/>
      <w:pPr>
        <w:ind w:left="3600" w:hanging="360"/>
      </w:pPr>
    </w:lvl>
    <w:lvl w:ilvl="5" w:tplc="3880EB0A">
      <w:start w:val="1"/>
      <w:numFmt w:val="bullet"/>
      <w:lvlText w:val="■"/>
      <w:lvlJc w:val="left"/>
      <w:pPr>
        <w:ind w:left="4320" w:hanging="360"/>
      </w:pPr>
    </w:lvl>
    <w:lvl w:ilvl="6" w:tplc="924A97FA">
      <w:start w:val="1"/>
      <w:numFmt w:val="bullet"/>
      <w:lvlText w:val="●"/>
      <w:lvlJc w:val="left"/>
      <w:pPr>
        <w:ind w:left="5040" w:hanging="360"/>
      </w:pPr>
    </w:lvl>
    <w:lvl w:ilvl="7" w:tplc="E2789A02">
      <w:start w:val="1"/>
      <w:numFmt w:val="bullet"/>
      <w:lvlText w:val="●"/>
      <w:lvlJc w:val="left"/>
      <w:pPr>
        <w:ind w:left="5760" w:hanging="360"/>
      </w:pPr>
    </w:lvl>
    <w:lvl w:ilvl="8" w:tplc="D026BF62">
      <w:start w:val="1"/>
      <w:numFmt w:val="bullet"/>
      <w:lvlText w:val="●"/>
      <w:lvlJc w:val="left"/>
      <w:pPr>
        <w:ind w:left="6480" w:hanging="360"/>
      </w:pPr>
    </w:lvl>
  </w:abstractNum>
  <w:num w:numId="1" w16cid:durableId="356322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2E"/>
    <w:rsid w:val="00390F40"/>
    <w:rsid w:val="00867108"/>
    <w:rsid w:val="00FA1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5628"/>
  <w15:docId w15:val="{6A4ECF0D-0665-449E-BA00-6CA0055D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A44"/>
      <w:sz w:val="32"/>
      <w:szCs w:val="32"/>
    </w:rPr>
  </w:style>
  <w:style w:type="paragraph" w:styleId="Heading2">
    <w:name w:val="heading 2"/>
    <w:uiPriority w:val="9"/>
    <w:unhideWhenUsed/>
    <w:qFormat/>
    <w:pPr>
      <w:spacing w:before="240" w:after="100"/>
      <w:outlineLvl w:val="1"/>
    </w:pPr>
    <w:rPr>
      <w:b/>
      <w:bCs/>
      <w:color w:val="2E7D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1180</Words>
  <Characters>6727</Characters>
  <Application>Microsoft Office Word</Application>
  <DocSecurity>0</DocSecurity>
  <Lines>56</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mobeena shaik</cp:lastModifiedBy>
  <cp:revision>2</cp:revision>
  <dcterms:created xsi:type="dcterms:W3CDTF">2026-08-20T10:22:00Z</dcterms:created>
  <dcterms:modified xsi:type="dcterms:W3CDTF">2026-08-20T10:28:00Z</dcterms:modified>
</cp:coreProperties>
</file>