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FocalDesk Architecture and IPC Reference</w:t>
      </w:r>
    </w:p>
    <w:p>
      <w:pPr>
        <w:pStyle w:val="Subtitle"/>
        <w:spacing w:after="320"/>
      </w:pPr>
      <w:r>
        <w:rPr>
          <w:color w:val="505050"/>
        </w:rPr>
        <w:t>System boundaries typed interfaces and replaceable shell clients</w:t>
      </w:r>
    </w:p>
    <w:p>
      <w:pPr>
        <w:pStyle w:val="Heading1"/>
        <w:keepNext/>
      </w:pPr>
      <w:r>
        <w:t>Purpose and central design</w:t>
      </w:r>
    </w:p>
    <w:p>
      <w:r>
        <w:t>This reference is for engineers integrating with or changing FocalDesk. The compositor owns time-sensitive desktop state and rendering. Desktop services and shell clients are separate processes that communicate through typed IPC, so a slow service cannot take ownership of the frame loop.</w:t>
      </w:r>
    </w:p>
    <w:p>
      <w:pPr>
        <w:pStyle w:val="Heading1"/>
        <w:keepNext/>
      </w:pPr>
      <w:r>
        <w:t>System responsibility boundaries</w:t>
      </w:r>
    </w:p>
    <w:p>
      <w:r>
        <w:t>The compositor handles Wayland protocol, surfaces, input routing, focus, window and workspace state, layout, outputs, damage, rendering, and presentation. Services own launch, settings, notifications, power, dialogs, controls, AI, automation, and other long-running workflows. Applications submit surfaces and protocol commits, not placement or scanout policy.</w:t>
      </w:r>
    </w:p>
    <w:tbl>
      <w:tblPr>
        <w:tblStyle w:val="TableGrid"/>
        <w:tblW w:type="auto" w:w="0"/>
        <w:jc w:val="center"/>
        <w:tblLook w:firstColumn="1" w:firstRow="1" w:lastColumn="0" w:lastRow="0" w:noHBand="0" w:noVBand="1" w:val="04A0"/>
      </w:tblPr>
      <w:tblGrid>
        <w:gridCol w:w="3293"/>
        <w:gridCol w:w="3293"/>
        <w:gridCol w:w="3293"/>
      </w:tblGrid>
      <w:tr>
        <w:tc>
          <w:tcPr>
            <w:tcW w:type="dxa" w:w="1944"/>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Layer</w:t>
            </w:r>
          </w:p>
        </w:tc>
        <w:tc>
          <w:tcPr>
            <w:tcW w:type="dxa" w:w="4392"/>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Owns</w:t>
            </w:r>
          </w:p>
        </w:tc>
        <w:tc>
          <w:tcPr>
            <w:tcW w:type="dxa" w:w="3456"/>
            <w:shd w:fill="1F4E7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b/>
                <w:color w:val="FFFFFF"/>
                <w:sz w:val="18"/>
              </w:rPr>
              <w:t>Does not own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Compositor engine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Display, input, workspace state, rendering, output coordination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Long-running policy workflows or service persistence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Desktop services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Typed domain operations and durable service state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Compositor frame-loop authority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Shell clients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User interfaces built over typed contracts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r>
              <w:rPr>
                <w:sz w:val="18"/>
              </w:rPr>
              <w:t>Direct mutation of compositor internals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MCP and agents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Policy-constrained translation to approved IPC operations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3F7FA"/>
          </w:tcPr>
          <w:p>
            <w:r>
              <w:rPr>
                <w:sz w:val="18"/>
              </w:rPr>
              <w:t>An alternate unrestricted desktop API</w:t>
            </w:r>
          </w:p>
        </w:tc>
      </w:tr>
    </w:tbl>
    <w:p>
      <w:pPr>
        <w:spacing w:after="40"/>
      </w:pPr>
    </w:p>
    <w:p>
      <w:pPr>
        <w:pStyle w:val="Heading1"/>
        <w:keepNext/>
      </w:pPr>
      <w:r>
        <w:t>IPC contract</w:t>
      </w:r>
    </w:p>
    <w:p>
      <w:r>
        <w:t>FocalDesk IPC is private, typed, and capability-oriented. Request, response, and event types form the boundary between the compositor, services, and shell applications. A client should request a defined operation rather than reach into another component’s state. New interfaces should preserve validation, authorization, error handling, auditability, and version-conscious behavior at the boundary.</w:t>
      </w:r>
    </w:p>
    <w:p>
      <w:r>
        <w:t>MCP sits on top of typed IPC as a policy and translation layer. Its catalog is intentionally read-heavy. Mutating calls require exact capability grants, explicit confirmation, and audit; it must never expose plaintext credentials.</w:t>
      </w:r>
    </w:p>
    <w:p>
      <w:pPr>
        <w:pStyle w:val="Heading1"/>
        <w:keepNext/>
      </w:pPr>
      <w:r>
        <w:t>Shell client model</w:t>
      </w:r>
    </w:p>
    <w:p>
      <w:r>
        <w:t>GTK shell clients are replaceable consumers of the system contracts. They should not duplicate compositor policy, invent a competing persistence model, or rely on private assumptions that make another shell impossible. Keep each client focused on its presentation and bounded interaction role, and locate shared domain decisions in the appropriate service or compositor contract.</w:t>
      </w:r>
    </w:p>
    <w:p>
      <w:pPr>
        <w:pStyle w:val="Heading1"/>
        <w:keepNext/>
      </w:pPr>
      <w:r>
        <w:t>Engineering implications</w:t>
      </w:r>
    </w:p>
    <w:p>
      <w:r>
        <w:t>When changing desktop behavior, first identify the owner: compositor for frame-critical state, a service for domain policy and persistence, or a shell client for presentation. Test typed boundaries directly where possible; then use nested compositor testing before a direct DRM session. Preserve recovery access and report hardware, backend, topology, and manual validation for graphics, capture, or HDR changes.</w:t>
      </w:r>
    </w:p>
    <w:p>
      <w:pPr>
        <w:pStyle w:val="Heading1"/>
        <w:keepNext/>
      </w:pPr>
      <w:r>
        <w:t>Source documentation</w:t>
      </w:r>
    </w:p>
    <w:p>
      <w:r>
        <w:t>This guide is a repository-grounded companion to the following maintained Markdown sources: docs/architecture.md, docs/ipc.md, docs/architecture/trusted-shell-clients.md, docs/engineering.md, docs/mcp.md, README.md. Consult those files for implementation detail and the current command syntax.</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FocalDesk documentation guide  •  Repository grounded  •  25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