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FocalDesk Security and Privacy Guide</w:t>
      </w:r>
    </w:p>
    <w:p>
      <w:pPr>
        <w:pStyle w:val="Subtitle"/>
        <w:spacing w:after="320"/>
      </w:pPr>
      <w:r>
        <w:rPr>
          <w:color w:val="505050"/>
        </w:rPr>
        <w:t>Trust boundaries credentials consent automation and reporting</w:t>
      </w:r>
    </w:p>
    <w:p>
      <w:pPr>
        <w:pStyle w:val="Heading1"/>
        <w:keepNext/>
      </w:pPr>
      <w:r>
        <w:t>Purpose and central rule</w:t>
      </w:r>
    </w:p>
    <w:p>
      <w:r>
        <w:t>This guide explains how FocalDesk limits authority and sensitive data. Use Settings and the typed service interfaces for ordinary work. Treat AI, automation, remote access, connectors, and credential operations as opt-in capabilities with separate consent, confirmation, and audit boundaries.</w:t>
      </w:r>
    </w:p>
    <w:p>
      <w:pPr>
        <w:pStyle w:val="Heading1"/>
        <w:keepNext/>
      </w:pPr>
      <w:r>
        <w:t>Security model</w:t>
      </w:r>
    </w:p>
    <w:p>
      <w:r>
        <w:t>FocalDesk separates time-sensitive compositor work from service policy, uses private typed IPC for trusted components, and defaults sensitive features to disabled or narrowly scoped. A feature being installed does not mean it is authorized, network-enabled, or active. Keep recovery access to a known-good desktop or TTY when experimenting with alpha session software.</w:t>
      </w:r>
    </w:p>
    <w:tbl>
      <w:tblPr>
        <w:tblStyle w:val="TableGrid"/>
        <w:tblW w:type="auto" w:w="0"/>
        <w:jc w:val="center"/>
        <w:tblLook w:firstColumn="1" w:firstRow="1" w:lastColumn="0" w:lastRow="0" w:noHBand="0" w:noVBand="1" w:val="04A0"/>
      </w:tblPr>
      <w:tblGrid>
        <w:gridCol w:w="3293"/>
        <w:gridCol w:w="3293"/>
        <w:gridCol w:w="3293"/>
      </w:tblGrid>
      <w:tr>
        <w:tc>
          <w:tcPr>
            <w:tcW w:type="dxa" w:w="1944"/>
            <w:shd w:fill="1F4E7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Area</w:t>
            </w:r>
          </w:p>
        </w:tc>
        <w:tc>
          <w:tcPr>
            <w:tcW w:type="dxa" w:w="3960"/>
            <w:shd w:fill="1F4E7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Protection</w:t>
            </w:r>
          </w:p>
        </w:tc>
        <w:tc>
          <w:tcPr>
            <w:tcW w:type="dxa" w:w="3888"/>
            <w:shd w:fill="1F4E7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Operator expectation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Credentials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Brokered opaque handles and ACL-protected access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Never place keys in settings files, screenshots, shell history, or tickets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Agents and MCP</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Capabilities, budgets, confirmation, and audit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Review manifests and tools; grant only required scope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Events and context</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Consent, minimization, expiry, and grants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Enable only necessary sources and fields; clear data when no longer needed</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Connectors and remote access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Disabled by default and separately controlled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Avoid broad network exposure; retain explicit stop controls</w:t>
            </w:r>
          </w:p>
        </w:tc>
      </w:tr>
    </w:tbl>
    <w:p>
      <w:pPr>
        <w:spacing w:after="40"/>
      </w:pPr>
    </w:p>
    <w:p>
      <w:pPr>
        <w:pStyle w:val="Heading1"/>
        <w:keepNext/>
      </w:pPr>
      <w:r>
        <w:t>Credentials and secret handling</w:t>
      </w:r>
    </w:p>
    <w:p>
      <w:r>
        <w:t>focald-secrets supplies a native ACL-protected socket and the standard Secret Service API. Secrets remain opaque to the AI and MCP layers. Provider credentials are stored at designated secret handles; environment variables are development or upgrade fallbacks, not a reason to put credentials into general configuration.</w:t>
      </w:r>
    </w:p>
    <w:p>
      <w:r>
        <w:t>If migrating from GNOME Keyring, preview the copy operation first. Both implementations cannot own org.freedesktop.secrets simultaneously. The migration copies readable entries rather than deleting originals; review secrets and service ownership before changing the active broker.</w:t>
      </w:r>
    </w:p>
    <w:p>
      <w:pPr>
        <w:pStyle w:val="Heading1"/>
        <w:keepNext/>
      </w:pPr>
      <w:r>
        <w:t>Consent privacy and automation</w:t>
      </w:r>
    </w:p>
    <w:p>
      <w:r>
        <w:t>Event Fabric copies only explicitly permitted scalar fields into bounded redacted envelopes. Context Fabric does not collect screen pixels, clipboard contents, keystrokes, arbitrary files, or secret values. Agents require an expiring context grant and still cannot treat context as authority. Attention routines can create suggestions but cannot start a run or mutation.</w:t>
      </w:r>
    </w:p>
    <w:p>
      <w:r>
        <w:t>Automation, connector, and remote-desktop functions are intentionally separate opt-in systems. An agent or package cannot grant itself authority. For mutations, preserve native one-shot confirmation and audit behavior rather than substituting a broad remembered approval.</w:t>
      </w:r>
    </w:p>
    <w:p>
      <w:pPr>
        <w:pStyle w:val="Heading1"/>
        <w:keepNext/>
      </w:pPr>
      <w:r>
        <w:t>Reporting vulnerabilities</w:t>
      </w:r>
    </w:p>
    <w:p>
      <w:r>
        <w:t>Report potential vulnerabilities privately through the process in SECURITY.md. Include a clear description, affected version or commit, reproduction details, impact, and any suggested mitigation. Do not publish exploit details before maintainers have had an opportunity to investigate and coordinate a fix.</w:t>
      </w:r>
    </w:p>
    <w:p>
      <w:pPr>
        <w:pStyle w:val="Heading1"/>
        <w:keepNext/>
      </w:pPr>
      <w:r>
        <w:t>Operational checks</w:t>
      </w:r>
    </w:p>
    <w:p>
      <w:r>
        <w:t>Use focaldesk-cli diagnostics --no-logs for a bounded diagnostic bundle without log contents. Review bundles before sharing because metadata can still be sensitive. Check service health with systemctl --user --failed and examine focused logs with journalctl; avoid copying credentials, tokens, or personal data into issue reports.</w:t>
      </w:r>
    </w:p>
    <w:p>
      <w:pPr>
        <w:pStyle w:val="Heading1"/>
        <w:keepNext/>
      </w:pPr>
      <w:r>
        <w:t>Source documentation</w:t>
      </w:r>
    </w:p>
    <w:p>
      <w:r>
        <w:t>This guide is a repository-grounded companion to the following maintained Markdown sources: SECURITY.md, docs/secrets.md, docs/mcp.md, docs/event-fabric.md, docs/context-fabric.md, docs/connector-sdk.md, docs/remote-desktop.md. Consult those files for implementation detail and the current command syntax.</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FocalDesk documentation guide  •  Repository grounded  •  25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