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FocalDesk AI and Credentials Guide</w:t>
      </w:r>
    </w:p>
    <w:p>
      <w:pPr>
        <w:spacing w:after="280"/>
      </w:pPr>
      <w:r>
        <w:rPr>
          <w:color w:val="464646"/>
          <w:sz w:val="24"/>
        </w:rPr>
        <w:t>Providers permissions credential broker and agent safety</w:t>
      </w:r>
    </w:p>
    <w:p>
      <w:pPr>
        <w:pStyle w:val="Heading1"/>
      </w:pPr>
      <w:r>
        <w:t>Purpose</w:t>
      </w:r>
    </w:p>
    <w:p>
      <w:pPr>
        <w:spacing w:after="180"/>
      </w:pPr>
      <w:r>
        <w:t>This guide is a concise, repository-grounded reference for ai and credentials. FocalDesk remains alpha software; retain recovery access and use the project’s typed Settings and service interfaces for ordinary work.</w:t>
      </w:r>
    </w:p>
    <w:tbl>
      <w:tblPr>
        <w:tblW w:type="auto" w:w="0"/>
        <w:jc w:val="center"/>
        <w:tblLayout w:type="fixed"/>
        <w:tblLook w:firstColumn="1" w:firstRow="1" w:lastColumn="0" w:lastRow="0" w:noHBand="0" w:noVBand="1" w:val="04A0"/>
      </w:tblPr>
      <w:tblGrid>
        <w:gridCol w:w="4997"/>
        <w:gridCol w:w="4997"/>
      </w:tblGrid>
      <w:tr>
        <w:tc>
          <w:tcPr>
            <w:tcW w:type="dxa" w:w="2592"/>
            <w:shd w:fill="17365D"/>
          </w:tcPr>
          <w:p>
            <w:r>
              <w:rPr>
                <w:b/>
                <w:color w:val="FFFFFF"/>
              </w:rPr>
              <w:t>Topic</w:t>
            </w:r>
          </w:p>
        </w:tc>
        <w:tc>
          <w:tcPr>
            <w:tcW w:type="dxa" w:w="7920"/>
            <w:shd w:fill="17365D"/>
          </w:tcPr>
          <w:p>
            <w:r>
              <w:rPr>
                <w:b/>
                <w:color w:val="FFFFFF"/>
              </w:rPr>
              <w:t>Guidance</w:t>
            </w:r>
          </w:p>
        </w:tc>
      </w:tr>
      <w:tr>
        <w:tc>
          <w:tcPr>
            <w:tcW w:type="dxa" w:w="2592"/>
            <w:shd w:fill="FFFFFF"/>
            <w:vAlign w:val="center"/>
          </w:tcPr>
          <w:p>
            <w:r>
              <w:rPr>
                <w:sz w:val="19"/>
              </w:rPr>
              <w:t>Security boundary</w:t>
            </w:r>
          </w:p>
        </w:tc>
        <w:tc>
          <w:tcPr>
            <w:tcW w:type="dxa" w:w="7920"/>
            <w:shd w:fill="FFFFFF"/>
            <w:vAlign w:val="center"/>
          </w:tcPr>
          <w:p>
            <w:r>
              <w:rPr>
                <w:sz w:val="19"/>
              </w:rPr>
              <w:t>AI, automation, agents, and credentials are permissioned experimental features. The broker never exposes plaintext secrets through MCP. Use the permission UI for normal decisions and do not put keys in settings files, screenshots, shell history, or shared logs.</w:t>
            </w:r>
          </w:p>
        </w:tc>
      </w:tr>
      <w:tr>
        <w:tc>
          <w:tcPr>
            <w:tcW w:type="dxa" w:w="2592"/>
            <w:shd w:fill="F3F7FB"/>
            <w:vAlign w:val="center"/>
          </w:tcPr>
          <w:p>
            <w:r>
              <w:rPr>
                <w:sz w:val="19"/>
              </w:rPr>
              <w:t>Credential broker</w:t>
            </w:r>
          </w:p>
        </w:tc>
        <w:tc>
          <w:tcPr>
            <w:tcW w:type="dxa" w:w="7920"/>
            <w:shd w:fill="F3F7FB"/>
            <w:vAlign w:val="center"/>
          </w:tcPr>
          <w:p>
            <w:r>
              <w:rPr>
                <w:sz w:val="19"/>
              </w:rPr>
              <w:t>focald-secrets provides a native, ACL-protected FocalDesk socket and the standard org.freedesktop.secrets API. On Fedora with focaldmd, PAM unlocks the broker at login. Its packaged ACL is default-deny for native service access.</w:t>
            </w:r>
          </w:p>
        </w:tc>
      </w:tr>
      <w:tr>
        <w:tc>
          <w:tcPr>
            <w:tcW w:type="dxa" w:w="2592"/>
            <w:shd w:fill="FFFFFF"/>
            <w:vAlign w:val="center"/>
          </w:tcPr>
          <w:p>
            <w:r>
              <w:rPr>
                <w:sz w:val="19"/>
              </w:rPr>
              <w:t>Provider setup</w:t>
            </w:r>
          </w:p>
        </w:tc>
        <w:tc>
          <w:tcPr>
            <w:tcW w:type="dxa" w:w="7920"/>
            <w:shd w:fill="FFFFFF"/>
            <w:vAlign w:val="center"/>
          </w:tcPr>
          <w:p>
            <w:r>
              <w:rPr>
                <w:sz w:val="19"/>
              </w:rPr>
              <w:t>Cloud-backed providers look for ai/openai-api-key, ai/anthropic-api-key, or ai/vllm-api-key in focald-secrets. Environment variables remain development and upgrade fallbacks. Restart focaldesk-server.service after changing a stored provider key.</w:t>
            </w:r>
          </w:p>
        </w:tc>
      </w:tr>
      <w:tr>
        <w:tc>
          <w:tcPr>
            <w:tcW w:type="dxa" w:w="2592"/>
            <w:shd w:fill="F3F7FB"/>
            <w:vAlign w:val="center"/>
          </w:tcPr>
          <w:p>
            <w:r>
              <w:rPr>
                <w:sz w:val="19"/>
              </w:rPr>
              <w:t>GNOME Keyring migration</w:t>
            </w:r>
          </w:p>
        </w:tc>
        <w:tc>
          <w:tcPr>
            <w:tcW w:type="dxa" w:w="7920"/>
            <w:shd w:fill="F3F7FB"/>
            <w:vAlign w:val="center"/>
          </w:tcPr>
          <w:p>
            <w:r>
              <w:rPr>
                <w:sz w:val="19"/>
              </w:rPr>
              <w:t>GNOME Keyring and focald-secrets cannot own org.freedesktop.secrets simultaneously. While GNOME Keyring is active, preview then optionally import readable entries with focald-secrets-import-gnome-keyring --dry-run and --import. The import copies rather than deletes originals.</w:t>
            </w:r>
          </w:p>
        </w:tc>
      </w:tr>
      <w:tr>
        <w:tc>
          <w:tcPr>
            <w:tcW w:type="dxa" w:w="2592"/>
            <w:shd w:fill="FFFFFF"/>
            <w:vAlign w:val="center"/>
          </w:tcPr>
          <w:p>
            <w:r>
              <w:rPr>
                <w:sz w:val="19"/>
              </w:rPr>
              <w:t>Agents and permissions</w:t>
            </w:r>
          </w:p>
        </w:tc>
        <w:tc>
          <w:tcPr>
            <w:tcW w:type="dxa" w:w="7920"/>
            <w:shd w:fill="FFFFFF"/>
            <w:vAlign w:val="center"/>
          </w:tcPr>
          <w:p>
            <w:r>
              <w:rPr>
                <w:sz w:val="19"/>
              </w:rPr>
              <w:t>Agent manifests are declarative and live below $XDG_CONFIG_HOME/focaldesk/agents. They can narrow audited tools and budgets but cannot grant themselves authority or bypass one-shot confirmation. Enable only agents whose instructions, tools, scopes, and triggers you understand.</w:t>
            </w:r>
          </w:p>
        </w:tc>
      </w:tr>
      <w:tr>
        <w:tc>
          <w:tcPr>
            <w:tcW w:type="dxa" w:w="2592"/>
            <w:shd w:fill="F3F7FB"/>
            <w:vAlign w:val="center"/>
          </w:tcPr>
          <w:p>
            <w:r>
              <w:rPr>
                <w:sz w:val="19"/>
              </w:rPr>
              <w:t>Verification</w:t>
            </w:r>
          </w:p>
        </w:tc>
        <w:tc>
          <w:tcPr>
            <w:tcW w:type="dxa" w:w="7920"/>
            <w:shd w:fill="F3F7FB"/>
            <w:vAlign w:val="center"/>
          </w:tcPr>
          <w:p>
            <w:r>
              <w:rPr>
                <w:sz w:val="19"/>
              </w:rPr>
              <w:t>Check the credential broker with systemctl status focald-secrets@UID.service, inspect the Secret Service owner with busctl --user status org.freedesktop.secrets, and use scripts/check-secrets-health.sh from the source checkout.</w:t>
            </w:r>
          </w:p>
        </w:tc>
      </w:tr>
    </w:tbl>
    <w:p/>
    <w:p>
      <w:pPr>
        <w:pStyle w:val="Heading1"/>
      </w:pPr>
      <w:r>
        <w:t>Useful commands</w:t>
      </w:r>
    </w:p>
    <w:p>
      <w:pPr>
        <w:spacing w:after="60"/>
      </w:pPr>
      <w:r>
        <w:t>Run these read-only checks from the active user session when relevant:</w:t>
      </w:r>
    </w:p>
    <w:p>
      <w:pPr/>
      <w:r>
        <w:rPr>
          <w:rFonts w:ascii="Consolas" w:hAnsi="Consolas"/>
          <w:sz w:val="18"/>
        </w:rPr>
        <w:t>focaldesk-cli diagnostics --no-logs</w:t>
        <w:br/>
        <w:t>systemctl --user --failed</w:t>
        <w:br/>
        <w:t>journalctl -b -t focaldesk</w:t>
      </w:r>
    </w:p>
    <w:p>
      <w:pPr>
        <w:pStyle w:val="Heading1"/>
      </w:pPr>
      <w:r>
        <w:t>Sources</w:t>
      </w:r>
    </w:p>
    <w:p>
      <w:r>
        <w:t>Repository sources reviewed: README.md, docs/building.md, docs/configuration.md, docs/troubleshooting.md, and the topic-specific documentation in docs/. Repository state reviewed on 2026 10 24.</w:t>
      </w:r>
    </w:p>
    <w:sectPr w:rsidR="00FC693F" w:rsidRPr="0006063C" w:rsidSect="00034616">
      <w:headerReference w:type="default" r:id="rId9"/>
      <w:footerReference w:type="default" r:id="rId10"/>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FocalDesk AI and Credentials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FocalDesk AI and Credentials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