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FocalDesk Display and Graphics Guide</w:t>
      </w:r>
    </w:p>
    <w:p>
      <w:pPr>
        <w:spacing w:after="280"/>
      </w:pPr>
      <w:r>
        <w:rPr>
          <w:color w:val="464646"/>
          <w:sz w:val="24"/>
        </w:rPr>
        <w:t>Displays scaling HDR renderers and graphics recovery</w:t>
      </w:r>
    </w:p>
    <w:p>
      <w:pPr>
        <w:pStyle w:val="Heading1"/>
      </w:pPr>
      <w:r>
        <w:t>Purpose</w:t>
      </w:r>
    </w:p>
    <w:p>
      <w:pPr>
        <w:spacing w:after="180"/>
      </w:pPr>
      <w:r>
        <w:t>This guide is a concise, repository-grounded reference for display and graphics. FocalDesk remains alpha software; retain recovery access and use the project’s typed Settings and service interfaces for ordinary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7920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Choose a safe baseline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Start with one SDR display at 60 Hz on the GLES renderer. Add native resolution, hardware cursor, additional outputs, high refresh, 10-bit scanout, and HDR one change at a time. Keep a working alternate session and a TTY available.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Renderer choice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GLES is the packaged compatibility and recovery default. Raw Ash Vulkan is the direct DRM/KMS renderer for validated hardware. The nested wgpu Vulkan backend is a development backend, not the production DRM path. Change focaldmd renderer selection only in the existing /etc/focaldmd.toml document.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Display settings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Use Settings for connector mode, position, scale, primary output, ICC profile, HDR request, and per-output appearance. displays.json is generated output topology; do not edit it while the compositor runs.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HDR expectations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HDR and color management are experimental and hardware-dependent. Test HDR only on validated outputs. Preserve SDR usability, verify color appearance after every change, and do not enable undocumented HDR or atomic-commit overrides as a generic troubleshooting step.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r>
              <w:rPr>
                <w:sz w:val="19"/>
              </w:rPr>
              <w:t>Capture and screenshots</w:t>
            </w:r>
          </w:p>
        </w:tc>
        <w:tc>
          <w:tcPr>
            <w:tcW w:type="dxa" w:w="7920"/>
            <w:shd w:fill="FFFFFF"/>
            <w:vAlign w:val="center"/>
          </w:tcPr>
          <w:p>
            <w:r>
              <w:rPr>
                <w:sz w:val="19"/>
              </w:rPr>
              <w:t>PipeWire/portal capture is experimental and relies on the portal setup. Direct DRM screenshots are 16-bit Display P3 PNGs with an ICC profile. Capture paths may intentionally differ from HDR output encoding to retain a usable SDR interchange format.</w:t>
            </w:r>
          </w:p>
        </w:tc>
      </w:tr>
      <w:tr>
        <w:tc>
          <w:tcPr>
            <w:tcW w:type="dxa" w:w="2592"/>
            <w:shd w:fill="F3F7FB"/>
            <w:vAlign w:val="center"/>
          </w:tcPr>
          <w:p>
            <w:r>
              <w:rPr>
                <w:sz w:val="19"/>
              </w:rPr>
              <w:t>Recovery evidence</w:t>
            </w:r>
          </w:p>
        </w:tc>
        <w:tc>
          <w:tcPr>
            <w:tcW w:type="dxa" w:w="7920"/>
            <w:shd w:fill="F3F7FB"/>
            <w:vAlign w:val="center"/>
          </w:tcPr>
          <w:p>
            <w:r>
              <w:rPr>
                <w:sz w:val="19"/>
              </w:rPr>
              <w:t>For a blank display record GPU, driver, kernel, connector names, modes, scales, transforms, HDR state, and the last journal messages. Use journalctl -b -t focaldesk.</w:t>
            </w:r>
          </w:p>
        </w:tc>
      </w:tr>
    </w:tbl>
    <w:p/>
    <w:p>
      <w:pPr>
        <w:pStyle w:val="Heading1"/>
      </w:pPr>
      <w:r>
        <w:t>Useful commands</w:t>
      </w:r>
    </w:p>
    <w:p>
      <w:pPr>
        <w:spacing w:after="60"/>
      </w:pPr>
      <w:r>
        <w:t>Run these read-only checks from the active user session when relevant:</w:t>
      </w:r>
    </w:p>
    <w:p>
      <w:pPr/>
      <w:r>
        <w:rPr>
          <w:rFonts w:ascii="Consolas" w:hAnsi="Consolas"/>
          <w:sz w:val="18"/>
        </w:rPr>
        <w:t>focaldesk-cli diagnostics --no-logs</w:t>
        <w:br/>
        <w:t>systemctl --user --failed</w:t>
        <w:br/>
        <w:t>journalctl -b -t focaldesk</w:t>
      </w:r>
    </w:p>
    <w:p>
      <w:pPr>
        <w:pStyle w:val="Heading1"/>
      </w:pPr>
      <w:r>
        <w:t>Sources</w:t>
      </w:r>
    </w:p>
    <w:p>
      <w:r>
        <w:t>Repository sources reviewed: README.md, docs/building.md, docs/configuration.md, docs/troubleshooting.md, and the topic-specific documentation in docs/. Repository state reviewed on 2026 10 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FocalDesk Display and Graphics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FocalDesk Display and Graphics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