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21"/>
            <w:spacing w:before="1540"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 w:val="0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 w:val="0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uCare</w:t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eastAsia="zh-CN"/>
              <w14:textFill>
                <w14:solidFill>
                  <w14:schemeClr w14:val="accent1"/>
                </w14:solidFill>
              </w14:textFill>
            </w:rPr>
            <w:t>幼儿健康管理</w:t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  <w:bookmarkStart w:id="50" w:name="_GoBack"/>
          <w:bookmarkEnd w:id="50"/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eastAsia="zh-CN"/>
              </w:rPr>
              <w:t>周小芬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初稿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4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_Toc1854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_Toc1854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_Toc8687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_Toc8687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_Toc10096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_Toc10096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_Toc27546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_Toc27546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_Toc24778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_Toc24778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_Toc15655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_Toc15655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_Toc12663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_Toc12663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_Toc16577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eastAsia="zh-CN"/>
            </w:rPr>
            <w:t>生长状态标准</w:t>
          </w:r>
          <w:r>
            <w:tab/>
          </w:r>
          <w:r>
            <w:fldChar w:fldCharType="begin"/>
          </w:r>
          <w:r>
            <w:instrText xml:space="preserve"> PAGEREF _Toc16577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_Toc29926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  <w:lang w:eastAsia="zh-CN"/>
            </w:rPr>
            <w:t>版本</w:t>
          </w:r>
          <w:r>
            <w:tab/>
          </w:r>
          <w:r>
            <w:fldChar w:fldCharType="begin"/>
          </w:r>
          <w:r>
            <w:instrText xml:space="preserve"> PAGEREF _Toc29926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_Toc32352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3.1.1. </w:t>
          </w:r>
          <w:r>
            <w:rPr>
              <w:rFonts w:hint="eastAsia"/>
              <w:lang w:eastAsia="zh-CN"/>
            </w:rPr>
            <w:t>新增版本</w:t>
          </w:r>
          <w:r>
            <w:tab/>
          </w:r>
          <w:r>
            <w:fldChar w:fldCharType="begin"/>
          </w:r>
          <w:r>
            <w:instrText xml:space="preserve"> PAGEREF _Toc32352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_Toc19557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rPr>
              <w:rFonts w:hint="eastAsia"/>
              <w:lang w:eastAsia="zh-CN"/>
            </w:rPr>
            <w:t>修改版本</w:t>
          </w:r>
          <w:r>
            <w:tab/>
          </w:r>
          <w:r>
            <w:fldChar w:fldCharType="begin"/>
          </w:r>
          <w:r>
            <w:instrText xml:space="preserve"> PAGEREF _Toc19557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_Toc20074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3.1.3. </w:t>
          </w:r>
          <w:r>
            <w:rPr>
              <w:rFonts w:hint="eastAsia"/>
              <w:lang w:val="en-US" w:eastAsia="zh-CN"/>
            </w:rPr>
            <w:t>删除版本</w:t>
          </w:r>
          <w:r>
            <w:tab/>
          </w:r>
          <w:r>
            <w:fldChar w:fldCharType="begin"/>
          </w:r>
          <w:r>
            <w:instrText xml:space="preserve"> PAGEREF _Toc20074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_Toc16847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3.2. </w:t>
          </w:r>
          <w:r>
            <w:rPr>
              <w:rFonts w:hint="eastAsia"/>
              <w:lang w:val="en-US" w:eastAsia="zh-CN"/>
            </w:rPr>
            <w:t>评定标准</w:t>
          </w:r>
          <w:r>
            <w:tab/>
          </w:r>
          <w:r>
            <w:fldChar w:fldCharType="begin"/>
          </w:r>
          <w:r>
            <w:instrText xml:space="preserve"> PAGEREF _Toc16847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_Toc562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/>
            </w:rPr>
            <w:t xml:space="preserve">3.2.1. </w:t>
          </w:r>
          <w:r>
            <w:rPr>
              <w:rFonts w:hint="eastAsia"/>
              <w:lang w:val="en-US" w:eastAsia="zh-CN"/>
            </w:rPr>
            <w:t>新增标准</w:t>
          </w:r>
          <w:r>
            <w:tab/>
          </w:r>
          <w:r>
            <w:fldChar w:fldCharType="begin"/>
          </w:r>
          <w:r>
            <w:instrText xml:space="preserve"> PAGEREF _Toc562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_Toc7300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3.2.2. </w:t>
          </w:r>
          <w:r>
            <w:rPr>
              <w:rFonts w:hint="eastAsia"/>
              <w:lang w:val="en-US" w:eastAsia="zh-CN"/>
            </w:rPr>
            <w:t>修改标准</w:t>
          </w:r>
          <w:r>
            <w:tab/>
          </w:r>
          <w:r>
            <w:fldChar w:fldCharType="begin"/>
          </w:r>
          <w:r>
            <w:instrText xml:space="preserve"> PAGEREF _Toc7300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_Toc31112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3.2.3. </w:t>
          </w:r>
          <w:r>
            <w:rPr>
              <w:rFonts w:hint="eastAsia"/>
              <w:lang w:val="en-US" w:eastAsia="zh-CN"/>
            </w:rPr>
            <w:t>删除标准</w:t>
          </w:r>
          <w:r>
            <w:tab/>
          </w:r>
          <w:r>
            <w:fldChar w:fldCharType="begin"/>
          </w:r>
          <w:r>
            <w:instrText xml:space="preserve"> PAGEREF _Toc31112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_Toc25409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3.3. </w:t>
          </w:r>
          <w:r>
            <w:rPr>
              <w:rFonts w:hint="eastAsia" w:ascii="微软雅黑" w:hAnsi="微软雅黑"/>
              <w:lang w:eastAsia="zh-CN"/>
            </w:rPr>
            <w:t>评定指标</w:t>
          </w:r>
          <w:r>
            <w:tab/>
          </w:r>
          <w:r>
            <w:fldChar w:fldCharType="begin"/>
          </w:r>
          <w:r>
            <w:instrText xml:space="preserve"> PAGEREF _Toc25409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_Toc21946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3.3.1. </w:t>
          </w:r>
          <w:r>
            <w:rPr>
              <w:rFonts w:hint="eastAsia"/>
              <w:lang w:eastAsia="zh-CN"/>
            </w:rPr>
            <w:t>新增</w:t>
          </w:r>
          <w:r>
            <w:tab/>
          </w:r>
          <w:r>
            <w:fldChar w:fldCharType="begin"/>
          </w:r>
          <w:r>
            <w:instrText xml:space="preserve"> PAGEREF _Toc21946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_Toc15802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3.3.2. </w:t>
          </w:r>
          <w:r>
            <w:rPr>
              <w:rFonts w:hint="eastAsia"/>
              <w:lang w:eastAsia="zh-CN"/>
            </w:rPr>
            <w:t>编辑</w:t>
          </w:r>
          <w:r>
            <w:tab/>
          </w:r>
          <w:r>
            <w:fldChar w:fldCharType="begin"/>
          </w:r>
          <w:r>
            <w:instrText xml:space="preserve"> PAGEREF _Toc15802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_Toc32235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3.3.3. </w:t>
          </w:r>
          <w:r>
            <w:rPr>
              <w:rFonts w:hint="eastAsia"/>
              <w:lang w:eastAsia="zh-CN"/>
            </w:rPr>
            <w:t>删除</w:t>
          </w:r>
          <w:r>
            <w:tab/>
          </w:r>
          <w:r>
            <w:fldChar w:fldCharType="begin"/>
          </w:r>
          <w:r>
            <w:instrText xml:space="preserve"> PAGEREF _Toc32235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_Toc30151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  <w:lang w:eastAsia="zh-CN"/>
            </w:rPr>
            <w:t>营养状况评价</w:t>
          </w:r>
          <w:r>
            <w:tab/>
          </w:r>
          <w:r>
            <w:fldChar w:fldCharType="begin"/>
          </w:r>
          <w:r>
            <w:instrText xml:space="preserve"> PAGEREF _Toc30151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_Toc18453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3.4.1. </w:t>
          </w:r>
          <w:r>
            <w:rPr>
              <w:rFonts w:hint="eastAsia"/>
              <w:lang w:eastAsia="zh-CN"/>
            </w:rPr>
            <w:t>新增</w:t>
          </w:r>
          <w:r>
            <w:tab/>
          </w:r>
          <w:r>
            <w:fldChar w:fldCharType="begin"/>
          </w:r>
          <w:r>
            <w:instrText xml:space="preserve"> PAGEREF _Toc18453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_Toc32544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3.4.2. </w:t>
          </w:r>
          <w:r>
            <w:rPr>
              <w:rFonts w:hint="eastAsia"/>
              <w:lang w:eastAsia="zh-CN"/>
            </w:rPr>
            <w:t>编辑</w:t>
          </w:r>
          <w:r>
            <w:tab/>
          </w:r>
          <w:r>
            <w:fldChar w:fldCharType="begin"/>
          </w:r>
          <w:r>
            <w:instrText xml:space="preserve"> PAGEREF _Toc32544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_Toc10255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3.4.3. </w:t>
          </w:r>
          <w:r>
            <w:rPr>
              <w:rFonts w:hint="eastAsia"/>
              <w:lang w:eastAsia="zh-CN"/>
            </w:rPr>
            <w:t>删除</w:t>
          </w:r>
          <w:r>
            <w:tab/>
          </w:r>
          <w:r>
            <w:fldChar w:fldCharType="begin"/>
          </w:r>
          <w:r>
            <w:instrText xml:space="preserve"> PAGEREF _Toc10255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_Toc12067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评定标准</w:t>
          </w:r>
          <w:r>
            <w:tab/>
          </w:r>
          <w:r>
            <w:fldChar w:fldCharType="begin"/>
          </w:r>
          <w:r>
            <w:instrText xml:space="preserve"> PAGEREF _Toc12067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_Toc1231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身高体重</w:t>
          </w:r>
          <w:r>
            <w:tab/>
          </w:r>
          <w:r>
            <w:fldChar w:fldCharType="begin"/>
          </w:r>
          <w:r>
            <w:instrText xml:space="preserve"> PAGEREF _Toc1231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_Toc692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新增</w:t>
          </w:r>
          <w:r>
            <w:tab/>
          </w:r>
          <w:r>
            <w:fldChar w:fldCharType="begin"/>
          </w:r>
          <w:r>
            <w:instrText xml:space="preserve"> PAGEREF _Toc692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_Toc21372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批量设置体检日期</w:t>
          </w:r>
          <w:r>
            <w:tab/>
          </w:r>
          <w:r>
            <w:fldChar w:fldCharType="begin"/>
          </w:r>
          <w:r>
            <w:instrText xml:space="preserve"> PAGEREF _Toc21372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_Toc27691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eastAsia="zh-CN"/>
            </w:rPr>
            <w:t>批量设置发布状态</w:t>
          </w:r>
          <w:r>
            <w:tab/>
          </w:r>
          <w:r>
            <w:fldChar w:fldCharType="begin"/>
          </w:r>
          <w:r>
            <w:instrText xml:space="preserve"> PAGEREF _Toc27691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_Toc437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导入</w:t>
          </w:r>
          <w:r>
            <w:tab/>
          </w:r>
          <w:r>
            <w:fldChar w:fldCharType="begin"/>
          </w:r>
          <w:r>
            <w:instrText xml:space="preserve"> PAGEREF _Toc437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_Toc24644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导出excel</w:t>
          </w:r>
          <w:r>
            <w:tab/>
          </w:r>
          <w:r>
            <w:fldChar w:fldCharType="begin"/>
          </w:r>
          <w:r>
            <w:instrText xml:space="preserve"> PAGEREF _Toc24644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_Toc27970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5.5.1. </w:t>
          </w:r>
          <w:r>
            <w:rPr>
              <w:rFonts w:hint="eastAsia"/>
              <w:lang w:eastAsia="zh-CN"/>
            </w:rPr>
            <w:t>导出记录表</w:t>
          </w:r>
          <w:r>
            <w:tab/>
          </w:r>
          <w:r>
            <w:fldChar w:fldCharType="begin"/>
          </w:r>
          <w:r>
            <w:instrText xml:space="preserve"> PAGEREF _Toc27970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_Toc31155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5.5.2. </w:t>
          </w:r>
          <w:r>
            <w:rPr>
              <w:rFonts w:hint="eastAsia"/>
              <w:lang w:eastAsia="zh-CN"/>
            </w:rPr>
            <w:t>导出均值汇总表</w:t>
          </w:r>
          <w:r>
            <w:tab/>
          </w:r>
          <w:r>
            <w:fldChar w:fldCharType="begin"/>
          </w:r>
          <w:r>
            <w:instrText xml:space="preserve"> PAGEREF _Toc31155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_Toc29137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5.5.3. </w:t>
          </w:r>
          <w:r>
            <w:rPr>
              <w:rFonts w:hint="eastAsia"/>
              <w:lang w:eastAsia="zh-CN"/>
            </w:rPr>
            <w:t>导出超均值汇总表</w:t>
          </w:r>
          <w:r>
            <w:tab/>
          </w:r>
          <w:r>
            <w:fldChar w:fldCharType="begin"/>
          </w:r>
          <w:r>
            <w:instrText xml:space="preserve"> PAGEREF _Toc29137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_Toc18964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rPr>
              <w:rFonts w:hint="eastAsia"/>
              <w:lang w:eastAsia="zh-CN"/>
            </w:rPr>
            <w:t>视力普查</w:t>
          </w:r>
          <w:r>
            <w:tab/>
          </w:r>
          <w:r>
            <w:fldChar w:fldCharType="begin"/>
          </w:r>
          <w:r>
            <w:instrText xml:space="preserve"> PAGEREF _Toc18964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_Toc29864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5.6.1. </w:t>
          </w:r>
          <w:r>
            <w:rPr>
              <w:rFonts w:hint="eastAsia"/>
              <w:lang w:eastAsia="zh-CN"/>
            </w:rPr>
            <w:t>新增</w:t>
          </w:r>
          <w:r>
            <w:tab/>
          </w:r>
          <w:r>
            <w:fldChar w:fldCharType="begin"/>
          </w:r>
          <w:r>
            <w:instrText xml:space="preserve"> PAGEREF _Toc29864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_Toc15172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5.6.2. </w:t>
          </w:r>
          <w:r>
            <w:rPr>
              <w:rFonts w:hint="eastAsia"/>
              <w:lang w:eastAsia="zh-CN"/>
            </w:rPr>
            <w:t>批量设置体检日期</w:t>
          </w:r>
          <w:r>
            <w:tab/>
          </w:r>
          <w:r>
            <w:fldChar w:fldCharType="begin"/>
          </w:r>
          <w:r>
            <w:instrText xml:space="preserve"> PAGEREF _Toc15172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_Toc13080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5.6.3. </w:t>
          </w:r>
          <w:r>
            <w:rPr>
              <w:rFonts w:hint="eastAsia"/>
              <w:lang w:eastAsia="zh-CN"/>
            </w:rPr>
            <w:t>批量设置发布状态</w:t>
          </w:r>
          <w:r>
            <w:tab/>
          </w:r>
          <w:r>
            <w:fldChar w:fldCharType="begin"/>
          </w:r>
          <w:r>
            <w:instrText xml:space="preserve"> PAGEREF _Toc13080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_Toc19602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5.6.4. </w:t>
          </w:r>
          <w:r>
            <w:rPr>
              <w:rFonts w:hint="eastAsia"/>
              <w:lang w:eastAsia="zh-CN"/>
            </w:rPr>
            <w:t>导入</w:t>
          </w:r>
          <w:r>
            <w:tab/>
          </w:r>
          <w:r>
            <w:fldChar w:fldCharType="begin"/>
          </w:r>
          <w:r>
            <w:instrText xml:space="preserve"> PAGEREF _Toc19602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_Toc4462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5.6.5. </w:t>
          </w:r>
          <w:r>
            <w:rPr>
              <w:rFonts w:hint="eastAsia"/>
              <w:lang w:eastAsia="zh-CN"/>
            </w:rPr>
            <w:t>导出</w:t>
          </w:r>
          <w:r>
            <w:tab/>
          </w:r>
          <w:r>
            <w:fldChar w:fldCharType="begin"/>
          </w:r>
          <w:r>
            <w:instrText xml:space="preserve"> PAGEREF _Toc4462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_Toc4717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5.6.6. </w:t>
          </w:r>
          <w:r>
            <w:rPr>
              <w:rFonts w:hint="eastAsia"/>
              <w:lang w:eastAsia="zh-CN"/>
            </w:rPr>
            <w:t>删除</w:t>
          </w:r>
          <w:r>
            <w:tab/>
          </w:r>
          <w:r>
            <w:fldChar w:fldCharType="begin"/>
          </w:r>
          <w:r>
            <w:instrText xml:space="preserve"> PAGEREF _Toc4717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_Toc22123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rFonts w:hint="eastAsia"/>
              <w:lang w:eastAsia="zh-CN"/>
            </w:rPr>
            <w:t>生长曲线</w:t>
          </w:r>
          <w:r>
            <w:tab/>
          </w:r>
          <w:r>
            <w:fldChar w:fldCharType="begin"/>
          </w:r>
          <w:r>
            <w:instrText xml:space="preserve"> PAGEREF _Toc22123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_Toc21617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eastAsia="zh-CN"/>
            </w:rPr>
            <w:t>导航页</w:t>
          </w:r>
          <w:r>
            <w:tab/>
          </w:r>
          <w:r>
            <w:fldChar w:fldCharType="begin"/>
          </w:r>
          <w:r>
            <w:instrText xml:space="preserve"> PAGEREF _Toc21617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pStyle w:val="2"/>
        <w:bidi w:val="0"/>
      </w:pPr>
      <w:bookmarkStart w:id="0" w:name="_Toc1854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2"/>
        <w:bidi w:val="0"/>
      </w:pPr>
      <w:bookmarkStart w:id="2" w:name="_Toc8687"/>
      <w:r>
        <w:rPr>
          <w:rFonts w:hint="eastAsia"/>
        </w:rPr>
        <w:t>使用准备</w:t>
      </w:r>
      <w:bookmarkEnd w:id="2"/>
    </w:p>
    <w:p>
      <w:pPr>
        <w:pStyle w:val="3"/>
        <w:bidi w:val="0"/>
      </w:pPr>
      <w:bookmarkStart w:id="3" w:name="_Toc10096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3"/>
        <w:bidi w:val="0"/>
      </w:pPr>
      <w:bookmarkStart w:id="4" w:name="_Toc27546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3"/>
        <w:bidi w:val="0"/>
      </w:pPr>
      <w:bookmarkStart w:id="5" w:name="_Toc24778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hint="eastAsia" w:ascii="微软雅黑" w:hAnsi="微软雅黑" w:eastAsia="微软雅黑"/>
        </w:rPr>
        <w:t>https://cd.oakedu.net.cn/cjvision4/#/yeszzt/szztgl/sgtz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bidi w:val="0"/>
      </w:pPr>
      <w:bookmarkStart w:id="6" w:name="_Toc15655"/>
      <w:r>
        <w:rPr>
          <w:rFonts w:hint="eastAsia"/>
        </w:rPr>
        <w:t>业务流程图</w:t>
      </w:r>
      <w:bookmarkEnd w:id="6"/>
    </w:p>
    <w:p>
      <w:pPr>
        <w:spacing w:line="480" w:lineRule="auto"/>
        <w:rPr>
          <w:rFonts w:ascii="微软雅黑" w:hAnsi="微软雅黑" w:eastAsia="微软雅黑"/>
        </w:rPr>
      </w:pPr>
      <w:r>
        <w:drawing>
          <wp:inline distT="0" distB="0" distL="114300" distR="114300">
            <wp:extent cx="5267325" cy="5708015"/>
            <wp:effectExtent l="0" t="0" r="952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0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tab/>
      </w:r>
    </w:p>
    <w:p>
      <w:pPr>
        <w:pStyle w:val="3"/>
        <w:bidi w:val="0"/>
      </w:pPr>
      <w:bookmarkStart w:id="7" w:name="_Toc12663"/>
      <w:r>
        <w:rPr>
          <w:rFonts w:hint="eastAsia"/>
          <w:lang w:val="en-US" w:eastAsia="zh-CN"/>
        </w:rPr>
        <w:t>角色权限</w:t>
      </w:r>
      <w:bookmarkEnd w:id="7"/>
    </w:p>
    <w:tbl>
      <w:tblPr>
        <w:tblStyle w:val="18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平台超级管理员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  <w:lang w:eastAsia="zh-CN"/>
              </w:rPr>
              <w:t>生长状态标准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制定评价标准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生长状态管理员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全部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48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家长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  <w:lang w:eastAsia="zh-CN"/>
              </w:rPr>
              <w:t>移动端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查看自己的体检数据</w:t>
            </w:r>
          </w:p>
        </w:tc>
      </w:tr>
    </w:tbl>
    <w:p/>
    <w:p>
      <w:pPr>
        <w:pStyle w:val="2"/>
        <w:bidi w:val="0"/>
      </w:pPr>
      <w:bookmarkStart w:id="8" w:name="_Toc16577"/>
      <w:r>
        <w:rPr>
          <w:rFonts w:hint="eastAsia"/>
          <w:lang w:eastAsia="zh-CN"/>
        </w:rPr>
        <w:t>生长状态标准</w:t>
      </w:r>
      <w:bookmarkEnd w:id="8"/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 生长状态标准由平台管理员维护，然后租户直接选择平台管理员建的版本进行发布使用。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</w:rPr>
        <w:t>禁用的版本各租户将无法查看并选择，不影响该页面的任何操作。</w:t>
      </w:r>
    </w:p>
    <w:p>
      <w:pPr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5273040" cy="2494915"/>
            <wp:effectExtent l="0" t="0" r="3810" b="6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</w:pPr>
      <w:bookmarkStart w:id="9" w:name="_Toc29926"/>
      <w:r>
        <w:rPr>
          <w:rFonts w:hint="eastAsia"/>
          <w:lang w:eastAsia="zh-CN"/>
        </w:rPr>
        <w:t>版本</w:t>
      </w:r>
      <w:bookmarkEnd w:id="9"/>
    </w:p>
    <w:p>
      <w:pPr>
        <w:pStyle w:val="4"/>
        <w:bidi w:val="0"/>
        <w:rPr>
          <w:rFonts w:ascii="微软雅黑" w:hAnsi="微软雅黑" w:eastAsia="微软雅黑"/>
        </w:rPr>
      </w:pPr>
      <w:bookmarkStart w:id="10" w:name="_Toc32352"/>
      <w:r>
        <w:rPr>
          <w:rFonts w:hint="eastAsia"/>
          <w:lang w:eastAsia="zh-CN"/>
        </w:rPr>
        <w:t>新增版本</w:t>
      </w:r>
      <w:bookmarkEnd w:id="10"/>
    </w:p>
    <w:p>
      <w:r>
        <w:rPr>
          <w:rFonts w:hint="eastAsia"/>
          <w:lang w:eastAsia="zh-CN"/>
        </w:rPr>
        <w:t>点击新增版本，打开新增版本页面，只有启用的版本后续租户才能看到并使用</w:t>
      </w:r>
    </w:p>
    <w:p>
      <w:pPr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5273040" cy="2494915"/>
            <wp:effectExtent l="0" t="0" r="3810" b="63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>
      <w:pPr>
        <w:pStyle w:val="4"/>
        <w:bidi w:val="0"/>
      </w:pPr>
      <w:bookmarkStart w:id="11" w:name="_Toc19557"/>
      <w:r>
        <w:rPr>
          <w:rFonts w:hint="eastAsia"/>
          <w:lang w:eastAsia="zh-CN"/>
        </w:rPr>
        <w:t>修改版本</w:t>
      </w:r>
      <w:bookmarkEnd w:id="11"/>
    </w:p>
    <w:p>
      <w:r>
        <w:rPr>
          <w:rFonts w:hint="eastAsia"/>
          <w:lang w:eastAsia="zh-CN"/>
        </w:rPr>
        <w:t>点击修改版本，打开版本页面，可以修改页面数据，点击保存后，版本为修改后的版本。</w:t>
      </w:r>
    </w:p>
    <w:p>
      <w:pPr>
        <w:spacing w:line="480" w:lineRule="auto"/>
        <w:ind w:left="420"/>
      </w:pPr>
      <w:r>
        <w:drawing>
          <wp:inline distT="0" distB="0" distL="114300" distR="114300">
            <wp:extent cx="5273040" cy="2494915"/>
            <wp:effectExtent l="0" t="0" r="3810" b="63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720" w:leftChars="0" w:hanging="720" w:firstLineChars="0"/>
        <w:rPr>
          <w:rFonts w:hint="eastAsia"/>
          <w:lang w:val="en-US" w:eastAsia="zh-CN"/>
        </w:rPr>
      </w:pPr>
      <w:bookmarkStart w:id="12" w:name="_Toc20074"/>
      <w:r>
        <w:rPr>
          <w:rFonts w:hint="eastAsia"/>
          <w:lang w:val="en-US" w:eastAsia="zh-CN"/>
        </w:rPr>
        <w:t>删除版本</w:t>
      </w:r>
      <w:bookmarkEnd w:id="1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点击删除版本，弹出是否确定删除对话，点击确定，删除成功，点击取消，取消删除。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ascii="微软雅黑" w:hAnsi="微软雅黑" w:eastAsia="微软雅黑"/>
        </w:rPr>
      </w:pPr>
      <w:bookmarkStart w:id="13" w:name="_Toc16847"/>
      <w:r>
        <w:rPr>
          <w:rFonts w:hint="eastAsia"/>
          <w:lang w:val="en-US" w:eastAsia="zh-CN"/>
        </w:rPr>
        <w:t>评定标准</w:t>
      </w:r>
      <w:bookmarkEnd w:id="13"/>
    </w:p>
    <w:p>
      <w:pPr>
        <w:pStyle w:val="4"/>
        <w:bidi w:val="0"/>
        <w:rPr>
          <w:rFonts w:hint="default"/>
          <w:lang w:val="en-US"/>
        </w:rPr>
      </w:pPr>
      <w:bookmarkStart w:id="14" w:name="_Toc562"/>
      <w:r>
        <w:rPr>
          <w:rFonts w:hint="eastAsia"/>
          <w:lang w:val="en-US" w:eastAsia="zh-CN"/>
        </w:rPr>
        <w:t>新增标准</w:t>
      </w:r>
      <w:bookmarkEnd w:id="14"/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点击新增标准，打开标准新增页面，按要求填写数据，标准新增后再在相关标准下新增指标。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</w:pPr>
      <w:r>
        <w:rPr>
          <w:rFonts w:hint="eastAsia"/>
          <w:lang w:eastAsia="zh-CN"/>
        </w:rPr>
        <w:t>新增指数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新增指数是给选中的标准下新增，后面录入身高体重数据后，会根据这里的指数来生成结果。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3040" cy="2494915"/>
            <wp:effectExtent l="0" t="0" r="3810" b="635"/>
            <wp:docPr id="5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</w:pPr>
      <w:r>
        <w:rPr>
          <w:rFonts w:hint="eastAsia"/>
          <w:lang w:eastAsia="zh-CN"/>
        </w:rPr>
        <w:t>编辑</w:t>
      </w:r>
    </w:p>
    <w:p>
      <w:r>
        <w:rPr>
          <w:rFonts w:hint="eastAsia"/>
          <w:lang w:eastAsia="zh-CN"/>
        </w:rPr>
        <w:t>任意选择一条数据点击编辑按钮，打开编辑页面，可以修改页面上的数据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5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</w:pPr>
      <w:r>
        <w:rPr>
          <w:rFonts w:hint="eastAsia"/>
          <w:lang w:eastAsia="zh-CN"/>
        </w:rPr>
        <w:t>导入</w:t>
      </w:r>
    </w:p>
    <w:p>
      <w:pPr>
        <w:rPr>
          <w:rFonts w:hint="default"/>
          <w:lang w:val="en-US"/>
        </w:rPr>
      </w:pPr>
      <w:r>
        <w:rPr>
          <w:rFonts w:hint="eastAsia"/>
          <w:lang w:eastAsia="zh-CN"/>
        </w:rPr>
        <w:t>点击导入后下载导入模板，</w:t>
      </w:r>
      <w:r>
        <w:rPr>
          <w:rFonts w:hint="eastAsia"/>
          <w:lang w:val="en-US" w:eastAsia="zh-CN"/>
        </w:rPr>
        <w:t>然后填写数据后点击上传文件，注意导入模板中的体检日期格式是</w:t>
      </w:r>
      <w:r>
        <w:rPr>
          <w:rFonts w:hint="eastAsia"/>
          <w:color w:val="C00000"/>
          <w:lang w:val="en-US" w:eastAsia="zh-CN"/>
        </w:rPr>
        <w:t>2022/09/19这种。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58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</w:pPr>
      <w:r>
        <w:rPr>
          <w:rFonts w:hint="eastAsia"/>
          <w:lang w:eastAsia="zh-CN"/>
        </w:rPr>
        <w:t>导出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点击导出按钮，导出全部数据。</w:t>
      </w:r>
    </w:p>
    <w:p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删除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任意勾选数据，点击删除后，弹出是否确定删除对话框，确定删除，取消不删除。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73040" cy="2494915"/>
            <wp:effectExtent l="0" t="0" r="3810" b="635"/>
            <wp:docPr id="5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bidi w:val="0"/>
      </w:pPr>
    </w:p>
    <w:p>
      <w:pPr>
        <w:pStyle w:val="4"/>
        <w:bidi w:val="0"/>
        <w:rPr>
          <w:rFonts w:hint="default"/>
          <w:lang w:val="en-US" w:eastAsia="zh-CN"/>
        </w:rPr>
      </w:pPr>
      <w:bookmarkStart w:id="15" w:name="_Toc7300"/>
      <w:r>
        <w:rPr>
          <w:rFonts w:hint="eastAsia"/>
          <w:lang w:val="en-US" w:eastAsia="zh-CN"/>
        </w:rPr>
        <w:t>修改标准</w:t>
      </w:r>
      <w:bookmarkEnd w:id="15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点击修改标准，打开标准页面，可以修改页面数据，点击保存后页面数据为修改后的数据。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bookmarkStart w:id="16" w:name="_Toc31112"/>
      <w:r>
        <w:rPr>
          <w:rFonts w:hint="eastAsia"/>
          <w:lang w:val="en-US" w:eastAsia="zh-CN"/>
        </w:rPr>
        <w:t>删除标准</w:t>
      </w:r>
      <w:bookmarkEnd w:id="16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点击删除标准，弹出是否删除标准的对话框，点击确定，删除成功，点击取消，取消删除。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ascii="微软雅黑" w:hAnsi="微软雅黑" w:eastAsia="微软雅黑"/>
        </w:rPr>
      </w:pPr>
      <w:bookmarkStart w:id="17" w:name="_Toc25409"/>
      <w:r>
        <w:rPr>
          <w:rFonts w:hint="eastAsia" w:ascii="微软雅黑" w:hAnsi="微软雅黑"/>
          <w:lang w:eastAsia="zh-CN"/>
        </w:rPr>
        <w:t>评定指标</w:t>
      </w:r>
      <w:bookmarkEnd w:id="17"/>
    </w:p>
    <w:p>
      <w:pPr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eastAsia="zh-CN"/>
        </w:rPr>
        <w:t>点击评定指标</w:t>
      </w:r>
      <w:r>
        <w:rPr>
          <w:rFonts w:hint="eastAsia" w:ascii="微软雅黑" w:hAnsi="微软雅黑"/>
          <w:lang w:val="en-US" w:eastAsia="zh-CN"/>
        </w:rPr>
        <w:t xml:space="preserve"> ，切换到评定指标tab页，在页面新增指标，用于后面对身高体重结果评定的计算。</w:t>
      </w:r>
    </w:p>
    <w:p>
      <w:pPr>
        <w:bidi w:val="0"/>
      </w:pPr>
      <w:r>
        <w:drawing>
          <wp:inline distT="0" distB="0" distL="114300" distR="114300">
            <wp:extent cx="5273040" cy="2494915"/>
            <wp:effectExtent l="0" t="0" r="3810" b="63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18" w:name="_Toc21946"/>
      <w:r>
        <w:rPr>
          <w:rFonts w:hint="eastAsia"/>
          <w:lang w:eastAsia="zh-CN"/>
        </w:rPr>
        <w:t>新增</w:t>
      </w:r>
      <w:bookmarkEnd w:id="18"/>
    </w:p>
    <w:p>
      <w:r>
        <w:rPr>
          <w:rFonts w:hint="eastAsia"/>
          <w:lang w:eastAsia="zh-CN"/>
        </w:rPr>
        <w:t>点击新增，打开新增页面，按要求填写数据。</w:t>
      </w:r>
    </w:p>
    <w:p>
      <w:pPr>
        <w:pStyle w:val="4"/>
        <w:numPr>
          <w:ilvl w:val="2"/>
          <w:numId w:val="0"/>
        </w:numPr>
        <w:bidi w:val="0"/>
        <w:ind w:leftChars="0"/>
      </w:pPr>
      <w:bookmarkStart w:id="19" w:name="_Toc6544"/>
      <w:bookmarkStart w:id="20" w:name="_Toc18375"/>
      <w:r>
        <w:drawing>
          <wp:inline distT="0" distB="0" distL="114300" distR="114300">
            <wp:extent cx="5273040" cy="2494915"/>
            <wp:effectExtent l="0" t="0" r="3810" b="635"/>
            <wp:docPr id="4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"/>
      <w:bookmarkEnd w:id="20"/>
    </w:p>
    <w:p>
      <w:pPr>
        <w:pStyle w:val="4"/>
        <w:bidi w:val="0"/>
      </w:pPr>
      <w:bookmarkStart w:id="21" w:name="_Toc15802"/>
      <w:r>
        <w:rPr>
          <w:rFonts w:hint="eastAsia"/>
          <w:lang w:eastAsia="zh-CN"/>
        </w:rPr>
        <w:t>编辑</w:t>
      </w:r>
      <w:bookmarkEnd w:id="21"/>
    </w:p>
    <w:p>
      <w:pPr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任意选择一条数据，点击编辑，打开编辑页面，修改数据后点击保存，数据为修改后的数据。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5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22" w:name="_Toc32235"/>
      <w:r>
        <w:rPr>
          <w:rFonts w:hint="eastAsia"/>
          <w:lang w:eastAsia="zh-CN"/>
        </w:rPr>
        <w:t>删除</w:t>
      </w:r>
      <w:bookmarkEnd w:id="22"/>
    </w:p>
    <w:p>
      <w:pPr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任意选择一条数据点击删除，弹出是否确定删除的提示框，点击确定删除成功，点击取消取消删除。</w:t>
      </w:r>
    </w:p>
    <w:p>
      <w:pPr>
        <w:pStyle w:val="4"/>
        <w:numPr>
          <w:ilvl w:val="2"/>
          <w:numId w:val="0"/>
        </w:numPr>
        <w:bidi w:val="0"/>
        <w:ind w:leftChars="0"/>
      </w:pPr>
      <w:bookmarkStart w:id="23" w:name="_Toc26155"/>
      <w:bookmarkStart w:id="24" w:name="_Toc1086"/>
      <w:r>
        <w:drawing>
          <wp:inline distT="0" distB="0" distL="114300" distR="114300">
            <wp:extent cx="5273040" cy="2494915"/>
            <wp:effectExtent l="0" t="0" r="3810" b="635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3"/>
      <w:bookmarkEnd w:id="24"/>
    </w:p>
    <w:p>
      <w:pPr>
        <w:pStyle w:val="3"/>
        <w:bidi w:val="0"/>
      </w:pPr>
      <w:bookmarkStart w:id="25" w:name="_Toc30151"/>
      <w:r>
        <w:rPr>
          <w:rFonts w:hint="eastAsia"/>
          <w:lang w:eastAsia="zh-CN"/>
        </w:rPr>
        <w:t>营养状况评价</w:t>
      </w:r>
      <w:bookmarkEnd w:id="25"/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点击营养状况评价切换到营养状态评价</w:t>
      </w:r>
      <w:r>
        <w:rPr>
          <w:rFonts w:hint="eastAsia"/>
          <w:lang w:val="en-US" w:eastAsia="zh-CN"/>
        </w:rPr>
        <w:t>tab页，该功能主要是给标准和评价结果设置营养评定结果，后续填写身高体重后就能根据这里生成营养状况结果。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3040" cy="2494915"/>
            <wp:effectExtent l="0" t="0" r="3810" b="635"/>
            <wp:docPr id="4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26" w:name="_Toc18453"/>
      <w:r>
        <w:rPr>
          <w:rFonts w:hint="eastAsia"/>
          <w:lang w:eastAsia="zh-CN"/>
        </w:rPr>
        <w:t>新增</w:t>
      </w:r>
      <w:bookmarkEnd w:id="26"/>
    </w:p>
    <w:p>
      <w:r>
        <w:rPr>
          <w:rFonts w:hint="eastAsia"/>
          <w:lang w:eastAsia="zh-CN"/>
        </w:rPr>
        <w:t>点击新增，打开新增页面，按要求填写数据后点击保存。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5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27" w:name="_Toc32544"/>
      <w:r>
        <w:rPr>
          <w:rFonts w:hint="eastAsia"/>
          <w:lang w:eastAsia="zh-CN"/>
        </w:rPr>
        <w:t>编辑</w:t>
      </w:r>
      <w:bookmarkEnd w:id="27"/>
    </w:p>
    <w:p>
      <w:pPr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任意选择一条数据点击编辑，打开编辑页面，修改数据后点击保存，保存后的数据为修改后的数据。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5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28" w:name="_Toc10255"/>
      <w:r>
        <w:rPr>
          <w:rFonts w:hint="eastAsia"/>
          <w:lang w:eastAsia="zh-CN"/>
        </w:rPr>
        <w:t>删除</w:t>
      </w:r>
      <w:bookmarkEnd w:id="28"/>
    </w:p>
    <w:p>
      <w:pPr>
        <w:rPr>
          <w:rFonts w:hint="default"/>
          <w:lang w:val="en-US"/>
        </w:rPr>
      </w:pPr>
      <w:r>
        <w:rPr>
          <w:rFonts w:hint="eastAsia"/>
          <w:lang w:eastAsia="zh-CN"/>
        </w:rPr>
        <w:t>任意选择一条数据，点击删除，弹出是否确定删除对话框，点击确定，删除成功，点击取消，取消删除。</w:t>
      </w:r>
    </w:p>
    <w:p>
      <w:pPr>
        <w:pStyle w:val="2"/>
        <w:numPr>
          <w:ilvl w:val="0"/>
          <w:numId w:val="0"/>
        </w:numPr>
        <w:bidi w:val="0"/>
        <w:ind w:leftChars="0"/>
      </w:pPr>
      <w:bookmarkStart w:id="29" w:name="_Toc24269"/>
      <w:bookmarkStart w:id="30" w:name="_Toc31551"/>
      <w:r>
        <w:drawing>
          <wp:inline distT="0" distB="0" distL="114300" distR="114300">
            <wp:extent cx="5273040" cy="2494915"/>
            <wp:effectExtent l="0" t="0" r="3810" b="635"/>
            <wp:docPr id="5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9"/>
      <w:bookmarkEnd w:id="30"/>
    </w:p>
    <w:p>
      <w:pPr>
        <w:pStyle w:val="2"/>
        <w:bidi w:val="0"/>
        <w:rPr>
          <w:rFonts w:hint="eastAsia"/>
          <w:lang w:val="en-US" w:eastAsia="zh-CN"/>
        </w:rPr>
      </w:pPr>
      <w:bookmarkStart w:id="31" w:name="_Toc12067"/>
      <w:r>
        <w:rPr>
          <w:rFonts w:hint="eastAsia"/>
          <w:lang w:val="en-US" w:eastAsia="zh-CN"/>
        </w:rPr>
        <w:t>评定标准</w:t>
      </w:r>
      <w:bookmarkEnd w:id="31"/>
    </w:p>
    <w:p>
      <w:pPr>
        <w:rPr>
          <w:rFonts w:hint="eastAsia" w:ascii="微软雅黑" w:hAnsi="微软雅黑" w:eastAsia="微软雅黑" w:cs="微软雅黑"/>
          <w:sz w:val="21"/>
          <w:szCs w:val="21"/>
          <w:shd w:val="clear" w:color="auto" w:fill="auto"/>
          <w:lang w:val="en-US" w:eastAsia="zh-CN"/>
        </w:rPr>
      </w:pPr>
      <w:r>
        <w:rPr>
          <w:rFonts w:hint="eastAsia"/>
          <w:lang w:val="en-US" w:eastAsia="zh-CN"/>
        </w:rPr>
        <w:t>该菜单是租户使用的，租户可以选择版本中的任意一个版本设置为发布版本，设为发布版本后，该租户后续使用的版本就是发布版本，并且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</w:rPr>
        <w:t>只能启用一个版本，当启用一个版本时，别的版本自动致否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eastAsia="zh-CN"/>
        </w:rPr>
        <w:t>。其他的数据只有查看权限。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6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bookmarkStart w:id="32" w:name="_Toc1231"/>
      <w:r>
        <w:rPr>
          <w:rFonts w:hint="eastAsia"/>
          <w:lang w:val="en-US" w:eastAsia="zh-CN"/>
        </w:rPr>
        <w:t>身高体重</w:t>
      </w:r>
      <w:bookmarkEnd w:id="32"/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494915"/>
            <wp:effectExtent l="0" t="0" r="3810" b="635"/>
            <wp:docPr id="62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3" w:name="_Toc692"/>
      <w:r>
        <w:rPr>
          <w:rFonts w:hint="eastAsia"/>
          <w:lang w:val="en-US" w:eastAsia="zh-CN"/>
        </w:rPr>
        <w:t>新增</w:t>
      </w:r>
      <w:bookmarkEnd w:id="33"/>
    </w:p>
    <w:p>
      <w:pP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eastAsia="zh-CN"/>
        </w:rPr>
        <w:t>点击新增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</w:rPr>
        <w:t>打开体检学生批量新增页面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eastAsia="zh-CN"/>
        </w:rPr>
        <w:t>，同一个学生同一天只能有一条数据。新增学生后填写身高体重数据，然后系统会自动计算出评定指标的结果和营养状况结果。</w:t>
      </w:r>
    </w:p>
    <w:p>
      <w:pPr>
        <w:rPr>
          <w:rFonts w:hint="default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val="en-US" w:eastAsia="zh-CN"/>
        </w:rPr>
        <w:t>只有发布的数据才能被后续的统计统计到和被移动端家长查看。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6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4" w:name="_Toc21372"/>
      <w:r>
        <w:rPr>
          <w:rFonts w:hint="eastAsia"/>
          <w:lang w:val="en-US" w:eastAsia="zh-CN"/>
        </w:rPr>
        <w:t>批量设置体检日期</w:t>
      </w:r>
      <w:bookmarkEnd w:id="3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任意勾选数据后点击批量设置体检日期后弹出设置页面，选择日期后点击确定即设置成功。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63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bookmarkStart w:id="35" w:name="_Toc27691"/>
      <w:r>
        <w:rPr>
          <w:rFonts w:hint="eastAsia"/>
          <w:lang w:eastAsia="zh-CN"/>
        </w:rPr>
        <w:t>批量设置发布状态</w:t>
      </w:r>
      <w:bookmarkEnd w:id="35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任意勾选数据后点击批量设置发布状态，将状态改成发布后点击确定，状态变成发布状态。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73040" cy="2494915"/>
            <wp:effectExtent l="0" t="0" r="3810" b="635"/>
            <wp:docPr id="6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6" w:name="_Toc437"/>
      <w:r>
        <w:rPr>
          <w:rFonts w:hint="eastAsia"/>
          <w:lang w:val="en-US" w:eastAsia="zh-CN"/>
        </w:rPr>
        <w:t>导入</w:t>
      </w:r>
      <w:bookmarkEnd w:id="36"/>
    </w:p>
    <w:p>
      <w:pPr>
        <w:rPr>
          <w:rFonts w:hint="default"/>
          <w:lang w:val="en-US"/>
        </w:rPr>
      </w:pPr>
      <w:r>
        <w:rPr>
          <w:rFonts w:hint="eastAsia"/>
          <w:lang w:eastAsia="zh-CN"/>
        </w:rPr>
        <w:t>点击导入后下载导入模板，</w:t>
      </w:r>
      <w:r>
        <w:rPr>
          <w:rFonts w:hint="eastAsia"/>
          <w:lang w:val="en-US" w:eastAsia="zh-CN"/>
        </w:rPr>
        <w:t>然后填写数据后点击上传文件，注意导入模板中的体检日期格式是</w:t>
      </w:r>
      <w:r>
        <w:rPr>
          <w:rFonts w:hint="eastAsia"/>
          <w:color w:val="C00000"/>
          <w:lang w:val="en-US" w:eastAsia="zh-CN"/>
        </w:rPr>
        <w:t>2022/09/19这种。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66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7" w:name="_Toc24644"/>
      <w:r>
        <w:rPr>
          <w:rFonts w:hint="eastAsia"/>
          <w:lang w:val="en-US" w:eastAsia="zh-CN"/>
        </w:rPr>
        <w:t>导出excel</w:t>
      </w:r>
      <w:bookmarkEnd w:id="37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点击导出excel后会出现单个选项，任意选择一个会出现筛选条件，条件选择后点击导出即导出相应数据。</w:t>
      </w:r>
    </w:p>
    <w:p>
      <w:r>
        <w:drawing>
          <wp:inline distT="0" distB="0" distL="114300" distR="114300">
            <wp:extent cx="5273040" cy="2600325"/>
            <wp:effectExtent l="0" t="0" r="3810" b="9525"/>
            <wp:docPr id="67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38" w:name="_Toc27970"/>
      <w:r>
        <w:rPr>
          <w:rFonts w:hint="eastAsia"/>
          <w:lang w:eastAsia="zh-CN"/>
        </w:rPr>
        <w:t>导出记录表</w:t>
      </w:r>
      <w:bookmarkEnd w:id="38"/>
    </w:p>
    <w:p>
      <w:pPr>
        <w:bidi w:val="0"/>
        <w:rPr>
          <w:rFonts w:hint="eastAsia"/>
        </w:rPr>
      </w:pPr>
      <w:r>
        <w:rPr>
          <w:rFonts w:hint="eastAsia"/>
        </w:rPr>
        <w:t>选择导出日期范围。</w:t>
      </w:r>
    </w:p>
    <w:p>
      <w:pPr>
        <w:bidi w:val="0"/>
        <w:rPr>
          <w:rFonts w:hint="eastAsia"/>
        </w:rPr>
      </w:pPr>
      <w:r>
        <w:rPr>
          <w:rFonts w:hint="eastAsia"/>
        </w:rPr>
        <w:t>这里会把日期范围内所有数据导出，同一个人有多天数据会导出多个</w:t>
      </w:r>
    </w:p>
    <w:p>
      <w:pPr>
        <w:bidi w:val="0"/>
        <w:rPr>
          <w:rFonts w:hint="eastAsia"/>
        </w:rPr>
      </w:pPr>
      <w:r>
        <w:rPr>
          <w:rFonts w:hint="eastAsia"/>
        </w:rPr>
        <w:t>设置导出后的字段排序，评定字段会根据选择的标准生成，并非固定。</w:t>
      </w:r>
    </w:p>
    <w:p>
      <w:pPr>
        <w:bidi w:val="0"/>
        <w:rPr>
          <w:rFonts w:hint="eastAsia"/>
        </w:rPr>
      </w:pPr>
      <w:r>
        <w:rPr>
          <w:rFonts w:hint="eastAsia"/>
          <w:lang w:eastAsia="zh-CN"/>
        </w:rPr>
        <w:t>营养状况评价</w:t>
      </w:r>
      <w:r>
        <w:rPr>
          <w:rFonts w:hint="eastAsia"/>
        </w:rPr>
        <w:t>多选。默认不选中。</w:t>
      </w:r>
    </w:p>
    <w:p>
      <w:pPr>
        <w:bidi w:val="0"/>
        <w:rPr>
          <w:rFonts w:hint="eastAsia"/>
        </w:rPr>
      </w:pPr>
      <w:r>
        <w:rPr>
          <w:rFonts w:hint="eastAsia"/>
        </w:rPr>
        <w:t>每选择一个营养状况评价，就会多生成一个对应sheet页，并导出对应该评价结果的学生数据。然后根据每个班级生成一个sheet页。</w:t>
      </w:r>
    </w:p>
    <w:p>
      <w:r>
        <w:drawing>
          <wp:inline distT="0" distB="0" distL="114300" distR="114300">
            <wp:extent cx="5273040" cy="2600325"/>
            <wp:effectExtent l="0" t="0" r="3810" b="9525"/>
            <wp:docPr id="68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39" w:name="_Toc31155"/>
      <w:r>
        <w:rPr>
          <w:rFonts w:hint="eastAsia"/>
          <w:lang w:eastAsia="zh-CN"/>
        </w:rPr>
        <w:t>导出均值汇总表</w:t>
      </w:r>
      <w:bookmarkEnd w:id="39"/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日期范围选择。会根据选择的日期范围导出数据。这里如果一个学生有多条数据，则以最新一条数据统计人数</w:t>
      </w:r>
      <w:r>
        <w:rPr>
          <w:rFonts w:hint="eastAsia"/>
          <w:lang w:eastAsia="zh-CN"/>
        </w:rPr>
        <w:t>。</w:t>
      </w:r>
    </w:p>
    <w:p>
      <w:pPr>
        <w:bidi w:val="0"/>
      </w:pPr>
      <w:r>
        <w:t>评价指标：</w:t>
      </w:r>
      <w:r>
        <w:rPr>
          <w:rFonts w:hint="default"/>
        </w:rPr>
        <w:t>多选。会根据选择的评价指标生成对应项目的统计</w:t>
      </w:r>
    </w:p>
    <w:p>
      <w:r>
        <w:drawing>
          <wp:inline distT="0" distB="0" distL="114300" distR="114300">
            <wp:extent cx="5273040" cy="2494915"/>
            <wp:effectExtent l="0" t="0" r="3810" b="635"/>
            <wp:docPr id="70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40" w:name="_Toc29137"/>
      <w:r>
        <w:rPr>
          <w:rFonts w:hint="eastAsia"/>
          <w:lang w:eastAsia="zh-CN"/>
        </w:rPr>
        <w:t>导出超均值汇总表</w:t>
      </w:r>
      <w:bookmarkEnd w:id="40"/>
    </w:p>
    <w:p>
      <w:pPr>
        <w:bidi w:val="0"/>
      </w:pPr>
      <w:r>
        <w:t>体检日期范围：</w:t>
      </w:r>
      <w:r>
        <w:rPr>
          <w:rFonts w:hint="default"/>
        </w:rPr>
        <w:t>日期范围选择。会根据选择的日期范围导出数据。这里如果一个学生有多条数据，则以最新一条数据统计人数。</w:t>
      </w:r>
    </w:p>
    <w:p>
      <w:pPr>
        <w:bidi w:val="0"/>
        <w:rPr>
          <w:rFonts w:hint="default"/>
        </w:rPr>
      </w:pPr>
      <w:r>
        <w:t>评价指标-结果：</w:t>
      </w:r>
      <w:r>
        <w:rPr>
          <w:rFonts w:hint="default"/>
        </w:rPr>
        <w:t>级联多选。先选择评价指标，在选择对应的评价结果。如选择“身高/年龄”-“&gt;P50”、“体重/年龄”-“&gt;P50”。就会依次生成“身高/年龄”、“体重/年龄”2列统计项，统计对应统计结果的人数及占比</w:t>
      </w:r>
    </w:p>
    <w:p>
      <w:pPr>
        <w:bidi w:val="0"/>
        <w:rPr>
          <w:rFonts w:hint="default"/>
        </w:rPr>
      </w:pPr>
      <w:r>
        <w:t>校区选择：</w:t>
      </w:r>
      <w:r>
        <w:rPr>
          <w:rFonts w:hint="default"/>
        </w:rPr>
        <w:t>单选。不选择时导出全园汇总。</w:t>
      </w:r>
    </w:p>
    <w:p>
      <w:pPr>
        <w:bidi w:val="0"/>
        <w:rPr>
          <w:rFonts w:hint="default"/>
        </w:rPr>
      </w:pPr>
    </w:p>
    <w:p/>
    <w:p>
      <w:r>
        <w:drawing>
          <wp:inline distT="0" distB="0" distL="114300" distR="114300">
            <wp:extent cx="5273040" cy="2600325"/>
            <wp:effectExtent l="0" t="0" r="3810" b="9525"/>
            <wp:docPr id="78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bookmarkStart w:id="41" w:name="_Toc18964"/>
      <w:r>
        <w:rPr>
          <w:rFonts w:hint="eastAsia"/>
          <w:lang w:eastAsia="zh-CN"/>
        </w:rPr>
        <w:t>视力普查</w:t>
      </w:r>
      <w:bookmarkEnd w:id="41"/>
    </w:p>
    <w:p>
      <w:pPr>
        <w:pStyle w:val="4"/>
        <w:bidi w:val="0"/>
      </w:pPr>
      <w:bookmarkStart w:id="42" w:name="_Toc29864"/>
      <w:r>
        <w:rPr>
          <w:rFonts w:hint="eastAsia"/>
          <w:lang w:eastAsia="zh-CN"/>
        </w:rPr>
        <w:t>新增</w:t>
      </w:r>
      <w:bookmarkEnd w:id="42"/>
    </w:p>
    <w:p>
      <w:pPr>
        <w:rPr>
          <w:rFonts w:hint="default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eastAsia="zh-CN"/>
        </w:rPr>
        <w:t>点击新增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</w:rPr>
        <w:t>打开体检学生批量新增页面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eastAsia="zh-CN"/>
        </w:rPr>
        <w:t>，同一个学生同一天只能有一条数据。新增学生后填写视力数据，</w:t>
      </w:r>
      <w:r>
        <w:rPr>
          <w:rFonts w:hint="eastAsia" w:ascii="微软雅黑" w:hAnsi="微软雅黑" w:cs="微软雅黑"/>
          <w:i w:val="0"/>
          <w:iCs w:val="0"/>
          <w:caps w:val="0"/>
          <w:color w:val="2A2E38"/>
          <w:spacing w:val="0"/>
          <w:sz w:val="21"/>
          <w:szCs w:val="21"/>
          <w:shd w:val="clear" w:color="auto" w:fill="auto"/>
          <w:lang w:val="en-US" w:eastAsia="zh-CN"/>
        </w:rPr>
        <w:t>只有发布的数据才能被后续的统计统计到和被移动端家长查看。</w:t>
      </w:r>
    </w:p>
    <w:p/>
    <w:p>
      <w:r>
        <w:drawing>
          <wp:inline distT="0" distB="0" distL="114300" distR="114300">
            <wp:extent cx="5273040" cy="2600325"/>
            <wp:effectExtent l="0" t="0" r="3810" b="9525"/>
            <wp:docPr id="79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43" w:name="_Toc15172"/>
      <w:r>
        <w:rPr>
          <w:rFonts w:hint="eastAsia"/>
          <w:lang w:eastAsia="zh-CN"/>
        </w:rPr>
        <w:t>批量设置体检日期</w:t>
      </w:r>
      <w:bookmarkEnd w:id="43"/>
    </w:p>
    <w:p>
      <w:r>
        <w:rPr>
          <w:rFonts w:hint="eastAsia"/>
          <w:lang w:val="en-US" w:eastAsia="zh-CN"/>
        </w:rPr>
        <w:t>任意勾选数据后点击批量设置体检日期后弹出设置页面，选择日期后点击确定即设置成功。</w:t>
      </w:r>
    </w:p>
    <w:p>
      <w:r>
        <w:drawing>
          <wp:inline distT="0" distB="0" distL="114300" distR="114300">
            <wp:extent cx="5273040" cy="2600325"/>
            <wp:effectExtent l="0" t="0" r="3810" b="9525"/>
            <wp:docPr id="80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7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44" w:name="_Toc13080"/>
      <w:r>
        <w:rPr>
          <w:rFonts w:hint="eastAsia"/>
          <w:lang w:eastAsia="zh-CN"/>
        </w:rPr>
        <w:t>批量设置发布状态</w:t>
      </w:r>
      <w:bookmarkEnd w:id="44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任意勾选数据后点击批量设置发布状态，将状态改成发布后点击确定，状态变成发布状态。</w:t>
      </w:r>
    </w:p>
    <w:p>
      <w:r>
        <w:drawing>
          <wp:inline distT="0" distB="0" distL="114300" distR="114300">
            <wp:extent cx="5273040" cy="2600325"/>
            <wp:effectExtent l="0" t="0" r="3810" b="9525"/>
            <wp:docPr id="81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7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45" w:name="_Toc19602"/>
      <w:r>
        <w:rPr>
          <w:rFonts w:hint="eastAsia"/>
          <w:lang w:eastAsia="zh-CN"/>
        </w:rPr>
        <w:t>导入</w:t>
      </w:r>
      <w:bookmarkEnd w:id="45"/>
    </w:p>
    <w:p>
      <w:r>
        <w:rPr>
          <w:rFonts w:hint="eastAsia"/>
          <w:lang w:eastAsia="zh-CN"/>
        </w:rPr>
        <w:t>点击导入后下载导入模板，</w:t>
      </w:r>
      <w:r>
        <w:rPr>
          <w:rFonts w:hint="eastAsia"/>
          <w:lang w:val="en-US" w:eastAsia="zh-CN"/>
        </w:rPr>
        <w:t>然后填写数据后点击上传文件，注意导入模板中的体检日期格式是</w:t>
      </w:r>
      <w:r>
        <w:rPr>
          <w:rFonts w:hint="eastAsia"/>
          <w:color w:val="C00000"/>
          <w:lang w:val="en-US" w:eastAsia="zh-CN"/>
        </w:rPr>
        <w:t>2022/09/19这种。</w:t>
      </w:r>
    </w:p>
    <w:p>
      <w:r>
        <w:drawing>
          <wp:inline distT="0" distB="0" distL="114300" distR="114300">
            <wp:extent cx="5273040" cy="2600325"/>
            <wp:effectExtent l="0" t="0" r="3810" b="9525"/>
            <wp:docPr id="84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bookmarkStart w:id="46" w:name="_Toc4462"/>
      <w:r>
        <w:rPr>
          <w:rFonts w:hint="eastAsia"/>
          <w:lang w:eastAsia="zh-CN"/>
        </w:rPr>
        <w:t>导出</w:t>
      </w:r>
      <w:bookmarkEnd w:id="46"/>
    </w:p>
    <w:p>
      <w:pPr>
        <w:rPr>
          <w:rFonts w:hint="eastAsia" w:ascii="微软雅黑" w:hAnsi="微软雅黑" w:cs="微软雅黑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导出月份，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  <w:t>选择月份范围</w:t>
      </w:r>
      <w:r>
        <w:rPr>
          <w:rFonts w:hint="eastAsia" w:ascii="微软雅黑" w:hAnsi="微软雅黑" w:cs="微软雅黑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。</w:t>
      </w:r>
    </w:p>
    <w:p>
      <w:pPr>
        <w:rPr>
          <w:rFonts w:ascii="PingFang SC" w:hAnsi="PingFang SC" w:eastAsia="PingFang SC" w:cs="PingFang SC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PingFang SC" w:hAnsi="PingFang SC" w:eastAsia="宋体" w:cs="PingFang SC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排序导出，</w:t>
      </w:r>
      <w:r>
        <w:rPr>
          <w:rFonts w:ascii="PingFang SC" w:hAnsi="PingFang SC" w:eastAsia="PingFang SC" w:cs="PingFang SC"/>
          <w:i w:val="0"/>
          <w:iCs w:val="0"/>
          <w:caps w:val="0"/>
          <w:color w:val="333333"/>
          <w:spacing w:val="0"/>
          <w:sz w:val="21"/>
          <w:szCs w:val="21"/>
        </w:rPr>
        <w:t>设置导出后的字段排序</w:t>
      </w:r>
    </w:p>
    <w:p>
      <w:r>
        <w:drawing>
          <wp:inline distT="0" distB="0" distL="114300" distR="114300">
            <wp:extent cx="5273040" cy="2600325"/>
            <wp:effectExtent l="0" t="0" r="3810" b="9525"/>
            <wp:docPr id="88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eastAsia="zh-CN"/>
        </w:rPr>
      </w:pPr>
      <w:bookmarkStart w:id="47" w:name="_Toc4717"/>
      <w:r>
        <w:rPr>
          <w:rFonts w:hint="eastAsia"/>
          <w:lang w:eastAsia="zh-CN"/>
        </w:rPr>
        <w:t>删除</w:t>
      </w:r>
      <w:bookmarkEnd w:id="47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任意勾选数据后点击删除按钮，点击确定删除成功，点击取消取消删除。</w:t>
      </w:r>
    </w:p>
    <w:p>
      <w:pPr>
        <w:rPr>
          <w:rFonts w:hint="eastAsia"/>
          <w:lang w:eastAsia="zh-CN"/>
        </w:rPr>
      </w:pPr>
    </w:p>
    <w:p>
      <w:r>
        <w:drawing>
          <wp:inline distT="0" distB="0" distL="114300" distR="114300">
            <wp:extent cx="5273040" cy="2600325"/>
            <wp:effectExtent l="0" t="0" r="3810" b="9525"/>
            <wp:docPr id="89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eastAsia="zh-CN"/>
        </w:rPr>
      </w:pPr>
      <w:bookmarkStart w:id="48" w:name="_Toc22123"/>
      <w:r>
        <w:rPr>
          <w:rFonts w:hint="eastAsia"/>
          <w:lang w:eastAsia="zh-CN"/>
        </w:rPr>
        <w:t>生长曲线</w:t>
      </w:r>
      <w:bookmarkEnd w:id="48"/>
    </w:p>
    <w:p>
      <w:pPr>
        <w:bidi w:val="0"/>
        <w:rPr>
          <w:rFonts w:hint="default"/>
        </w:rPr>
      </w:pPr>
      <w:r>
        <w:t>学生选择：</w:t>
      </w:r>
      <w:r>
        <w:rPr>
          <w:rFonts w:hint="default"/>
        </w:rPr>
        <w:t>学生选人组件，单选。</w:t>
      </w:r>
    </w:p>
    <w:p>
      <w:pPr>
        <w:bidi w:val="0"/>
        <w:rPr>
          <w:rFonts w:hint="default"/>
        </w:rPr>
      </w:pPr>
      <w:r>
        <w:t>标准版本：</w:t>
      </w:r>
      <w:r>
        <w:rPr>
          <w:rFonts w:hint="default"/>
        </w:rPr>
        <w:t>从启用的版本中选择。默认选中发布版本。</w:t>
      </w:r>
    </w:p>
    <w:p>
      <w:pPr>
        <w:bidi w:val="0"/>
        <w:rPr>
          <w:rFonts w:hint="default"/>
        </w:rPr>
      </w:pPr>
      <w:r>
        <w:t>体检记录：</w:t>
      </w:r>
      <w:r>
        <w:rPr>
          <w:rFonts w:hint="default"/>
        </w:rPr>
        <w:t>左侧显示选择学生的体检记录。按时间线显示身高体重录入记录。滚动加载。</w:t>
      </w:r>
    </w:p>
    <w:p>
      <w:pPr>
        <w:bidi w:val="0"/>
        <w:rPr>
          <w:rFonts w:hint="default"/>
        </w:rPr>
      </w:pPr>
      <w:r>
        <w:rPr>
          <w:rFonts w:hint="default"/>
        </w:rPr>
        <w:t>按日期倒序排列。只显示已经发布的数据。</w:t>
      </w:r>
    </w:p>
    <w:p>
      <w:pPr>
        <w:bidi w:val="0"/>
      </w:pPr>
      <w:r>
        <w:t>每条记录包含：体检日期、体检时的年龄、身高、体重、评定结果，其中评定结果需包含公式计算出的数值以及对应评价结果。</w:t>
      </w:r>
    </w:p>
    <w:p>
      <w:pPr>
        <w:bidi w:val="0"/>
        <w:rPr>
          <w:rFonts w:hint="default"/>
        </w:rPr>
      </w:pPr>
      <w:r>
        <w:rPr>
          <w:rFonts w:hint="default"/>
        </w:rPr>
        <w:t>注：一个版本下多个指数的话，会依次显示结果。指数名称过长时省略号显示，鼠标悬浮显示全称。</w:t>
      </w:r>
    </w:p>
    <w:p>
      <w:pPr>
        <w:rPr>
          <w:rFonts w:hint="eastAsia"/>
          <w:lang w:eastAsia="zh-CN"/>
        </w:rPr>
      </w:pPr>
    </w:p>
    <w:p>
      <w:r>
        <w:drawing>
          <wp:inline distT="0" distB="0" distL="114300" distR="114300">
            <wp:extent cx="5273040" cy="2600325"/>
            <wp:effectExtent l="0" t="0" r="3810" b="9525"/>
            <wp:docPr id="90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8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600325"/>
            <wp:effectExtent l="0" t="0" r="3810" b="9525"/>
            <wp:docPr id="107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</w:pPr>
      <w:bookmarkStart w:id="49" w:name="_Toc21617"/>
      <w:r>
        <w:rPr>
          <w:rFonts w:hint="eastAsia"/>
          <w:lang w:eastAsia="zh-CN"/>
        </w:rPr>
        <w:t>导航页</w:t>
      </w:r>
      <w:bookmarkEnd w:id="49"/>
    </w:p>
    <w:p>
      <w:pPr>
        <w:bidi w:val="0"/>
        <w:rPr>
          <w:rFonts w:hint="default"/>
        </w:rPr>
      </w:pPr>
      <w:r>
        <w:rPr>
          <w:b/>
          <w:bCs/>
        </w:rPr>
        <w:t>树结构选择</w:t>
      </w:r>
      <w:r>
        <w:t>：</w:t>
      </w:r>
      <w:r>
        <w:rPr>
          <w:rFonts w:hint="default"/>
        </w:rPr>
        <w:t>全校-校区-年级-班级；默认选中全校；树结构中的任何节点都可以选择，选择不同节点，下方生成不同数据统计，只统计当前在籍在读的学生情况。</w:t>
      </w:r>
    </w:p>
    <w:p>
      <w:pPr>
        <w:bidi w:val="0"/>
        <w:rPr>
          <w:rFonts w:hint="default"/>
        </w:rPr>
      </w:pPr>
      <w:r>
        <w:rPr>
          <w:b/>
          <w:bCs/>
        </w:rPr>
        <w:t>体检概览</w:t>
      </w:r>
      <w:r>
        <w:t>：</w:t>
      </w:r>
      <w:r>
        <w:rPr>
          <w:rFonts w:hint="default"/>
        </w:rPr>
        <w:t>统计各年龄的平均升高、体重。</w:t>
      </w:r>
    </w:p>
    <w:p>
      <w:pPr>
        <w:bidi w:val="0"/>
        <w:rPr>
          <w:rFonts w:hint="default"/>
        </w:rPr>
      </w:pPr>
      <w:r>
        <w:rPr>
          <w:b/>
          <w:bCs/>
        </w:rPr>
        <w:t>均值汇总</w:t>
      </w:r>
      <w:r>
        <w:t>：</w:t>
      </w:r>
      <w:r>
        <w:rPr>
          <w:rFonts w:hint="default"/>
        </w:rPr>
        <w:t>显示身高/年龄、体重/年龄等各“评价指标”各“评价指数”的人数。</w:t>
      </w:r>
    </w:p>
    <w:p>
      <w:pPr>
        <w:bidi w:val="0"/>
        <w:rPr>
          <w:rFonts w:hint="default"/>
        </w:rPr>
      </w:pPr>
      <w:r>
        <w:rPr>
          <w:b/>
          <w:bCs/>
        </w:rPr>
        <w:t>营养状况评价</w:t>
      </w:r>
      <w:r>
        <w:t>：</w:t>
      </w:r>
      <w:r>
        <w:rPr>
          <w:rFonts w:hint="default"/>
        </w:rPr>
        <w:t>这里统计标准维护中“营养状况评价”各标准指数对应的人数。</w:t>
      </w:r>
    </w:p>
    <w:p>
      <w:pPr>
        <w:bidi w:val="0"/>
        <w:rPr>
          <w:rFonts w:hint="default"/>
        </w:rPr>
      </w:pPr>
      <w:r>
        <w:rPr>
          <w:b/>
          <w:bCs/>
        </w:rPr>
        <w:t>快捷入口</w:t>
      </w:r>
      <w:r>
        <w:t>：</w:t>
      </w:r>
      <w:r>
        <w:rPr>
          <w:rFonts w:hint="default"/>
        </w:rPr>
        <w:t>点击后跳转至对应菜单。</w:t>
      </w:r>
    </w:p>
    <w:p>
      <w:pPr>
        <w:bidi w:val="0"/>
        <w:rPr>
          <w:rFonts w:hint="eastAsia" w:eastAsia="微软雅黑"/>
          <w:lang w:eastAsia="zh-CN"/>
        </w:rPr>
      </w:pPr>
      <w:r>
        <w:rPr>
          <w:b/>
          <w:bCs/>
        </w:rPr>
        <w:t>体检历程</w:t>
      </w:r>
      <w:r>
        <w:t>：</w:t>
      </w:r>
      <w:r>
        <w:rPr>
          <w:rFonts w:hint="default"/>
        </w:rPr>
        <w:t>根据“身高体重”、“视力普查”2个菜单下的“体检日期”字段显示历程，统计各体检日期下等级身高体重、视力记录的人数，只统计当前在籍在读的学生情况。按照日期从新至旧排序。</w:t>
      </w:r>
    </w:p>
    <w:p>
      <w:r>
        <w:drawing>
          <wp:inline distT="0" distB="0" distL="114300" distR="114300">
            <wp:extent cx="5272405" cy="2965450"/>
            <wp:effectExtent l="0" t="0" r="4445" b="6350"/>
            <wp:docPr id="108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/>
    <w:p/>
    <w:p/>
    <w:p/>
    <w:p/>
    <w:p/>
    <w:p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12E0521"/>
    <w:rsid w:val="01DE5F82"/>
    <w:rsid w:val="028916DF"/>
    <w:rsid w:val="034F2928"/>
    <w:rsid w:val="03C10655"/>
    <w:rsid w:val="03FC3A15"/>
    <w:rsid w:val="045F408F"/>
    <w:rsid w:val="04765F01"/>
    <w:rsid w:val="04934A97"/>
    <w:rsid w:val="04D37589"/>
    <w:rsid w:val="04E63BBD"/>
    <w:rsid w:val="05092FAB"/>
    <w:rsid w:val="05790131"/>
    <w:rsid w:val="05793C8D"/>
    <w:rsid w:val="062057F5"/>
    <w:rsid w:val="066D2AD7"/>
    <w:rsid w:val="066F5090"/>
    <w:rsid w:val="06FC4B75"/>
    <w:rsid w:val="070A0A75"/>
    <w:rsid w:val="07342181"/>
    <w:rsid w:val="077E22BD"/>
    <w:rsid w:val="07D37038"/>
    <w:rsid w:val="08855173"/>
    <w:rsid w:val="08C72F61"/>
    <w:rsid w:val="08EB0B10"/>
    <w:rsid w:val="09311D37"/>
    <w:rsid w:val="0AD16319"/>
    <w:rsid w:val="0AFF4C34"/>
    <w:rsid w:val="0B582596"/>
    <w:rsid w:val="0B9F1F73"/>
    <w:rsid w:val="0C120997"/>
    <w:rsid w:val="0C4C296F"/>
    <w:rsid w:val="0CA42AC5"/>
    <w:rsid w:val="0D1220E9"/>
    <w:rsid w:val="0D73620A"/>
    <w:rsid w:val="0D913B3D"/>
    <w:rsid w:val="0D9A50E8"/>
    <w:rsid w:val="0E4D3461"/>
    <w:rsid w:val="0E7D2A40"/>
    <w:rsid w:val="0E991CA1"/>
    <w:rsid w:val="0EFE3455"/>
    <w:rsid w:val="0F031551"/>
    <w:rsid w:val="0F6634D4"/>
    <w:rsid w:val="0F847DFE"/>
    <w:rsid w:val="0FF24D67"/>
    <w:rsid w:val="100131FC"/>
    <w:rsid w:val="10243A68"/>
    <w:rsid w:val="10352EA6"/>
    <w:rsid w:val="10B42CD7"/>
    <w:rsid w:val="11457119"/>
    <w:rsid w:val="114710E3"/>
    <w:rsid w:val="116C28F7"/>
    <w:rsid w:val="11D14E59"/>
    <w:rsid w:val="126161D4"/>
    <w:rsid w:val="13023513"/>
    <w:rsid w:val="136C6BDF"/>
    <w:rsid w:val="13767A5D"/>
    <w:rsid w:val="13A20852"/>
    <w:rsid w:val="14587163"/>
    <w:rsid w:val="14BA1BCC"/>
    <w:rsid w:val="14EE34C4"/>
    <w:rsid w:val="15A10F61"/>
    <w:rsid w:val="16273291"/>
    <w:rsid w:val="163C4F8E"/>
    <w:rsid w:val="16695657"/>
    <w:rsid w:val="16893F4C"/>
    <w:rsid w:val="169D3553"/>
    <w:rsid w:val="16C954B9"/>
    <w:rsid w:val="17367C2F"/>
    <w:rsid w:val="17635CC5"/>
    <w:rsid w:val="177E5132"/>
    <w:rsid w:val="178E7A6B"/>
    <w:rsid w:val="17AF1881"/>
    <w:rsid w:val="17D66D1D"/>
    <w:rsid w:val="17DB4333"/>
    <w:rsid w:val="186F6C45"/>
    <w:rsid w:val="18786026"/>
    <w:rsid w:val="18DA0A8E"/>
    <w:rsid w:val="18FC27B3"/>
    <w:rsid w:val="193A152D"/>
    <w:rsid w:val="19AF3CC9"/>
    <w:rsid w:val="19BE3F0C"/>
    <w:rsid w:val="19CC117C"/>
    <w:rsid w:val="19E456B6"/>
    <w:rsid w:val="1A772A39"/>
    <w:rsid w:val="1A811F67"/>
    <w:rsid w:val="1A85424D"/>
    <w:rsid w:val="1AB7323A"/>
    <w:rsid w:val="1AE654C9"/>
    <w:rsid w:val="1B0E67CD"/>
    <w:rsid w:val="1BEA723A"/>
    <w:rsid w:val="1BFD0D1C"/>
    <w:rsid w:val="1C60574F"/>
    <w:rsid w:val="1D951428"/>
    <w:rsid w:val="1DF512A5"/>
    <w:rsid w:val="1E721267"/>
    <w:rsid w:val="1E8C2E20"/>
    <w:rsid w:val="1E9A0D7A"/>
    <w:rsid w:val="1F8163B2"/>
    <w:rsid w:val="1FB13F1D"/>
    <w:rsid w:val="200955F2"/>
    <w:rsid w:val="205D59B9"/>
    <w:rsid w:val="20B5296A"/>
    <w:rsid w:val="20CC49DA"/>
    <w:rsid w:val="21313216"/>
    <w:rsid w:val="217F0425"/>
    <w:rsid w:val="219C4B33"/>
    <w:rsid w:val="21F305CB"/>
    <w:rsid w:val="22776C72"/>
    <w:rsid w:val="22944F14"/>
    <w:rsid w:val="2297354C"/>
    <w:rsid w:val="22D447A0"/>
    <w:rsid w:val="231E77CA"/>
    <w:rsid w:val="233D5EA2"/>
    <w:rsid w:val="24297F60"/>
    <w:rsid w:val="24877D1C"/>
    <w:rsid w:val="24FE5B05"/>
    <w:rsid w:val="25A641D2"/>
    <w:rsid w:val="2624159B"/>
    <w:rsid w:val="263B4D9F"/>
    <w:rsid w:val="264C0D0B"/>
    <w:rsid w:val="267C4F33"/>
    <w:rsid w:val="278247CB"/>
    <w:rsid w:val="27BF157B"/>
    <w:rsid w:val="2852419D"/>
    <w:rsid w:val="2871756B"/>
    <w:rsid w:val="2891134E"/>
    <w:rsid w:val="28D21782"/>
    <w:rsid w:val="2940049A"/>
    <w:rsid w:val="29FB2613"/>
    <w:rsid w:val="2A1D07DB"/>
    <w:rsid w:val="2A7D74CC"/>
    <w:rsid w:val="2B275DB5"/>
    <w:rsid w:val="2B49262D"/>
    <w:rsid w:val="2BE27F2E"/>
    <w:rsid w:val="2C246BF6"/>
    <w:rsid w:val="2C5D5807"/>
    <w:rsid w:val="2C9E6231"/>
    <w:rsid w:val="2D393661"/>
    <w:rsid w:val="2D890367"/>
    <w:rsid w:val="2D8D7A26"/>
    <w:rsid w:val="2E165C6D"/>
    <w:rsid w:val="2EB060C2"/>
    <w:rsid w:val="2F0E4B96"/>
    <w:rsid w:val="2FA224F6"/>
    <w:rsid w:val="2FA31782"/>
    <w:rsid w:val="2FDA5A18"/>
    <w:rsid w:val="2FE853E7"/>
    <w:rsid w:val="303B2760"/>
    <w:rsid w:val="30444D13"/>
    <w:rsid w:val="307C26FF"/>
    <w:rsid w:val="30F32296"/>
    <w:rsid w:val="31141606"/>
    <w:rsid w:val="31532D34"/>
    <w:rsid w:val="318E13B8"/>
    <w:rsid w:val="31A05022"/>
    <w:rsid w:val="31D9592F"/>
    <w:rsid w:val="31F6203D"/>
    <w:rsid w:val="322E1CE9"/>
    <w:rsid w:val="33955886"/>
    <w:rsid w:val="339F6A18"/>
    <w:rsid w:val="33B67785"/>
    <w:rsid w:val="340547BA"/>
    <w:rsid w:val="34190265"/>
    <w:rsid w:val="34C401D1"/>
    <w:rsid w:val="350A73E2"/>
    <w:rsid w:val="3583008C"/>
    <w:rsid w:val="35F84F26"/>
    <w:rsid w:val="35FC1BEC"/>
    <w:rsid w:val="367B07A9"/>
    <w:rsid w:val="36877CE2"/>
    <w:rsid w:val="36B349A1"/>
    <w:rsid w:val="377B1C51"/>
    <w:rsid w:val="37AA1FD6"/>
    <w:rsid w:val="382E1E58"/>
    <w:rsid w:val="38B51835"/>
    <w:rsid w:val="38F90665"/>
    <w:rsid w:val="39A86FFF"/>
    <w:rsid w:val="39B34CB8"/>
    <w:rsid w:val="39D30EB6"/>
    <w:rsid w:val="3A03179B"/>
    <w:rsid w:val="3A092B2A"/>
    <w:rsid w:val="3AD153F6"/>
    <w:rsid w:val="3B64270E"/>
    <w:rsid w:val="3B7B35B3"/>
    <w:rsid w:val="3BA945C4"/>
    <w:rsid w:val="3C8F7316"/>
    <w:rsid w:val="3CCE7035"/>
    <w:rsid w:val="3D1B32A0"/>
    <w:rsid w:val="3D9E0415"/>
    <w:rsid w:val="3DD83800"/>
    <w:rsid w:val="3E7B428B"/>
    <w:rsid w:val="3E907376"/>
    <w:rsid w:val="3EC51715"/>
    <w:rsid w:val="3EE20976"/>
    <w:rsid w:val="40B82BB4"/>
    <w:rsid w:val="42010CB6"/>
    <w:rsid w:val="42446DF5"/>
    <w:rsid w:val="428471F1"/>
    <w:rsid w:val="42870A90"/>
    <w:rsid w:val="42E17197"/>
    <w:rsid w:val="42E45EE2"/>
    <w:rsid w:val="42ED123B"/>
    <w:rsid w:val="43170066"/>
    <w:rsid w:val="43FD47C7"/>
    <w:rsid w:val="4416031D"/>
    <w:rsid w:val="444A7FC7"/>
    <w:rsid w:val="446B0669"/>
    <w:rsid w:val="44AB4F09"/>
    <w:rsid w:val="44D02BC2"/>
    <w:rsid w:val="451B08D1"/>
    <w:rsid w:val="451E392D"/>
    <w:rsid w:val="46FA3F26"/>
    <w:rsid w:val="47EA0A80"/>
    <w:rsid w:val="491A5884"/>
    <w:rsid w:val="496438D9"/>
    <w:rsid w:val="498A40E4"/>
    <w:rsid w:val="4A407EA2"/>
    <w:rsid w:val="4AFD5D93"/>
    <w:rsid w:val="4B052E99"/>
    <w:rsid w:val="4B1C6550"/>
    <w:rsid w:val="4BDF526A"/>
    <w:rsid w:val="4C435AFD"/>
    <w:rsid w:val="4C6E1A9B"/>
    <w:rsid w:val="4C9D5A7F"/>
    <w:rsid w:val="4C9E35A6"/>
    <w:rsid w:val="4CC42B93"/>
    <w:rsid w:val="4CD11285"/>
    <w:rsid w:val="4D151ABA"/>
    <w:rsid w:val="4D4741A7"/>
    <w:rsid w:val="4DA8316C"/>
    <w:rsid w:val="4E393586"/>
    <w:rsid w:val="4E4837C9"/>
    <w:rsid w:val="4E797E26"/>
    <w:rsid w:val="4F1D497A"/>
    <w:rsid w:val="4F3F2E1E"/>
    <w:rsid w:val="4F782C31"/>
    <w:rsid w:val="4F907A01"/>
    <w:rsid w:val="50B84275"/>
    <w:rsid w:val="51481DCD"/>
    <w:rsid w:val="514D6D1E"/>
    <w:rsid w:val="51C573A5"/>
    <w:rsid w:val="526C333E"/>
    <w:rsid w:val="529D59EA"/>
    <w:rsid w:val="53241106"/>
    <w:rsid w:val="53682217"/>
    <w:rsid w:val="5411465D"/>
    <w:rsid w:val="54183C3E"/>
    <w:rsid w:val="542F4739"/>
    <w:rsid w:val="546450D5"/>
    <w:rsid w:val="548C0D99"/>
    <w:rsid w:val="54B8169C"/>
    <w:rsid w:val="55EC35D4"/>
    <w:rsid w:val="567D7092"/>
    <w:rsid w:val="56D007FF"/>
    <w:rsid w:val="56F444EE"/>
    <w:rsid w:val="578137B9"/>
    <w:rsid w:val="579D4B86"/>
    <w:rsid w:val="582F2864"/>
    <w:rsid w:val="58313C22"/>
    <w:rsid w:val="585C30F0"/>
    <w:rsid w:val="59835FFD"/>
    <w:rsid w:val="5A025174"/>
    <w:rsid w:val="5A6034AA"/>
    <w:rsid w:val="5AF01470"/>
    <w:rsid w:val="5B022F52"/>
    <w:rsid w:val="5B21162A"/>
    <w:rsid w:val="5B2353A2"/>
    <w:rsid w:val="5B547C51"/>
    <w:rsid w:val="5BD5525B"/>
    <w:rsid w:val="5BF62AB6"/>
    <w:rsid w:val="5C5A1297"/>
    <w:rsid w:val="5C9168AB"/>
    <w:rsid w:val="5CBD699C"/>
    <w:rsid w:val="5D0905C7"/>
    <w:rsid w:val="5E415140"/>
    <w:rsid w:val="5E845B4F"/>
    <w:rsid w:val="5EA031AD"/>
    <w:rsid w:val="5F313E05"/>
    <w:rsid w:val="5FD96977"/>
    <w:rsid w:val="600A4D82"/>
    <w:rsid w:val="605040C4"/>
    <w:rsid w:val="607E751E"/>
    <w:rsid w:val="61004BF7"/>
    <w:rsid w:val="6198016C"/>
    <w:rsid w:val="61DC62AA"/>
    <w:rsid w:val="620C3034"/>
    <w:rsid w:val="627A2EA0"/>
    <w:rsid w:val="62CA07F9"/>
    <w:rsid w:val="62EC4555"/>
    <w:rsid w:val="63B75221"/>
    <w:rsid w:val="63C77EDB"/>
    <w:rsid w:val="644D7933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C32A4A"/>
    <w:rsid w:val="65D54403"/>
    <w:rsid w:val="66012783"/>
    <w:rsid w:val="67254250"/>
    <w:rsid w:val="676236F6"/>
    <w:rsid w:val="683D36AD"/>
    <w:rsid w:val="688558EE"/>
    <w:rsid w:val="6894168D"/>
    <w:rsid w:val="68CA026B"/>
    <w:rsid w:val="69164798"/>
    <w:rsid w:val="698C4A5A"/>
    <w:rsid w:val="6A845731"/>
    <w:rsid w:val="6AB26742"/>
    <w:rsid w:val="6B2F38EF"/>
    <w:rsid w:val="6B797260"/>
    <w:rsid w:val="6C027255"/>
    <w:rsid w:val="6C094140"/>
    <w:rsid w:val="6C823EF2"/>
    <w:rsid w:val="6C866535"/>
    <w:rsid w:val="6CA83959"/>
    <w:rsid w:val="6D5870D2"/>
    <w:rsid w:val="6D9B34BE"/>
    <w:rsid w:val="6DE80172"/>
    <w:rsid w:val="6E0252EB"/>
    <w:rsid w:val="6E873A42"/>
    <w:rsid w:val="6F285225"/>
    <w:rsid w:val="6FC82564"/>
    <w:rsid w:val="6FE74798"/>
    <w:rsid w:val="702B762D"/>
    <w:rsid w:val="70357BF9"/>
    <w:rsid w:val="704D0E86"/>
    <w:rsid w:val="70C45568"/>
    <w:rsid w:val="70F62773"/>
    <w:rsid w:val="718129CA"/>
    <w:rsid w:val="720E0702"/>
    <w:rsid w:val="729130E1"/>
    <w:rsid w:val="729D6DC9"/>
    <w:rsid w:val="733C01B2"/>
    <w:rsid w:val="734E2D80"/>
    <w:rsid w:val="74171277"/>
    <w:rsid w:val="745D771F"/>
    <w:rsid w:val="74A76BEC"/>
    <w:rsid w:val="750850DA"/>
    <w:rsid w:val="752477A4"/>
    <w:rsid w:val="77D9530E"/>
    <w:rsid w:val="781C51FB"/>
    <w:rsid w:val="78414C61"/>
    <w:rsid w:val="78827754"/>
    <w:rsid w:val="78EC7BD1"/>
    <w:rsid w:val="79324D89"/>
    <w:rsid w:val="79A159E7"/>
    <w:rsid w:val="79D42231"/>
    <w:rsid w:val="79FC7D20"/>
    <w:rsid w:val="7A8D2CB9"/>
    <w:rsid w:val="7B5F1FCE"/>
    <w:rsid w:val="7B885BE7"/>
    <w:rsid w:val="7C2A25DC"/>
    <w:rsid w:val="7D8614BE"/>
    <w:rsid w:val="7DAE4B47"/>
    <w:rsid w:val="7DBD3626"/>
    <w:rsid w:val="7DFA25BE"/>
    <w:rsid w:val="7E5F0E9A"/>
    <w:rsid w:val="7E8A1586"/>
    <w:rsid w:val="7F671451"/>
    <w:rsid w:val="7F6B1639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 Spacing"/>
    <w:link w:val="2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2">
    <w:name w:val="无间隔 字符"/>
    <w:basedOn w:val="19"/>
    <w:link w:val="21"/>
    <w:qFormat/>
    <w:uiPriority w:val="1"/>
    <w:rPr>
      <w:kern w:val="0"/>
      <w:sz w:val="22"/>
    </w:rPr>
  </w:style>
  <w:style w:type="character" w:customStyle="1" w:styleId="23">
    <w:name w:val="标题 1 字符"/>
    <w:basedOn w:val="19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28">
    <w:name w:val="标题 2 字符"/>
    <w:basedOn w:val="19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9">
    <w:name w:val="标题 3 字符"/>
    <w:basedOn w:val="19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30">
    <w:name w:val="标题 4 字符"/>
    <w:basedOn w:val="19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numbering" Target="numbering.xml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3225</Words>
  <Characters>3575</Characters>
  <Lines>13</Lines>
  <Paragraphs>3</Paragraphs>
  <TotalTime>1</TotalTime>
  <ScaleCrop>false</ScaleCrop>
  <LinksUpToDate>false</LinksUpToDate>
  <CharactersWithSpaces>3755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史炯助</cp:lastModifiedBy>
  <dcterms:modified xsi:type="dcterms:W3CDTF">2023-05-06T02:10:06Z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DEE899C42C954D34AB09739D306162F5</vt:lpwstr>
  </property>
</Properties>
</file>