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微软雅黑" w:hAnsi="微软雅黑" w:eastAsia="微软雅黑"/>
          <w:color w:val="5B9BD5" w:themeColor="accent1"/>
          <w:kern w:val="2"/>
          <w:sz w:val="21"/>
          <w14:textFill>
            <w14:solidFill>
              <w14:schemeClr w14:val="accent1"/>
            </w14:solidFill>
          </w14:textFill>
        </w:rPr>
        <w:id w:val="1467243157"/>
        <w:docPartObj>
          <w:docPartGallery w:val="autotext"/>
        </w:docPartObj>
      </w:sdtPr>
      <w:sdtEndPr>
        <w:rPr>
          <w:rFonts w:ascii="微软雅黑" w:hAnsi="微软雅黑" w:eastAsia="微软雅黑"/>
          <w:color w:val="auto"/>
          <w:kern w:val="2"/>
          <w:sz w:val="21"/>
        </w:rPr>
      </w:sdtEndPr>
      <w:sdtContent>
        <w:p>
          <w:pPr>
            <w:pStyle w:val="21"/>
            <w:spacing w:before="1540" w:after="240"/>
            <w:jc w:val="center"/>
            <w:rPr>
              <w:rFonts w:ascii="微软雅黑" w:hAnsi="微软雅黑" w:eastAsia="微软雅黑"/>
              <w:color w:val="5B9BD5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="微软雅黑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-939800</wp:posOffset>
                </wp:positionV>
                <wp:extent cx="7542530" cy="10749280"/>
                <wp:effectExtent l="0" t="0" r="1270" b="0"/>
                <wp:wrapNone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2530" cy="10749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>
          <w:pPr>
            <w:pStyle w:val="21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  <w:t>uCare</w:t>
          </w:r>
        </w:p>
        <w:p>
          <w:pPr>
            <w:pStyle w:val="21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hint="default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  <w:t>站内信</w:t>
          </w:r>
          <w:bookmarkStart w:id="38" w:name="_GoBack"/>
          <w:bookmarkEnd w:id="38"/>
        </w:p>
        <w:p>
          <w:pPr>
            <w:pStyle w:val="21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  <w:t>使用手册</w:t>
          </w:r>
        </w:p>
        <w:p>
          <w:pPr>
            <w:widowControl/>
            <w:jc w:val="left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</w:rPr>
            <w:br w:type="page"/>
          </w:r>
        </w:p>
      </w:sdtContent>
    </w:sdt>
    <w:p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免责声明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本使用手册依据公司内部测试环境，配合当前测试通过内容进行编写及更新，测试人员在编写该使用手册时，已尽最大努力确保内容的完善及准确性，但不对使用手册中的遗漏、或不准确而导致的损失或损害承担责任。【以最新使用手册为准】</w:t>
      </w: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版权声明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版权所有 ©</w:t>
      </w:r>
      <w:r>
        <w:rPr>
          <w:rFonts w:ascii="微软雅黑" w:hAnsi="微软雅黑" w:eastAsia="微软雅黑" w:cs="微软雅黑"/>
          <w:kern w:val="0"/>
          <w:szCs w:val="24"/>
        </w:rPr>
        <w:t xml:space="preserve"> 2022</w:t>
      </w:r>
      <w:r>
        <w:rPr>
          <w:rFonts w:hint="eastAsia" w:ascii="微软雅黑" w:hAnsi="微软雅黑" w:eastAsia="微软雅黑" w:cs="微软雅黑"/>
          <w:kern w:val="0"/>
          <w:szCs w:val="24"/>
        </w:rPr>
        <w:t>年上海长江唯诚科技股份有限公司保留所有权。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上海长江唯诚科技股份有限公司版权所有，</w:t>
      </w:r>
      <w:r>
        <w:rPr>
          <w:rFonts w:ascii="微软雅黑" w:hAnsi="微软雅黑" w:eastAsia="微软雅黑" w:cs="微软雅黑"/>
          <w:kern w:val="0"/>
          <w:szCs w:val="24"/>
        </w:rPr>
        <w:t xml:space="preserve"> 并保留对本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及本声明的最终解释权和修改权。本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的版权归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所有。未得到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的书面许可，任何人不得以任何方式或形式对本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内的任何</w:t>
      </w:r>
      <w:r>
        <w:rPr>
          <w:rFonts w:hint="eastAsia" w:ascii="微软雅黑" w:hAnsi="微软雅黑" w:eastAsia="微软雅黑" w:cs="微软雅黑"/>
          <w:kern w:val="0"/>
          <w:szCs w:val="24"/>
        </w:rPr>
        <w:t>内容</w:t>
      </w:r>
      <w:r>
        <w:rPr>
          <w:rFonts w:ascii="微软雅黑" w:hAnsi="微软雅黑" w:eastAsia="微软雅黑" w:cs="微软雅黑"/>
          <w:kern w:val="0"/>
          <w:szCs w:val="24"/>
        </w:rPr>
        <w:t>进行复制、摘录、备份、修改、传播、翻译成其他语言、或将其全部或部分用于商业用途。</w:t>
      </w:r>
    </w:p>
    <w:p>
      <w:pPr>
        <w:widowControl/>
        <w:jc w:val="left"/>
        <w:rPr>
          <w:rFonts w:ascii="微软雅黑" w:hAnsi="微软雅黑" w:eastAsia="微软雅黑" w:cs="微软雅黑"/>
          <w:kern w:val="0"/>
          <w:sz w:val="24"/>
          <w:szCs w:val="24"/>
        </w:rPr>
      </w:pPr>
      <w:r>
        <w:rPr>
          <w:rFonts w:ascii="微软雅黑" w:hAnsi="微软雅黑" w:eastAsia="微软雅黑" w:cs="微软雅黑"/>
          <w:kern w:val="0"/>
          <w:sz w:val="24"/>
          <w:szCs w:val="24"/>
        </w:rPr>
        <w:br w:type="page"/>
      </w:r>
    </w:p>
    <w:p>
      <w:pPr>
        <w:jc w:val="center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文件修改记录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1311"/>
        <w:gridCol w:w="2565"/>
        <w:gridCol w:w="1737"/>
        <w:gridCol w:w="21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2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序</w:t>
            </w:r>
          </w:p>
        </w:tc>
        <w:tc>
          <w:tcPr>
            <w:tcW w:w="769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修改人</w:t>
            </w:r>
          </w:p>
        </w:tc>
        <w:tc>
          <w:tcPr>
            <w:tcW w:w="1505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修改内容</w:t>
            </w:r>
          </w:p>
        </w:tc>
        <w:tc>
          <w:tcPr>
            <w:tcW w:w="1019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修改日期</w:t>
            </w:r>
          </w:p>
        </w:tc>
        <w:tc>
          <w:tcPr>
            <w:tcW w:w="1255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张孟强</w:t>
            </w: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初稿</w:t>
            </w: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</w:rPr>
              <w:t>-0</w:t>
            </w:r>
            <w:r>
              <w:rPr>
                <w:rFonts w:hint="eastAsia" w:ascii="微软雅黑" w:hAnsi="微软雅黑" w:cs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</w:rPr>
              <w:t>-</w:t>
            </w:r>
            <w:r>
              <w:rPr>
                <w:rFonts w:hint="eastAsia" w:ascii="微软雅黑" w:hAnsi="微软雅黑" w:cs="微软雅黑"/>
                <w:lang w:val="en-US" w:eastAsia="zh-CN"/>
              </w:rPr>
              <w:t>11</w:t>
            </w: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5"/>
              <w:numPr>
                <w:ilvl w:val="0"/>
                <w:numId w:val="2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</w:tbl>
    <w:p>
      <w:pPr>
        <w:rPr>
          <w:rFonts w:ascii="微软雅黑" w:hAnsi="微软雅黑" w:eastAsia="微软雅黑"/>
        </w:rPr>
      </w:pPr>
    </w:p>
    <w:p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sdt>
      <w:sdtPr>
        <w:rPr>
          <w:rFonts w:ascii="微软雅黑" w:hAnsi="微软雅黑" w:eastAsia="微软雅黑" w:cstheme="minorBidi"/>
          <w:color w:val="auto"/>
          <w:kern w:val="2"/>
          <w:sz w:val="21"/>
          <w:szCs w:val="22"/>
          <w:lang w:val="zh-CN"/>
        </w:rPr>
        <w:id w:val="2039546757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24"/>
            <w:numPr>
              <w:ilvl w:val="0"/>
              <w:numId w:val="0"/>
            </w:numPr>
            <w:ind w:leftChars="0"/>
            <w:jc w:val="center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lang w:val="zh-CN"/>
            </w:rPr>
            <w:t>目录</w:t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TOC \o "1-3" \h \z \u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_Toc24533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阅读对象</w:t>
          </w:r>
          <w:r>
            <w:tab/>
          </w:r>
          <w:r>
            <w:fldChar w:fldCharType="begin"/>
          </w:r>
          <w:r>
            <w:instrText xml:space="preserve"> PAGEREF _Toc24533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_Toc5871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使用准备</w:t>
          </w:r>
          <w:r>
            <w:tab/>
          </w:r>
          <w:r>
            <w:fldChar w:fldCharType="begin"/>
          </w:r>
          <w:r>
            <w:instrText xml:space="preserve"> PAGEREF _Toc5871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_Toc11572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</w:rPr>
            <w:t>操作系统要求</w:t>
          </w:r>
          <w:r>
            <w:tab/>
          </w:r>
          <w:r>
            <w:fldChar w:fldCharType="begin"/>
          </w:r>
          <w:r>
            <w:instrText xml:space="preserve"> PAGEREF _Toc11572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_Toc18653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</w:rPr>
            <w:t>浏览器要求</w:t>
          </w:r>
          <w:r>
            <w:tab/>
          </w:r>
          <w:r>
            <w:fldChar w:fldCharType="begin"/>
          </w:r>
          <w:r>
            <w:instrText xml:space="preserve"> PAGEREF _Toc18653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_Toc26345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rPr>
              <w:rFonts w:hint="eastAsia"/>
            </w:rPr>
            <w:t>系统访问信息</w:t>
          </w:r>
          <w:r>
            <w:tab/>
          </w:r>
          <w:r>
            <w:fldChar w:fldCharType="begin"/>
          </w:r>
          <w:r>
            <w:instrText xml:space="preserve"> PAGEREF _Toc26345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_Toc21599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</w:rPr>
            <w:t>业务流程图</w:t>
          </w:r>
          <w:r>
            <w:tab/>
          </w:r>
          <w:r>
            <w:fldChar w:fldCharType="begin"/>
          </w:r>
          <w:r>
            <w:instrText xml:space="preserve"> PAGEREF _Toc21599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_Toc9499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</w:rPr>
            <w:t xml:space="preserve">2.5. </w:t>
          </w:r>
          <w:r>
            <w:rPr>
              <w:rFonts w:hint="eastAsia"/>
              <w:lang w:val="en-US" w:eastAsia="zh-CN"/>
            </w:rPr>
            <w:t>角色权限</w:t>
          </w:r>
          <w:r>
            <w:tab/>
          </w:r>
          <w:r>
            <w:fldChar w:fldCharType="begin"/>
          </w:r>
          <w:r>
            <w:instrText xml:space="preserve"> PAGEREF _Toc9499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_Toc22461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ascii="微软雅黑" w:hAnsi="微软雅黑" w:eastAsia="微软雅黑"/>
            </w:rPr>
            <w:t xml:space="preserve">2.6. </w:t>
          </w:r>
          <w:r>
            <w:rPr>
              <w:rFonts w:hint="eastAsia" w:ascii="微软雅黑" w:hAnsi="微软雅黑" w:eastAsia="微软雅黑"/>
              <w:lang w:val="en-US" w:eastAsia="zh-CN"/>
            </w:rPr>
            <w:t>权限设置</w:t>
          </w:r>
          <w:r>
            <w:tab/>
          </w:r>
          <w:r>
            <w:fldChar w:fldCharType="begin"/>
          </w:r>
          <w:r>
            <w:instrText xml:space="preserve"> PAGEREF _Toc22461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_Toc16583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 w:ascii="微软雅黑" w:hAnsi="微软雅黑" w:eastAsia="微软雅黑" w:cs="微软雅黑"/>
              <w:bCs/>
            </w:rPr>
            <w:t xml:space="preserve">2.7. </w:t>
          </w:r>
          <w:r>
            <w:rPr>
              <w:rFonts w:hint="eastAsia" w:ascii="微软雅黑" w:hAnsi="微软雅黑" w:eastAsia="微软雅黑" w:cs="微软雅黑"/>
              <w:bCs/>
              <w:lang w:val="en-US" w:eastAsia="zh-CN"/>
            </w:rPr>
            <w:t>站内信PC端</w:t>
          </w:r>
          <w:r>
            <w:tab/>
          </w:r>
          <w:r>
            <w:fldChar w:fldCharType="begin"/>
          </w:r>
          <w:r>
            <w:instrText xml:space="preserve"> PAGEREF _Toc16583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_Toc29832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2.7.1. </w:t>
          </w:r>
          <w:r>
            <w:rPr>
              <w:rFonts w:hint="eastAsia"/>
              <w:lang w:val="en-US" w:eastAsia="zh-CN"/>
            </w:rPr>
            <w:t>写信</w:t>
          </w:r>
          <w:r>
            <w:tab/>
          </w:r>
          <w:r>
            <w:fldChar w:fldCharType="begin"/>
          </w:r>
          <w:r>
            <w:instrText xml:space="preserve"> PAGEREF _Toc29832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_Toc30620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2.7.2. </w:t>
          </w:r>
          <w:r>
            <w:rPr>
              <w:rFonts w:hint="eastAsia"/>
              <w:lang w:val="en-US" w:eastAsia="zh-CN"/>
            </w:rPr>
            <w:t>通讯录</w:t>
          </w:r>
          <w:r>
            <w:tab/>
          </w:r>
          <w:r>
            <w:fldChar w:fldCharType="begin"/>
          </w:r>
          <w:r>
            <w:instrText xml:space="preserve"> PAGEREF _Toc30620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_Toc4749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2.7.3. </w:t>
          </w:r>
          <w:r>
            <w:rPr>
              <w:rFonts w:hint="eastAsia"/>
              <w:lang w:val="en-US" w:eastAsia="zh-CN"/>
            </w:rPr>
            <w:t>收件箱</w:t>
          </w:r>
          <w:r>
            <w:tab/>
          </w:r>
          <w:r>
            <w:fldChar w:fldCharType="begin"/>
          </w:r>
          <w:r>
            <w:instrText xml:space="preserve"> PAGEREF _Toc4749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_Toc6047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2.7.4. </w:t>
          </w:r>
          <w:r>
            <w:rPr>
              <w:rFonts w:hint="eastAsia"/>
              <w:lang w:val="en-US" w:eastAsia="zh-CN"/>
            </w:rPr>
            <w:t>发件箱</w:t>
          </w:r>
          <w:r>
            <w:tab/>
          </w:r>
          <w:r>
            <w:fldChar w:fldCharType="begin"/>
          </w:r>
          <w:r>
            <w:instrText xml:space="preserve"> PAGEREF _Toc6047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_Toc32614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2.7.5. </w:t>
          </w:r>
          <w:r>
            <w:rPr>
              <w:rFonts w:hint="eastAsia"/>
              <w:lang w:val="en-US" w:eastAsia="zh-CN"/>
            </w:rPr>
            <w:t>草稿箱</w:t>
          </w:r>
          <w:r>
            <w:tab/>
          </w:r>
          <w:r>
            <w:fldChar w:fldCharType="begin"/>
          </w:r>
          <w:r>
            <w:instrText xml:space="preserve"> PAGEREF _Toc32614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_Toc14602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2.7.6. </w:t>
          </w:r>
          <w:r>
            <w:rPr>
              <w:rFonts w:hint="eastAsia"/>
              <w:lang w:val="en-US" w:eastAsia="zh-CN"/>
            </w:rPr>
            <w:t>回收站</w:t>
          </w:r>
          <w:r>
            <w:tab/>
          </w:r>
          <w:r>
            <w:fldChar w:fldCharType="begin"/>
          </w:r>
          <w:r>
            <w:instrText xml:space="preserve"> PAGEREF _Toc14602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5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_Toc30562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2.8. </w:t>
          </w:r>
          <w:r>
            <w:rPr>
              <w:rFonts w:hint="eastAsia"/>
              <w:lang w:val="en-US" w:eastAsia="zh-CN"/>
            </w:rPr>
            <w:t>站内信移动端</w:t>
          </w:r>
          <w:r>
            <w:tab/>
          </w:r>
          <w:r>
            <w:fldChar w:fldCharType="begin"/>
          </w:r>
          <w:r>
            <w:instrText xml:space="preserve"> PAGEREF _Toc30562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2.8.1. </w:t>
          </w:r>
          <w:r>
            <w:rPr>
              <w:rFonts w:hint="eastAsia"/>
              <w:lang w:val="en-US" w:eastAsia="zh-CN"/>
            </w:rPr>
            <w:t>写信</w:t>
          </w:r>
          <w:r>
            <w:tab/>
          </w:r>
          <w:r>
            <w:fldChar w:fldCharType="begin"/>
          </w:r>
          <w:r>
            <w:instrText xml:space="preserve"> PAGEREF _Toc1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_Toc19165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2.8.2. </w:t>
          </w:r>
          <w:r>
            <w:rPr>
              <w:rFonts w:hint="eastAsia"/>
              <w:lang w:val="en-US" w:eastAsia="zh-CN"/>
            </w:rPr>
            <w:t>通讯录</w:t>
          </w:r>
          <w:r>
            <w:tab/>
          </w:r>
          <w:r>
            <w:fldChar w:fldCharType="begin"/>
          </w:r>
          <w:r>
            <w:instrText xml:space="preserve"> PAGEREF _Toc19165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_Toc27922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2.8.3. </w:t>
          </w:r>
          <w:r>
            <w:rPr>
              <w:rFonts w:hint="eastAsia"/>
              <w:lang w:val="en-US" w:eastAsia="zh-CN"/>
            </w:rPr>
            <w:t>收件箱</w:t>
          </w:r>
          <w:r>
            <w:tab/>
          </w:r>
          <w:r>
            <w:fldChar w:fldCharType="begin"/>
          </w:r>
          <w:r>
            <w:instrText xml:space="preserve"> PAGEREF _Toc27922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_Toc11078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2.8.4. </w:t>
          </w:r>
          <w:r>
            <w:rPr>
              <w:rFonts w:hint="eastAsia"/>
              <w:lang w:val="en-US" w:eastAsia="zh-CN"/>
            </w:rPr>
            <w:t>发件箱</w:t>
          </w:r>
          <w:r>
            <w:tab/>
          </w:r>
          <w:r>
            <w:fldChar w:fldCharType="begin"/>
          </w:r>
          <w:r>
            <w:instrText xml:space="preserve"> PAGEREF _Toc11078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_Toc15007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2.8.5. </w:t>
          </w:r>
          <w:r>
            <w:rPr>
              <w:rFonts w:hint="eastAsia"/>
              <w:lang w:val="en-US" w:eastAsia="zh-CN"/>
            </w:rPr>
            <w:t>草稿箱</w:t>
          </w:r>
          <w:r>
            <w:tab/>
          </w:r>
          <w:r>
            <w:fldChar w:fldCharType="begin"/>
          </w:r>
          <w:r>
            <w:instrText xml:space="preserve"> PAGEREF _Toc15007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_Toc17762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2.8.6. </w:t>
          </w:r>
          <w:r>
            <w:rPr>
              <w:rFonts w:hint="eastAsia"/>
              <w:lang w:val="en-US" w:eastAsia="zh-CN"/>
            </w:rPr>
            <w:t>回收站</w:t>
          </w:r>
          <w:r>
            <w:tab/>
          </w:r>
          <w:r>
            <w:fldChar w:fldCharType="begin"/>
          </w:r>
          <w:r>
            <w:instrText xml:space="preserve"> PAGEREF _Toc17762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</w:sdtContent>
    </w:sdt>
    <w:p>
      <w:pPr>
        <w:rPr>
          <w:rFonts w:ascii="微软雅黑" w:hAnsi="微软雅黑" w:eastAsia="微软雅黑"/>
        </w:rPr>
      </w:pPr>
    </w:p>
    <w:p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p>
      <w:pPr>
        <w:pStyle w:val="2"/>
        <w:bidi w:val="0"/>
      </w:pPr>
      <w:bookmarkStart w:id="0" w:name="_Toc24533"/>
      <w:bookmarkStart w:id="1" w:name="_Toc79737785"/>
      <w:r>
        <w:rPr>
          <w:rFonts w:hint="eastAsia"/>
        </w:rPr>
        <w:t>阅读对象</w:t>
      </w:r>
      <w:bookmarkEnd w:id="0"/>
    </w:p>
    <w:p>
      <w:pPr>
        <w:pStyle w:val="25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研发&amp;测试相关人员</w:t>
      </w:r>
    </w:p>
    <w:p>
      <w:pPr>
        <w:pStyle w:val="25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实施服务部相关人员</w:t>
      </w:r>
    </w:p>
    <w:p>
      <w:pPr>
        <w:pStyle w:val="2"/>
        <w:bidi w:val="0"/>
      </w:pPr>
      <w:bookmarkStart w:id="2" w:name="_Toc5871"/>
      <w:r>
        <w:rPr>
          <w:rFonts w:hint="eastAsia"/>
        </w:rPr>
        <w:t>使用准备</w:t>
      </w:r>
      <w:bookmarkEnd w:id="2"/>
    </w:p>
    <w:p>
      <w:pPr>
        <w:pStyle w:val="3"/>
        <w:bidi w:val="0"/>
      </w:pPr>
      <w:bookmarkStart w:id="3" w:name="_Toc11572"/>
      <w:r>
        <w:rPr>
          <w:rFonts w:hint="eastAsia"/>
        </w:rPr>
        <w:t>操作系统要求</w:t>
      </w:r>
      <w:bookmarkEnd w:id="3"/>
    </w:p>
    <w:p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系统版本：</w:t>
      </w:r>
      <w:r>
        <w:rPr>
          <w:rFonts w:hint="eastAsia" w:ascii="微软雅黑" w:hAnsi="微软雅黑" w:eastAsia="微软雅黑"/>
          <w:lang w:val="en-US" w:eastAsia="zh-CN"/>
        </w:rPr>
        <w:t>Win7及以上；macOS10.0.4及以上</w:t>
      </w:r>
    </w:p>
    <w:p>
      <w:pPr>
        <w:pStyle w:val="3"/>
        <w:bidi w:val="0"/>
      </w:pPr>
      <w:bookmarkStart w:id="4" w:name="_Toc18653"/>
      <w:r>
        <w:rPr>
          <w:rFonts w:hint="eastAsia"/>
        </w:rPr>
        <w:t>浏览器要求</w:t>
      </w:r>
      <w:bookmarkEnd w:id="4"/>
    </w:p>
    <w:p>
      <w:pPr>
        <w:spacing w:line="480" w:lineRule="auto"/>
        <w:ind w:left="420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建议使用浏览器：Chrome</w:t>
      </w:r>
    </w:p>
    <w:p>
      <w:pPr>
        <w:spacing w:line="480" w:lineRule="auto"/>
        <w:ind w:left="420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</w:rPr>
        <w:t>兼容的浏览器：Microsoft Edge</w:t>
      </w:r>
      <w:r>
        <w:rPr>
          <w:rFonts w:hint="eastAsia" w:ascii="微软雅黑" w:hAnsi="微软雅黑" w:eastAsia="微软雅黑"/>
          <w:lang w:eastAsia="zh-CN"/>
        </w:rPr>
        <w:t>、</w:t>
      </w:r>
      <w:r>
        <w:rPr>
          <w:rFonts w:hint="eastAsia" w:ascii="微软雅黑" w:hAnsi="微软雅黑" w:eastAsia="微软雅黑"/>
          <w:lang w:val="en-US" w:eastAsia="zh-CN"/>
        </w:rPr>
        <w:t>Safari</w:t>
      </w:r>
      <w:r>
        <w:rPr>
          <w:rFonts w:hint="eastAsia" w:ascii="微软雅黑" w:hAnsi="微软雅黑" w:eastAsia="微软雅黑"/>
          <w:lang w:eastAsia="zh-CN"/>
        </w:rPr>
        <w:t>、360极速浏览器（</w:t>
      </w:r>
      <w:r>
        <w:rPr>
          <w:rFonts w:hint="eastAsia" w:ascii="微软雅黑" w:hAnsi="微软雅黑" w:eastAsia="微软雅黑"/>
          <w:lang w:val="en-US" w:eastAsia="zh-CN"/>
        </w:rPr>
        <w:t>等国内浏览器的极速模式</w:t>
      </w:r>
      <w:r>
        <w:rPr>
          <w:rFonts w:hint="eastAsia" w:ascii="微软雅黑" w:hAnsi="微软雅黑" w:eastAsia="微软雅黑"/>
          <w:lang w:eastAsia="zh-CN"/>
        </w:rPr>
        <w:t>）</w:t>
      </w:r>
    </w:p>
    <w:p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版本要求：建议使用浏览器的最新版</w:t>
      </w:r>
    </w:p>
    <w:p>
      <w:pPr>
        <w:pStyle w:val="3"/>
        <w:bidi w:val="0"/>
      </w:pPr>
      <w:bookmarkStart w:id="5" w:name="_Toc26345"/>
      <w:r>
        <w:rPr>
          <w:rFonts w:hint="eastAsia"/>
        </w:rPr>
        <w:t>系统访问信息</w:t>
      </w:r>
      <w:bookmarkEnd w:id="5"/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  <w:r>
        <w:rPr>
          <w:rFonts w:ascii="宋体" w:hAnsi="宋体" w:eastAsia="宋体" w:cs="宋体"/>
          <w:sz w:val="24"/>
          <w:szCs w:val="24"/>
        </w:rPr>
        <w:t>http://192.168.0.173:89/cjvision4/#/login</w:t>
      </w: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pStyle w:val="3"/>
        <w:bidi w:val="0"/>
      </w:pPr>
      <w:bookmarkStart w:id="6" w:name="_Toc21599"/>
      <w:r>
        <w:rPr>
          <w:rFonts w:hint="eastAsia"/>
        </w:rPr>
        <w:t>业务流程图</w:t>
      </w:r>
      <w:bookmarkEnd w:id="6"/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lang w:eastAsia="zh-CN"/>
        </w:rPr>
      </w:pPr>
      <w:r>
        <w:drawing>
          <wp:inline distT="0" distB="0" distL="114300" distR="114300">
            <wp:extent cx="5133975" cy="4991100"/>
            <wp:effectExtent l="0" t="0" r="9525" b="0"/>
            <wp:docPr id="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480" w:lineRule="auto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ab/>
      </w:r>
    </w:p>
    <w:p>
      <w:pPr>
        <w:pStyle w:val="3"/>
        <w:bidi w:val="0"/>
      </w:pPr>
      <w:bookmarkStart w:id="7" w:name="_Toc9499"/>
      <w:r>
        <w:rPr>
          <w:rFonts w:hint="eastAsia"/>
          <w:lang w:val="en-US" w:eastAsia="zh-CN"/>
        </w:rPr>
        <w:t>角色权限</w:t>
      </w:r>
      <w:bookmarkEnd w:id="7"/>
    </w:p>
    <w:tbl>
      <w:tblPr>
        <w:tblStyle w:val="18"/>
        <w:tblW w:w="84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6"/>
        <w:gridCol w:w="2826"/>
        <w:gridCol w:w="28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角色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菜单或应用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  <w:lang w:val="en-US" w:eastAsia="zh-CN"/>
              </w:rPr>
              <w:t>操作</w:t>
            </w:r>
            <w:r>
              <w:rPr>
                <w:rFonts w:hint="eastAsia"/>
                <w:b/>
                <w:bCs/>
                <w:color w:val="FFFFFF"/>
              </w:rPr>
              <w:t>权限说明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center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教职工</w:t>
            </w:r>
          </w:p>
        </w:tc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480" w:firstLineChars="0"/>
              <w:jc w:val="center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站内信、权限设置</w:t>
            </w:r>
          </w:p>
        </w:tc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全部功能可用，但是发送范围受到站内信权限设置的限制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center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学生</w:t>
            </w:r>
          </w:p>
        </w:tc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jc w:val="center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lang w:val="en-US" w:eastAsia="zh-CN"/>
              </w:rPr>
              <w:t>站内信</w:t>
            </w:r>
          </w:p>
        </w:tc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0" w:firstLineChars="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</w:rPr>
              <w:t>收件，允许时可以回复，无发件功能</w:t>
            </w:r>
          </w:p>
        </w:tc>
      </w:tr>
    </w:tbl>
    <w:p/>
    <w:bookmarkEnd w:id="1"/>
    <w:p>
      <w:pPr>
        <w:pStyle w:val="3"/>
        <w:rPr>
          <w:rFonts w:ascii="微软雅黑" w:hAnsi="微软雅黑" w:eastAsia="微软雅黑"/>
        </w:rPr>
      </w:pPr>
      <w:bookmarkStart w:id="8" w:name="_Toc22461"/>
      <w:bookmarkStart w:id="9" w:name="_Toc10757"/>
      <w:r>
        <w:rPr>
          <w:rFonts w:hint="eastAsia" w:ascii="微软雅黑" w:hAnsi="微软雅黑" w:eastAsia="微软雅黑"/>
          <w:lang w:val="en-US" w:eastAsia="zh-CN"/>
        </w:rPr>
        <w:t>权限设置</w:t>
      </w:r>
      <w:bookmarkEnd w:id="8"/>
      <w:bookmarkEnd w:id="9"/>
    </w:p>
    <w:p>
      <w:pPr>
        <w:rPr>
          <w:rFonts w:hint="default"/>
          <w:lang w:val="en-US"/>
        </w:rPr>
      </w:pPr>
      <w:r>
        <w:rPr>
          <w:rFonts w:hint="eastAsia" w:ascii="微软雅黑" w:hAnsi="微软雅黑" w:eastAsia="微软雅黑"/>
          <w:lang w:val="en-US" w:eastAsia="zh-CN"/>
        </w:rPr>
        <w:t>1、在基础设置中设置禁用 在对应发件页面不显示发送、转发、回复功能</w:t>
      </w:r>
    </w:p>
    <w:p>
      <w:pPr>
        <w:pStyle w:val="16"/>
        <w:shd w:val="clear" w:color="auto" w:fill="FFFFFF"/>
        <w:spacing w:before="0" w:beforeAutospacing="0" w:after="0" w:afterAutospacing="0"/>
        <w:ind w:firstLine="520"/>
        <w:rPr>
          <w:rFonts w:ascii="微软雅黑" w:hAnsi="微软雅黑" w:eastAsia="微软雅黑" w:cs="PingFangSC-Regular"/>
          <w:color w:val="2A2E38"/>
          <w:sz w:val="26"/>
          <w:szCs w:val="26"/>
          <w:shd w:val="clear" w:color="auto" w:fill="FFFFFF"/>
        </w:rPr>
      </w:pPr>
      <w:r>
        <w:drawing>
          <wp:inline distT="0" distB="0" distL="114300" distR="114300">
            <wp:extent cx="5270500" cy="1171575"/>
            <wp:effectExtent l="0" t="0" r="6350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 w:ascii="微软雅黑" w:hAnsi="微软雅黑" w:eastAsia="微软雅黑" w:cs="微软雅黑"/>
          <w:b/>
          <w:bCs/>
        </w:rPr>
      </w:pPr>
      <w:bookmarkStart w:id="10" w:name="_Toc16583"/>
      <w:bookmarkStart w:id="11" w:name="_Toc21500"/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站内信PC端</w:t>
      </w:r>
      <w:bookmarkEnd w:id="10"/>
      <w:bookmarkEnd w:id="11"/>
    </w:p>
    <w:p>
      <w:pPr>
        <w:pStyle w:val="4"/>
        <w:bidi w:val="0"/>
        <w:rPr>
          <w:rFonts w:hint="eastAsia"/>
          <w:lang w:val="en-US" w:eastAsia="zh-CN"/>
        </w:rPr>
      </w:pPr>
      <w:bookmarkStart w:id="12" w:name="_Toc29832"/>
      <w:bookmarkStart w:id="13" w:name="_Toc20352"/>
      <w:r>
        <w:rPr>
          <w:rFonts w:hint="eastAsia"/>
          <w:lang w:val="en-US" w:eastAsia="zh-CN"/>
        </w:rPr>
        <w:t>写信</w:t>
      </w:r>
      <w:bookmarkEnd w:id="12"/>
      <w:bookmarkEnd w:id="13"/>
    </w:p>
    <w:p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点击</w:t>
      </w:r>
      <w:r>
        <w:drawing>
          <wp:inline distT="0" distB="0" distL="114300" distR="114300">
            <wp:extent cx="733425" cy="266700"/>
            <wp:effectExtent l="0" t="0" r="952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val="en-US" w:eastAsia="zh-CN"/>
        </w:rPr>
        <w:t xml:space="preserve">进入详情选择收件人（教师、学生、自定义分组）可单独选择学生、教师 或者选择一个校区、一个班级学生 </w:t>
      </w:r>
    </w:p>
    <w:p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支持上传一下格式类型：rar、zip、doc、docx、xls、xlsx、pdf、jpg、png、mp3、mp4</w:t>
      </w:r>
    </w:p>
    <w:p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发件时需主要 回复、转发选择默认都是否</w:t>
      </w:r>
    </w:p>
    <w:p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标签最多输入三个，且输入完标签后需安enter 才能保存成功，否则发件时不会显示该标签</w:t>
      </w:r>
    </w:p>
    <w:p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点击</w:t>
      </w:r>
      <w:r>
        <w:drawing>
          <wp:inline distT="0" distB="0" distL="114300" distR="114300">
            <wp:extent cx="561975" cy="200025"/>
            <wp:effectExtent l="0" t="0" r="9525" b="952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val="en-US" w:eastAsia="zh-CN"/>
        </w:rPr>
        <w:t>，会自动存入草稿箱，可重复存入</w:t>
      </w:r>
    </w:p>
    <w:p>
      <w:r>
        <w:drawing>
          <wp:inline distT="0" distB="0" distL="114300" distR="114300">
            <wp:extent cx="5273040" cy="3760470"/>
            <wp:effectExtent l="0" t="0" r="3810" b="1143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6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14" w:name="_Toc30620"/>
      <w:bookmarkStart w:id="15" w:name="_Toc4270"/>
      <w:r>
        <w:rPr>
          <w:rFonts w:hint="eastAsia"/>
          <w:lang w:val="en-US" w:eastAsia="zh-CN"/>
        </w:rPr>
        <w:t>通讯录</w:t>
      </w:r>
      <w:bookmarkEnd w:id="14"/>
      <w:bookmarkEnd w:id="15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</w:t>
      </w: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第一行输入框可根据姓名、账号查找对应的学生</w:t>
      </w:r>
    </w:p>
    <w:p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第二行输入框可根据名称查询校区、班级</w:t>
      </w:r>
    </w:p>
    <w:p>
      <w:r>
        <w:drawing>
          <wp:inline distT="0" distB="0" distL="114300" distR="114300">
            <wp:extent cx="5263515" cy="2697480"/>
            <wp:effectExtent l="0" t="0" r="13335" b="762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教职工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1、第一行输入框可根据姓名、账号查找对应的学生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2、第二行输入框可根据部门查询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1219835"/>
            <wp:effectExtent l="0" t="0" r="3810" b="1841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自定义</w:t>
      </w:r>
    </w:p>
    <w:p>
      <w:pPr>
        <w:numPr>
          <w:ilvl w:val="0"/>
          <w:numId w:val="6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第一行输入框可根据姓名、账号查找对应的学生</w:t>
      </w:r>
    </w:p>
    <w:p>
      <w:pPr>
        <w:numPr>
          <w:ilvl w:val="0"/>
          <w:numId w:val="6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第二行输入自定义分组名称查询</w:t>
      </w:r>
    </w:p>
    <w:p>
      <w:pPr>
        <w:numPr>
          <w:ilvl w:val="0"/>
          <w:numId w:val="6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drawing>
          <wp:inline distT="0" distB="0" distL="114300" distR="114300">
            <wp:extent cx="381000" cy="228600"/>
            <wp:effectExtent l="0" t="0" r="0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可新增分组，新增的分组所有教职工均可查看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注：选择时可选择教师、学生</w:t>
      </w:r>
    </w:p>
    <w:p>
      <w:pPr>
        <w:numPr>
          <w:ilvl w:val="0"/>
          <w:numId w:val="6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drawing>
          <wp:inline distT="0" distB="0" distL="114300" distR="114300">
            <wp:extent cx="171450" cy="200025"/>
            <wp:effectExtent l="0" t="0" r="0" b="952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修改可编辑已存在的分组</w:t>
      </w:r>
    </w:p>
    <w:p>
      <w:pPr>
        <w:numPr>
          <w:ilvl w:val="0"/>
          <w:numId w:val="6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drawing>
          <wp:inline distT="0" distB="0" distL="114300" distR="114300">
            <wp:extent cx="180975" cy="180975"/>
            <wp:effectExtent l="0" t="0" r="9525" b="952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可删除所选分组</w:t>
      </w:r>
    </w:p>
    <w:p>
      <w:r>
        <w:drawing>
          <wp:inline distT="0" distB="0" distL="114300" distR="114300">
            <wp:extent cx="5270500" cy="1804035"/>
            <wp:effectExtent l="0" t="0" r="6350" b="571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0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="微软雅黑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注：学生 不显示通讯录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16" w:name="_Toc4646"/>
      <w:bookmarkStart w:id="17" w:name="_Toc4749"/>
      <w:r>
        <w:rPr>
          <w:rFonts w:hint="eastAsia"/>
          <w:lang w:val="en-US" w:eastAsia="zh-CN"/>
        </w:rPr>
        <w:t>收件箱</w:t>
      </w:r>
      <w:bookmarkEnd w:id="16"/>
      <w:bookmarkEnd w:id="17"/>
    </w:p>
    <w:p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点击（教师、学生）收件箱可查看所有已收到的信件</w:t>
      </w:r>
    </w:p>
    <w:p>
      <w:pPr>
        <w:ind w:left="0" w:leftChars="0" w:firstLine="0" w:firstLineChars="0"/>
      </w:pPr>
      <w:r>
        <w:drawing>
          <wp:inline distT="0" distB="0" distL="114300" distR="114300">
            <wp:extent cx="5270500" cy="1061085"/>
            <wp:effectExtent l="0" t="0" r="6350" b="571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6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查看信息时根据配置的权限 查看是否可回复、转发</w:t>
      </w:r>
    </w:p>
    <w:p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复选框勾选信件可标记已读或 未读</w:t>
      </w:r>
      <w:r>
        <w:drawing>
          <wp:inline distT="0" distB="0" distL="114300" distR="114300">
            <wp:extent cx="514350" cy="561975"/>
            <wp:effectExtent l="0" t="0" r="0" b="952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</w:pPr>
      <w:r>
        <w:drawing>
          <wp:inline distT="0" distB="0" distL="114300" distR="114300">
            <wp:extent cx="5268595" cy="1136650"/>
            <wp:effectExtent l="0" t="0" r="8255" b="635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4、根据关键字、日期进行查询相关信息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2245" cy="1132840"/>
            <wp:effectExtent l="0" t="0" r="14605" b="1016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18" w:name="_Toc6047"/>
      <w:bookmarkStart w:id="19" w:name="_Toc24106"/>
      <w:r>
        <w:rPr>
          <w:rFonts w:hint="eastAsia"/>
          <w:lang w:val="en-US" w:eastAsia="zh-CN"/>
        </w:rPr>
        <w:t>发件箱</w:t>
      </w:r>
      <w:bookmarkEnd w:id="18"/>
      <w:bookmarkEnd w:id="19"/>
    </w:p>
    <w:p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根据关键字、日期进行查询相关信息</w:t>
      </w:r>
    </w:p>
    <w:p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点击发件箱可再次编辑信件，重新选择收件人、修改内容、标题、标签、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上传文件操作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0975" cy="1367790"/>
            <wp:effectExtent l="0" t="0" r="15875" b="381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drawing>
          <wp:inline distT="0" distB="0" distL="114300" distR="114300">
            <wp:extent cx="457200" cy="228600"/>
            <wp:effectExtent l="0" t="0" r="0" b="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可撤回已发送的信件且 收件人无法查看信件内容</w:t>
      </w:r>
    </w:p>
    <w:p>
      <w:pPr>
        <w:numPr>
          <w:ilvl w:val="0"/>
          <w:numId w:val="8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drawing>
          <wp:inline distT="0" distB="0" distL="114300" distR="114300">
            <wp:extent cx="361950" cy="238125"/>
            <wp:effectExtent l="0" t="0" r="0" b="9525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可删除已发送的信件，收件人无法查看</w:t>
      </w:r>
    </w:p>
    <w:p>
      <w:pPr>
        <w:numPr>
          <w:ilvl w:val="0"/>
          <w:numId w:val="8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drawing>
          <wp:inline distT="0" distB="0" distL="114300" distR="114300">
            <wp:extent cx="828675" cy="190500"/>
            <wp:effectExtent l="0" t="0" r="9525" b="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可在钉钉、企业微信、微信上收到对应的信息 点击详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情可跳转至对应界面</w:t>
      </w:r>
    </w:p>
    <w:p>
      <w:pPr>
        <w:numPr>
          <w:ilvl w:val="0"/>
          <w:numId w:val="0"/>
        </w:numPr>
        <w:ind w:leftChars="200"/>
      </w:pPr>
      <w:r>
        <w:drawing>
          <wp:inline distT="0" distB="0" distL="114300" distR="114300">
            <wp:extent cx="5273040" cy="1238885"/>
            <wp:effectExtent l="0" t="0" r="3810" b="18415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3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3857625" cy="2543175"/>
            <wp:effectExtent l="0" t="0" r="9525" b="9525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2421890"/>
            <wp:effectExtent l="0" t="0" r="8890" b="1651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6、可根据条件进行筛选是否已读、是否回复及收件人 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20" w:name="_Toc32614"/>
      <w:bookmarkStart w:id="21" w:name="_Toc27270"/>
      <w:r>
        <w:rPr>
          <w:rFonts w:hint="eastAsia"/>
          <w:lang w:val="en-US" w:eastAsia="zh-CN"/>
        </w:rPr>
        <w:t>草稿箱</w:t>
      </w:r>
      <w:bookmarkEnd w:id="20"/>
      <w:bookmarkEnd w:id="21"/>
    </w:p>
    <w:p>
      <w:pPr>
        <w:numPr>
          <w:ilvl w:val="0"/>
          <w:numId w:val="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进入草稿箱复选框勾选可直接</w:t>
      </w:r>
      <w:r>
        <w:drawing>
          <wp:inline distT="0" distB="0" distL="114300" distR="114300">
            <wp:extent cx="371475" cy="219075"/>
            <wp:effectExtent l="0" t="0" r="9525" b="9525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否选看勾选点击</w:t>
      </w:r>
      <w:r>
        <w:drawing>
          <wp:inline distT="0" distB="0" distL="114300" distR="114300">
            <wp:extent cx="495300" cy="228600"/>
            <wp:effectExtent l="0" t="0" r="0" b="0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可删除草稿箱中的信件</w:t>
      </w:r>
      <w:r>
        <w:rPr>
          <w:rFonts w:hint="eastAsia"/>
          <w:lang w:val="en-US" w:eastAsia="zh-CN"/>
        </w:rPr>
        <w:tab/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3675" cy="1366520"/>
            <wp:effectExtent l="0" t="0" r="3175" b="5080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6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22" w:name="_Toc3877"/>
      <w:bookmarkStart w:id="23" w:name="_Toc14602"/>
      <w:r>
        <w:rPr>
          <w:rFonts w:hint="eastAsia"/>
          <w:lang w:val="en-US" w:eastAsia="zh-CN"/>
        </w:rPr>
        <w:t>回收站</w:t>
      </w:r>
      <w:bookmarkEnd w:id="22"/>
      <w:bookmarkEnd w:id="23"/>
    </w:p>
    <w:p>
      <w:pPr>
        <w:numPr>
          <w:ilvl w:val="0"/>
          <w:numId w:val="1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复选框勾选回复可恢复到对应的目录中 如：从草稿箱中删除的恢复到草稿箱中</w:t>
      </w:r>
    </w:p>
    <w:p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进入信件详情可单独恢复信件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8595" cy="1463040"/>
            <wp:effectExtent l="0" t="0" r="8255" b="3810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24" w:name="_Toc13155"/>
      <w:bookmarkStart w:id="25" w:name="_Toc30562"/>
      <w:r>
        <w:rPr>
          <w:rFonts w:hint="eastAsia"/>
          <w:lang w:val="en-US" w:eastAsia="zh-CN"/>
        </w:rPr>
        <w:t>站内信移动端</w:t>
      </w:r>
      <w:bookmarkEnd w:id="24"/>
      <w:bookmarkEnd w:id="25"/>
    </w:p>
    <w:p>
      <w:pPr>
        <w:pStyle w:val="4"/>
        <w:bidi w:val="0"/>
        <w:rPr>
          <w:rFonts w:hint="default"/>
          <w:lang w:val="en-US" w:eastAsia="zh-CN"/>
        </w:rPr>
      </w:pPr>
      <w:bookmarkStart w:id="26" w:name="_Toc715"/>
      <w:bookmarkStart w:id="27" w:name="_Toc1"/>
      <w:r>
        <w:rPr>
          <w:rFonts w:hint="eastAsia"/>
          <w:lang w:val="en-US" w:eastAsia="zh-CN"/>
        </w:rPr>
        <w:t>写信</w:t>
      </w:r>
      <w:bookmarkEnd w:id="26"/>
      <w:bookmarkEnd w:id="27"/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1、点击</w:t>
      </w:r>
      <w:r>
        <w:drawing>
          <wp:inline distT="0" distB="0" distL="114300" distR="114300">
            <wp:extent cx="619125" cy="285750"/>
            <wp:effectExtent l="0" t="0" r="9525" b="0"/>
            <wp:docPr id="3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val="en-US" w:eastAsia="zh-CN"/>
        </w:rPr>
        <w:t xml:space="preserve">进入详情选择收件人（教师、学生、自定义分组）可单独选择学生、教师 或者选择一个校区、一个班级学生 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2、支持上传一下格式类型：rar、zip、doc、docx、xls、xlsx、pdf、jpg、png、mp3、mp4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3、发件时需主要 回复、转发选择默认都是否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4、标签最多输入三个，且输入完标签后需安enter 才能保存成功，否则发件时不会显示该标签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5、点击</w:t>
      </w:r>
      <w:r>
        <w:drawing>
          <wp:inline distT="0" distB="0" distL="114300" distR="114300">
            <wp:extent cx="942975" cy="333375"/>
            <wp:effectExtent l="0" t="0" r="9525" b="9525"/>
            <wp:docPr id="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val="en-US" w:eastAsia="zh-CN"/>
        </w:rPr>
        <w:t>，会自动存入草稿箱，可重复存入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2268220" cy="4245610"/>
            <wp:effectExtent l="0" t="0" r="17780" b="2540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6822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28" w:name="_Toc19165"/>
      <w:bookmarkStart w:id="29" w:name="_Toc18650"/>
      <w:r>
        <w:rPr>
          <w:rFonts w:hint="eastAsia"/>
          <w:lang w:val="en-US" w:eastAsia="zh-CN"/>
        </w:rPr>
        <w:t>通讯录</w:t>
      </w:r>
      <w:bookmarkEnd w:id="28"/>
      <w:bookmarkEnd w:id="29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1、第一行输入框可根据姓名、账号查找对应的学生</w:t>
      </w:r>
    </w:p>
    <w:p>
      <w:pPr>
        <w:numPr>
          <w:ilvl w:val="0"/>
          <w:numId w:val="0"/>
        </w:numPr>
        <w:ind w:firstLine="420" w:firstLineChars="0"/>
      </w:pPr>
      <w:r>
        <w:rPr>
          <w:rFonts w:hint="eastAsia"/>
          <w:lang w:val="en-US" w:eastAsia="zh-CN"/>
        </w:rPr>
        <w:t>2、第二行输入框可根据名称查询校区、班级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2345055" cy="4779010"/>
            <wp:effectExtent l="0" t="0" r="17145" b="2540"/>
            <wp:docPr id="3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45055" cy="477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教职工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3、第一行输入框可根据姓名、账号查找对应的学生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4、第二行输入框可根据部门查询</w:t>
      </w:r>
    </w:p>
    <w:p>
      <w:pPr>
        <w:bidi w:val="0"/>
        <w:rPr>
          <w:rFonts w:hint="eastAsia" w:eastAsia="微软雅黑" w:asciiTheme="minorAscii" w:hAnsiTheme="minorAscii" w:cstheme="minorBidi"/>
          <w:kern w:val="2"/>
          <w:sz w:val="21"/>
          <w:szCs w:val="22"/>
          <w:lang w:val="en-US" w:eastAsia="zh-CN" w:bidi="ar-SA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tabs>
          <w:tab w:val="left" w:pos="2186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305050" cy="4584700"/>
            <wp:effectExtent l="0" t="0" r="0" b="6350"/>
            <wp:docPr id="4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自定义</w:t>
      </w:r>
    </w:p>
    <w:p>
      <w:pPr>
        <w:numPr>
          <w:ilvl w:val="0"/>
          <w:numId w:val="6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第一行输入自定义分组名称查询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5、点击</w:t>
      </w:r>
      <w:r>
        <w:drawing>
          <wp:inline distT="0" distB="0" distL="114300" distR="114300">
            <wp:extent cx="390525" cy="209550"/>
            <wp:effectExtent l="0" t="0" r="9525" b="0"/>
            <wp:docPr id="42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可新增分组，新增的分组所有教职工均可查看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注：选择时可选择教师、学生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6、点击</w:t>
      </w:r>
      <w:r>
        <w:drawing>
          <wp:inline distT="0" distB="0" distL="114300" distR="114300">
            <wp:extent cx="488315" cy="380365"/>
            <wp:effectExtent l="0" t="0" r="6985" b="635"/>
            <wp:docPr id="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8315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修改可编辑已存在的分组</w:t>
      </w:r>
    </w:p>
    <w:p>
      <w:pPr>
        <w:numPr>
          <w:ilvl w:val="0"/>
          <w:numId w:val="6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drawing>
          <wp:inline distT="0" distB="0" distL="114300" distR="114300">
            <wp:extent cx="514350" cy="581025"/>
            <wp:effectExtent l="0" t="0" r="0" b="9525"/>
            <wp:docPr id="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可删除所选分组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2672715" cy="4674235"/>
            <wp:effectExtent l="0" t="0" r="13335" b="12065"/>
            <wp:docPr id="4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72715" cy="467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30" w:name="_Toc24516"/>
      <w:bookmarkStart w:id="31" w:name="_Toc27922"/>
      <w:r>
        <w:rPr>
          <w:rFonts w:hint="eastAsia"/>
          <w:lang w:val="en-US" w:eastAsia="zh-CN"/>
        </w:rPr>
        <w:t>收件箱</w:t>
      </w:r>
      <w:bookmarkEnd w:id="30"/>
      <w:bookmarkEnd w:id="31"/>
    </w:p>
    <w:p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点击（教师、学生）收件箱可查看所有已收到的信件</w:t>
      </w:r>
    </w:p>
    <w:p>
      <w:pPr>
        <w:ind w:left="0" w:leftChars="0" w:firstLine="0" w:firstLineChars="0"/>
      </w:pPr>
      <w:r>
        <w:drawing>
          <wp:inline distT="0" distB="0" distL="114300" distR="114300">
            <wp:extent cx="1670685" cy="3451860"/>
            <wp:effectExtent l="0" t="0" r="5715" b="15240"/>
            <wp:docPr id="5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3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70685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查看信息时根据配置的权限 查看是否可回复、转发</w:t>
      </w:r>
    </w:p>
    <w:p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查看信件详情可标记已读或 未读</w:t>
      </w:r>
      <w:r>
        <w:drawing>
          <wp:inline distT="0" distB="0" distL="114300" distR="114300">
            <wp:extent cx="1133475" cy="342900"/>
            <wp:effectExtent l="0" t="0" r="9525" b="0"/>
            <wp:docPr id="5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3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</w:pP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7、根据关键字、日期进行查询相关信息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558540" cy="1663700"/>
            <wp:effectExtent l="0" t="0" r="3810" b="12700"/>
            <wp:docPr id="5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32" w:name="_Toc11078"/>
      <w:bookmarkStart w:id="33" w:name="_Toc3574"/>
      <w:r>
        <w:rPr>
          <w:rFonts w:hint="eastAsia"/>
          <w:lang w:val="en-US" w:eastAsia="zh-CN"/>
        </w:rPr>
        <w:t>发件箱</w:t>
      </w:r>
      <w:bookmarkEnd w:id="32"/>
      <w:bookmarkEnd w:id="33"/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1、根据关键字、日期进行查询相关信息</w:t>
      </w:r>
    </w:p>
    <w:p>
      <w:pPr>
        <w:numPr>
          <w:ilvl w:val="0"/>
          <w:numId w:val="0"/>
        </w:numPr>
        <w:ind w:firstLine="420" w:firstLineChars="0"/>
      </w:pPr>
      <w:r>
        <w:rPr>
          <w:rFonts w:hint="eastAsia"/>
          <w:lang w:val="en-US" w:eastAsia="zh-CN"/>
        </w:rPr>
        <w:t>2、点击发件箱可再次编辑信件，重新选择收件人、修改内容、标题、标签、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上传文件操作</w:t>
      </w:r>
    </w:p>
    <w:p>
      <w:pPr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3、点击</w:t>
      </w:r>
      <w:r>
        <w:drawing>
          <wp:inline distT="0" distB="0" distL="114300" distR="114300">
            <wp:extent cx="704850" cy="352425"/>
            <wp:effectExtent l="0" t="0" r="0" b="9525"/>
            <wp:docPr id="5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3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可撤回已发送的信件且 收件人无法查看信件内容</w:t>
      </w:r>
    </w:p>
    <w:p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4、点击</w:t>
      </w:r>
      <w:r>
        <w:drawing>
          <wp:inline distT="0" distB="0" distL="114300" distR="114300">
            <wp:extent cx="361950" cy="238125"/>
            <wp:effectExtent l="0" t="0" r="0" b="9525"/>
            <wp:docPr id="4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可删除已发送的信件，收件人无法查看</w:t>
      </w:r>
    </w:p>
    <w:p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5、点击</w:t>
      </w:r>
      <w:r>
        <w:drawing>
          <wp:inline distT="0" distB="0" distL="114300" distR="114300">
            <wp:extent cx="762000" cy="266700"/>
            <wp:effectExtent l="0" t="0" r="0" b="0"/>
            <wp:docPr id="5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可在钉钉、企业微信、微信上收到对应的信息 点击详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情可跳转至对应界面</w:t>
      </w:r>
    </w:p>
    <w:p>
      <w:pPr>
        <w:numPr>
          <w:ilvl w:val="0"/>
          <w:numId w:val="0"/>
        </w:numPr>
        <w:ind w:leftChars="200"/>
      </w:pPr>
      <w:r>
        <w:drawing>
          <wp:inline distT="0" distB="0" distL="114300" distR="114300">
            <wp:extent cx="5273040" cy="1238885"/>
            <wp:effectExtent l="0" t="0" r="3810" b="18415"/>
            <wp:docPr id="5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3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3857625" cy="2543175"/>
            <wp:effectExtent l="0" t="0" r="9525" b="9525"/>
            <wp:docPr id="5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6、可根据条件进行筛选是否已读、是否回复及收件人 </w:t>
      </w:r>
    </w:p>
    <w:p>
      <w:pPr>
        <w:numPr>
          <w:ilvl w:val="0"/>
          <w:numId w:val="0"/>
        </w:numPr>
        <w:ind w:leftChars="200"/>
        <w:rPr>
          <w:rFonts w:hint="eastAsia"/>
          <w:lang w:val="en-US" w:eastAsia="zh-CN"/>
        </w:rPr>
      </w:pPr>
      <w:r>
        <w:drawing>
          <wp:inline distT="0" distB="0" distL="114300" distR="114300">
            <wp:extent cx="3254375" cy="6602095"/>
            <wp:effectExtent l="0" t="0" r="3175" b="8255"/>
            <wp:docPr id="5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54375" cy="660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/>
          <w:lang w:val="en-US" w:eastAsia="zh-CN"/>
        </w:rPr>
      </w:pPr>
      <w:bookmarkStart w:id="34" w:name="_Toc15007"/>
      <w:bookmarkStart w:id="35" w:name="_Toc24578"/>
      <w:r>
        <w:rPr>
          <w:rFonts w:hint="eastAsia"/>
          <w:lang w:val="en-US" w:eastAsia="zh-CN"/>
        </w:rPr>
        <w:t>草稿箱</w:t>
      </w:r>
      <w:bookmarkEnd w:id="34"/>
      <w:bookmarkEnd w:id="35"/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1、进入草稿箱点击管理复选框勾选后可直接</w:t>
      </w:r>
      <w:r>
        <w:drawing>
          <wp:inline distT="0" distB="0" distL="114300" distR="114300">
            <wp:extent cx="582295" cy="323850"/>
            <wp:effectExtent l="0" t="0" r="8255" b="0"/>
            <wp:docPr id="64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4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229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信件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2、进入草稿箱点击管理复选框勾选后可直接</w:t>
      </w:r>
      <w:r>
        <w:drawing>
          <wp:inline distT="0" distB="0" distL="114300" distR="114300">
            <wp:extent cx="639445" cy="337820"/>
            <wp:effectExtent l="0" t="0" r="8255" b="5080"/>
            <wp:docPr id="65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4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9445" cy="33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信件</w:t>
      </w:r>
    </w:p>
    <w:p>
      <w:r>
        <w:drawing>
          <wp:inline distT="0" distB="0" distL="114300" distR="114300">
            <wp:extent cx="3333750" cy="6877050"/>
            <wp:effectExtent l="0" t="0" r="0" b="0"/>
            <wp:docPr id="63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4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687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36" w:name="_Toc29601"/>
      <w:bookmarkStart w:id="37" w:name="_Toc17762"/>
      <w:r>
        <w:rPr>
          <w:rFonts w:hint="eastAsia"/>
          <w:lang w:val="en-US" w:eastAsia="zh-CN"/>
        </w:rPr>
        <w:t>回收站</w:t>
      </w:r>
      <w:bookmarkEnd w:id="36"/>
      <w:bookmarkEnd w:id="37"/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1、复选框勾选回复可恢复到对应的目录中 如：从草稿箱中删除的恢复到草稿箱中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2、进入信件详情可单独</w:t>
      </w:r>
      <w:r>
        <w:drawing>
          <wp:inline distT="0" distB="0" distL="114300" distR="114300">
            <wp:extent cx="578485" cy="168910"/>
            <wp:effectExtent l="0" t="0" r="12065" b="2540"/>
            <wp:docPr id="68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4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8485" cy="16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信件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6690" cy="4037965"/>
            <wp:effectExtent l="0" t="0" r="10160" b="635"/>
            <wp:docPr id="67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4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3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ingFangSC-Regular">
    <w:altName w:val="宋体"/>
    <w:panose1 w:val="00000000000000000000"/>
    <w:charset w:val="86"/>
    <w:family w:val="auto"/>
    <w:pitch w:val="default"/>
    <w:sig w:usb0="00000000" w:usb1="00000000" w:usb2="00000017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67507253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rPr>
        <w:rFonts w:ascii="微软雅黑" w:hAnsi="微软雅黑" w:eastAsia="微软雅黑"/>
      </w:rPr>
    </w:pPr>
    <w:r>
      <w:rPr>
        <w:rFonts w:ascii="微软雅黑" w:hAnsi="微软雅黑" w:eastAsia="微软雅黑"/>
      </w:rPr>
      <w:drawing>
        <wp:inline distT="0" distB="0" distL="0" distR="0">
          <wp:extent cx="1371600" cy="298450"/>
          <wp:effectExtent l="0" t="0" r="0" b="6350"/>
          <wp:docPr id="2" name="图片 2" descr="E:\项目管理\长江唯诚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E:\项目管理\长江唯诚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7580" cy="3352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微软雅黑" w:hAnsi="微软雅黑" w:eastAsia="微软雅黑"/>
      </w:rPr>
      <w:ptab w:relativeTo="margin" w:alignment="center" w:leader="none"/>
    </w:r>
    <w:r>
      <w:rPr>
        <w:rFonts w:ascii="微软雅黑" w:hAnsi="微软雅黑" w:eastAsia="微软雅黑"/>
      </w:rPr>
      <w:ptab w:relativeTo="margin" w:alignment="right" w:leader="none"/>
    </w:r>
    <w:r>
      <w:rPr>
        <w:rFonts w:hint="eastAsia" w:ascii="微软雅黑" w:hAnsi="微软雅黑" w:eastAsia="微软雅黑"/>
      </w:rPr>
      <w:t>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CE14B7"/>
    <w:multiLevelType w:val="singleLevel"/>
    <w:tmpl w:val="91CE14B7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94A19E9B"/>
    <w:multiLevelType w:val="singleLevel"/>
    <w:tmpl w:val="94A19E9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9DFF4289"/>
    <w:multiLevelType w:val="singleLevel"/>
    <w:tmpl w:val="9DFF4289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AD82ECAF"/>
    <w:multiLevelType w:val="singleLevel"/>
    <w:tmpl w:val="AD82ECAF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DD01DAC9"/>
    <w:multiLevelType w:val="singleLevel"/>
    <w:tmpl w:val="DD01DAC9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EF847359"/>
    <w:multiLevelType w:val="singleLevel"/>
    <w:tmpl w:val="EF847359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F939752E"/>
    <w:multiLevelType w:val="singleLevel"/>
    <w:tmpl w:val="F939752E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06C8588D"/>
    <w:multiLevelType w:val="multilevel"/>
    <w:tmpl w:val="06C8588D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8">
    <w:nsid w:val="39497D21"/>
    <w:multiLevelType w:val="multilevel"/>
    <w:tmpl w:val="39497D21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9">
    <w:nsid w:val="7EB54061"/>
    <w:multiLevelType w:val="multilevel"/>
    <w:tmpl w:val="7EB5406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9"/>
  </w:num>
  <w:num w:numId="3">
    <w:abstractNumId w:val="7"/>
  </w:num>
  <w:num w:numId="4">
    <w:abstractNumId w:val="4"/>
  </w:num>
  <w:num w:numId="5">
    <w:abstractNumId w:val="1"/>
  </w:num>
  <w:num w:numId="6">
    <w:abstractNumId w:val="6"/>
  </w:num>
  <w:num w:numId="7">
    <w:abstractNumId w:val="5"/>
  </w:num>
  <w:num w:numId="8">
    <w:abstractNumId w:val="2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A5Njg0YTQ2NTY4NTJkMzUyODA4ZWM5ODMyMDVhYjQifQ=="/>
  </w:docVars>
  <w:rsids>
    <w:rsidRoot w:val="00E41311"/>
    <w:rsid w:val="000254E6"/>
    <w:rsid w:val="000550E4"/>
    <w:rsid w:val="000A3FC3"/>
    <w:rsid w:val="000C542E"/>
    <w:rsid w:val="000D1D4B"/>
    <w:rsid w:val="000D36A7"/>
    <w:rsid w:val="000E7B1F"/>
    <w:rsid w:val="0012701F"/>
    <w:rsid w:val="001A09EA"/>
    <w:rsid w:val="001A780D"/>
    <w:rsid w:val="001C01B0"/>
    <w:rsid w:val="001E61C2"/>
    <w:rsid w:val="00201657"/>
    <w:rsid w:val="00236253"/>
    <w:rsid w:val="00277176"/>
    <w:rsid w:val="00280A12"/>
    <w:rsid w:val="002A5059"/>
    <w:rsid w:val="002B7D2A"/>
    <w:rsid w:val="002D697A"/>
    <w:rsid w:val="002E719F"/>
    <w:rsid w:val="003026A3"/>
    <w:rsid w:val="00341776"/>
    <w:rsid w:val="003D7909"/>
    <w:rsid w:val="003E74F3"/>
    <w:rsid w:val="00447C94"/>
    <w:rsid w:val="004A4A11"/>
    <w:rsid w:val="004A6732"/>
    <w:rsid w:val="004E5486"/>
    <w:rsid w:val="00511D8B"/>
    <w:rsid w:val="00526EF8"/>
    <w:rsid w:val="0057207A"/>
    <w:rsid w:val="00582398"/>
    <w:rsid w:val="005D2517"/>
    <w:rsid w:val="006639D2"/>
    <w:rsid w:val="00693049"/>
    <w:rsid w:val="006B5F01"/>
    <w:rsid w:val="006E7978"/>
    <w:rsid w:val="00732F1C"/>
    <w:rsid w:val="00737813"/>
    <w:rsid w:val="00761BD7"/>
    <w:rsid w:val="00783182"/>
    <w:rsid w:val="00790415"/>
    <w:rsid w:val="007B5834"/>
    <w:rsid w:val="007C3ABE"/>
    <w:rsid w:val="007E19BB"/>
    <w:rsid w:val="00842FD6"/>
    <w:rsid w:val="008B1209"/>
    <w:rsid w:val="008C12A3"/>
    <w:rsid w:val="008D5B13"/>
    <w:rsid w:val="008F3920"/>
    <w:rsid w:val="008F572B"/>
    <w:rsid w:val="00900293"/>
    <w:rsid w:val="009025B1"/>
    <w:rsid w:val="00942A23"/>
    <w:rsid w:val="009672BC"/>
    <w:rsid w:val="0098715F"/>
    <w:rsid w:val="009A4EA4"/>
    <w:rsid w:val="009E45E1"/>
    <w:rsid w:val="00A12AC0"/>
    <w:rsid w:val="00A942C8"/>
    <w:rsid w:val="00AC15DF"/>
    <w:rsid w:val="00AC66EC"/>
    <w:rsid w:val="00B13DE5"/>
    <w:rsid w:val="00B36608"/>
    <w:rsid w:val="00B5322B"/>
    <w:rsid w:val="00B63D0A"/>
    <w:rsid w:val="00B812F0"/>
    <w:rsid w:val="00BA2511"/>
    <w:rsid w:val="00BC5034"/>
    <w:rsid w:val="00C15DB1"/>
    <w:rsid w:val="00C36B5B"/>
    <w:rsid w:val="00C6711A"/>
    <w:rsid w:val="00C71C42"/>
    <w:rsid w:val="00C80334"/>
    <w:rsid w:val="00CB7477"/>
    <w:rsid w:val="00CC3F00"/>
    <w:rsid w:val="00CD35D0"/>
    <w:rsid w:val="00CF004D"/>
    <w:rsid w:val="00D21F1B"/>
    <w:rsid w:val="00D26764"/>
    <w:rsid w:val="00D621DB"/>
    <w:rsid w:val="00D639F1"/>
    <w:rsid w:val="00DD5781"/>
    <w:rsid w:val="00E01CC5"/>
    <w:rsid w:val="00E26E90"/>
    <w:rsid w:val="00E41311"/>
    <w:rsid w:val="00E45F80"/>
    <w:rsid w:val="00E57E43"/>
    <w:rsid w:val="00E77FB3"/>
    <w:rsid w:val="00E94D1F"/>
    <w:rsid w:val="00EB4220"/>
    <w:rsid w:val="00EF2DD1"/>
    <w:rsid w:val="00EF5DCE"/>
    <w:rsid w:val="00F534A4"/>
    <w:rsid w:val="00F61DCA"/>
    <w:rsid w:val="00F63839"/>
    <w:rsid w:val="00F83647"/>
    <w:rsid w:val="00F9782E"/>
    <w:rsid w:val="00FC2606"/>
    <w:rsid w:val="028916DF"/>
    <w:rsid w:val="045F408F"/>
    <w:rsid w:val="04934A97"/>
    <w:rsid w:val="04D37589"/>
    <w:rsid w:val="04E63BBD"/>
    <w:rsid w:val="05790131"/>
    <w:rsid w:val="05793C8D"/>
    <w:rsid w:val="066F5090"/>
    <w:rsid w:val="07D37038"/>
    <w:rsid w:val="0AFF4C34"/>
    <w:rsid w:val="0B582596"/>
    <w:rsid w:val="0B9F1F73"/>
    <w:rsid w:val="0C120997"/>
    <w:rsid w:val="0D1220E9"/>
    <w:rsid w:val="0D73620A"/>
    <w:rsid w:val="0E7D2A40"/>
    <w:rsid w:val="0E991CA1"/>
    <w:rsid w:val="0EFE3455"/>
    <w:rsid w:val="0F6634D4"/>
    <w:rsid w:val="0FF24D67"/>
    <w:rsid w:val="100131FC"/>
    <w:rsid w:val="10243A68"/>
    <w:rsid w:val="11457119"/>
    <w:rsid w:val="114710E3"/>
    <w:rsid w:val="126161D4"/>
    <w:rsid w:val="13767A5D"/>
    <w:rsid w:val="14587163"/>
    <w:rsid w:val="14EE34C4"/>
    <w:rsid w:val="16273291"/>
    <w:rsid w:val="16893F4C"/>
    <w:rsid w:val="17367C2F"/>
    <w:rsid w:val="177E5132"/>
    <w:rsid w:val="178E7A6B"/>
    <w:rsid w:val="17D66D1D"/>
    <w:rsid w:val="186F6C45"/>
    <w:rsid w:val="18786026"/>
    <w:rsid w:val="18DA0A8E"/>
    <w:rsid w:val="18FC27B3"/>
    <w:rsid w:val="193A152D"/>
    <w:rsid w:val="19AF3CC9"/>
    <w:rsid w:val="19BE3F0C"/>
    <w:rsid w:val="19CC117C"/>
    <w:rsid w:val="1A772A39"/>
    <w:rsid w:val="1A811F67"/>
    <w:rsid w:val="1AE654C9"/>
    <w:rsid w:val="1B0E67CD"/>
    <w:rsid w:val="1BFD0D1C"/>
    <w:rsid w:val="1C60574F"/>
    <w:rsid w:val="1DF512A5"/>
    <w:rsid w:val="1FC85312"/>
    <w:rsid w:val="200955F2"/>
    <w:rsid w:val="205D59B9"/>
    <w:rsid w:val="20B5296A"/>
    <w:rsid w:val="21313216"/>
    <w:rsid w:val="217F0425"/>
    <w:rsid w:val="219C4B33"/>
    <w:rsid w:val="2297354C"/>
    <w:rsid w:val="231E77CA"/>
    <w:rsid w:val="233D5EA2"/>
    <w:rsid w:val="235B5DDC"/>
    <w:rsid w:val="24297F60"/>
    <w:rsid w:val="24877D1C"/>
    <w:rsid w:val="24FE5B05"/>
    <w:rsid w:val="2624159B"/>
    <w:rsid w:val="267C4F33"/>
    <w:rsid w:val="278247CB"/>
    <w:rsid w:val="2852419D"/>
    <w:rsid w:val="2940049A"/>
    <w:rsid w:val="2A7D74CC"/>
    <w:rsid w:val="2B49262D"/>
    <w:rsid w:val="2BE27F2E"/>
    <w:rsid w:val="2C246BF6"/>
    <w:rsid w:val="2C5D5807"/>
    <w:rsid w:val="2D8D7A26"/>
    <w:rsid w:val="2E165C6D"/>
    <w:rsid w:val="2FA31782"/>
    <w:rsid w:val="2FDA5A18"/>
    <w:rsid w:val="2FE853E7"/>
    <w:rsid w:val="303B2760"/>
    <w:rsid w:val="30444D13"/>
    <w:rsid w:val="31141606"/>
    <w:rsid w:val="31D9592F"/>
    <w:rsid w:val="31F6203D"/>
    <w:rsid w:val="33955886"/>
    <w:rsid w:val="339F6A18"/>
    <w:rsid w:val="33EC2D60"/>
    <w:rsid w:val="33FE70E2"/>
    <w:rsid w:val="340547BA"/>
    <w:rsid w:val="341743F3"/>
    <w:rsid w:val="34C401D1"/>
    <w:rsid w:val="3583008C"/>
    <w:rsid w:val="35FC1BEC"/>
    <w:rsid w:val="36B349A1"/>
    <w:rsid w:val="36D734C3"/>
    <w:rsid w:val="38F90665"/>
    <w:rsid w:val="39B34CB8"/>
    <w:rsid w:val="39D30EB6"/>
    <w:rsid w:val="3A03179B"/>
    <w:rsid w:val="3A092B2A"/>
    <w:rsid w:val="3AD153F6"/>
    <w:rsid w:val="3B64270E"/>
    <w:rsid w:val="3B7B35B3"/>
    <w:rsid w:val="3C8F7316"/>
    <w:rsid w:val="3CCE7035"/>
    <w:rsid w:val="3D1B32A0"/>
    <w:rsid w:val="3E907376"/>
    <w:rsid w:val="3EC51715"/>
    <w:rsid w:val="3EE20976"/>
    <w:rsid w:val="40B82BB4"/>
    <w:rsid w:val="415A5A3A"/>
    <w:rsid w:val="42010CB6"/>
    <w:rsid w:val="42446DF5"/>
    <w:rsid w:val="428471F1"/>
    <w:rsid w:val="42E17197"/>
    <w:rsid w:val="42E45EE2"/>
    <w:rsid w:val="43170066"/>
    <w:rsid w:val="438E792E"/>
    <w:rsid w:val="4416031D"/>
    <w:rsid w:val="444A7FC7"/>
    <w:rsid w:val="451B08D1"/>
    <w:rsid w:val="451E392D"/>
    <w:rsid w:val="468C0373"/>
    <w:rsid w:val="46FA3F26"/>
    <w:rsid w:val="491C6F07"/>
    <w:rsid w:val="496438D9"/>
    <w:rsid w:val="498A40E4"/>
    <w:rsid w:val="4AFD5D93"/>
    <w:rsid w:val="4C435AFD"/>
    <w:rsid w:val="4C6E1A9B"/>
    <w:rsid w:val="4C9D5A7F"/>
    <w:rsid w:val="4C9E35A6"/>
    <w:rsid w:val="4CD11285"/>
    <w:rsid w:val="4E393586"/>
    <w:rsid w:val="4E4837C9"/>
    <w:rsid w:val="4E797E26"/>
    <w:rsid w:val="4F1D45F4"/>
    <w:rsid w:val="4F1D497A"/>
    <w:rsid w:val="4F782C31"/>
    <w:rsid w:val="50B84275"/>
    <w:rsid w:val="51481DCD"/>
    <w:rsid w:val="51C573A5"/>
    <w:rsid w:val="53241106"/>
    <w:rsid w:val="542F4739"/>
    <w:rsid w:val="546450D5"/>
    <w:rsid w:val="548C0D99"/>
    <w:rsid w:val="54B8169C"/>
    <w:rsid w:val="55EC35D4"/>
    <w:rsid w:val="56D007FF"/>
    <w:rsid w:val="56F444EE"/>
    <w:rsid w:val="578137B9"/>
    <w:rsid w:val="579D4B86"/>
    <w:rsid w:val="582F2864"/>
    <w:rsid w:val="58313C22"/>
    <w:rsid w:val="585C30F0"/>
    <w:rsid w:val="59835FFD"/>
    <w:rsid w:val="5A025174"/>
    <w:rsid w:val="5AF01470"/>
    <w:rsid w:val="5B022F52"/>
    <w:rsid w:val="5B21162A"/>
    <w:rsid w:val="5B547C51"/>
    <w:rsid w:val="5BD5525B"/>
    <w:rsid w:val="5C9168AB"/>
    <w:rsid w:val="5CBD699C"/>
    <w:rsid w:val="5D1D28C1"/>
    <w:rsid w:val="5EA031AD"/>
    <w:rsid w:val="5FD96977"/>
    <w:rsid w:val="600A4D82"/>
    <w:rsid w:val="605040C4"/>
    <w:rsid w:val="60CE1E87"/>
    <w:rsid w:val="61004BF7"/>
    <w:rsid w:val="6198016C"/>
    <w:rsid w:val="61DC62AA"/>
    <w:rsid w:val="62CA07F9"/>
    <w:rsid w:val="62EC4555"/>
    <w:rsid w:val="647924D6"/>
    <w:rsid w:val="648669A1"/>
    <w:rsid w:val="64AA7BD5"/>
    <w:rsid w:val="64C80D68"/>
    <w:rsid w:val="64CA2D32"/>
    <w:rsid w:val="64FD4EB5"/>
    <w:rsid w:val="656C3DE9"/>
    <w:rsid w:val="6583773F"/>
    <w:rsid w:val="659766D9"/>
    <w:rsid w:val="65B67B96"/>
    <w:rsid w:val="65C32A4A"/>
    <w:rsid w:val="66012783"/>
    <w:rsid w:val="676236F6"/>
    <w:rsid w:val="683D36AD"/>
    <w:rsid w:val="69164798"/>
    <w:rsid w:val="698C4A5A"/>
    <w:rsid w:val="6A845731"/>
    <w:rsid w:val="6AB26742"/>
    <w:rsid w:val="6B2F38EF"/>
    <w:rsid w:val="6C027255"/>
    <w:rsid w:val="6C094140"/>
    <w:rsid w:val="6C823EF2"/>
    <w:rsid w:val="6C866535"/>
    <w:rsid w:val="6CA83959"/>
    <w:rsid w:val="6D9A7822"/>
    <w:rsid w:val="6D9B34BE"/>
    <w:rsid w:val="6F285225"/>
    <w:rsid w:val="6F384A1C"/>
    <w:rsid w:val="6FE74798"/>
    <w:rsid w:val="702B762D"/>
    <w:rsid w:val="704D0E86"/>
    <w:rsid w:val="718129CA"/>
    <w:rsid w:val="720E0702"/>
    <w:rsid w:val="729D6DC9"/>
    <w:rsid w:val="734E2D80"/>
    <w:rsid w:val="74171277"/>
    <w:rsid w:val="743A6452"/>
    <w:rsid w:val="74A76BEC"/>
    <w:rsid w:val="752477A4"/>
    <w:rsid w:val="77D9530E"/>
    <w:rsid w:val="781C51FB"/>
    <w:rsid w:val="78414C61"/>
    <w:rsid w:val="78827754"/>
    <w:rsid w:val="79D42231"/>
    <w:rsid w:val="79FC7D20"/>
    <w:rsid w:val="7C2A25DC"/>
    <w:rsid w:val="7DAE4B47"/>
    <w:rsid w:val="7DE14A1F"/>
    <w:rsid w:val="7F671451"/>
    <w:rsid w:val="7FE4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ind w:left="575" w:hanging="575"/>
      <w:outlineLvl w:val="1"/>
    </w:pPr>
    <w:rPr>
      <w:rFonts w:cstheme="majorBidi"/>
      <w:b/>
      <w:bCs/>
      <w:sz w:val="28"/>
      <w:szCs w:val="32"/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left="720" w:hanging="72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30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ind w:left="864" w:hanging="864"/>
      <w:outlineLvl w:val="3"/>
    </w:pPr>
    <w:rPr>
      <w:rFonts w:eastAsia="微软雅黑" w:asciiTheme="majorAscii" w:hAnsiTheme="majorAscii" w:cstheme="majorBidi"/>
      <w:b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1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2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semiHidden/>
    <w:unhideWhenUsed/>
    <w:qFormat/>
    <w:uiPriority w:val="39"/>
  </w:style>
  <w:style w:type="paragraph" w:styleId="15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6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hint="eastAsia" w:ascii="宋体" w:hAnsi="宋体"/>
      <w:kern w:val="0"/>
    </w:rPr>
  </w:style>
  <w:style w:type="table" w:styleId="18">
    <w:name w:val="Table Grid"/>
    <w:basedOn w:val="1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Hyperlink"/>
    <w:basedOn w:val="1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No Spacing"/>
    <w:link w:val="22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22">
    <w:name w:val="无间隔 字符"/>
    <w:basedOn w:val="19"/>
    <w:link w:val="21"/>
    <w:qFormat/>
    <w:uiPriority w:val="1"/>
    <w:rPr>
      <w:kern w:val="0"/>
      <w:sz w:val="22"/>
    </w:rPr>
  </w:style>
  <w:style w:type="character" w:customStyle="1" w:styleId="23">
    <w:name w:val="标题 1 字符"/>
    <w:basedOn w:val="19"/>
    <w:link w:val="2"/>
    <w:qFormat/>
    <w:uiPriority w:val="9"/>
    <w:rPr>
      <w:rFonts w:eastAsia="微软雅黑"/>
      <w:b/>
      <w:bCs/>
      <w:kern w:val="44"/>
      <w:sz w:val="30"/>
      <w:szCs w:val="44"/>
    </w:rPr>
  </w:style>
  <w:style w:type="paragraph" w:customStyle="1" w:styleId="2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  <w:style w:type="character" w:customStyle="1" w:styleId="26">
    <w:name w:val="页眉 字符"/>
    <w:basedOn w:val="19"/>
    <w:link w:val="13"/>
    <w:qFormat/>
    <w:uiPriority w:val="99"/>
    <w:rPr>
      <w:sz w:val="18"/>
      <w:szCs w:val="18"/>
    </w:rPr>
  </w:style>
  <w:style w:type="character" w:customStyle="1" w:styleId="27">
    <w:name w:val="页脚 字符"/>
    <w:basedOn w:val="19"/>
    <w:link w:val="12"/>
    <w:qFormat/>
    <w:uiPriority w:val="99"/>
    <w:rPr>
      <w:sz w:val="18"/>
      <w:szCs w:val="18"/>
    </w:rPr>
  </w:style>
  <w:style w:type="character" w:customStyle="1" w:styleId="28">
    <w:name w:val="标题 2 字符"/>
    <w:basedOn w:val="19"/>
    <w:link w:val="3"/>
    <w:qFormat/>
    <w:uiPriority w:val="9"/>
    <w:rPr>
      <w:rFonts w:eastAsia="微软雅黑" w:asciiTheme="minorAscii" w:hAnsiTheme="minorAscii" w:cstheme="majorBidi"/>
      <w:b/>
      <w:bCs/>
      <w:sz w:val="28"/>
      <w:szCs w:val="32"/>
    </w:rPr>
  </w:style>
  <w:style w:type="character" w:customStyle="1" w:styleId="29">
    <w:name w:val="标题 3 字符"/>
    <w:basedOn w:val="19"/>
    <w:link w:val="4"/>
    <w:qFormat/>
    <w:uiPriority w:val="9"/>
    <w:rPr>
      <w:rFonts w:eastAsia="微软雅黑"/>
      <w:b/>
      <w:bCs/>
      <w:sz w:val="24"/>
      <w:szCs w:val="32"/>
    </w:rPr>
  </w:style>
  <w:style w:type="character" w:customStyle="1" w:styleId="30">
    <w:name w:val="标题 4 字符"/>
    <w:basedOn w:val="19"/>
    <w:link w:val="5"/>
    <w:qFormat/>
    <w:uiPriority w:val="9"/>
    <w:rPr>
      <w:rFonts w:eastAsia="微软雅黑" w:asciiTheme="majorAscii" w:hAnsiTheme="majorAscii" w:cstheme="majorBidi"/>
      <w:b/>
      <w:bCs/>
      <w:sz w:val="21"/>
      <w:szCs w:val="28"/>
    </w:rPr>
  </w:style>
  <w:style w:type="paragraph" w:customStyle="1" w:styleId="31">
    <w:name w:val="D0"/>
    <w:basedOn w:val="1"/>
    <w:qFormat/>
    <w:uiPriority w:val="0"/>
    <w:pPr>
      <w:ind w:firstLine="48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5" Type="http://schemas.openxmlformats.org/officeDocument/2006/relationships/fontTable" Target="fontTable.xml"/><Relationship Id="rId54" Type="http://schemas.openxmlformats.org/officeDocument/2006/relationships/customXml" Target="../customXml/item1.xml"/><Relationship Id="rId53" Type="http://schemas.openxmlformats.org/officeDocument/2006/relationships/numbering" Target="numbering.xml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theme" Target="theme/theme1.xml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0EECD-C560-47A5-A50F-0205191A8D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2057</Words>
  <Characters>2310</Characters>
  <Lines>13</Lines>
  <Paragraphs>3</Paragraphs>
  <TotalTime>0</TotalTime>
  <ScaleCrop>false</ScaleCrop>
  <LinksUpToDate>false</LinksUpToDate>
  <CharactersWithSpaces>2436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2022-07-01T01:16:00Z</dcterms:created>
  <dc:creator>Silent Rain</dc:creator>
  <cp:lastModifiedBy>史炯助</cp:lastModifiedBy>
  <dcterms:modified xsi:type="dcterms:W3CDTF">2023-05-06T02:11:14Z</dcterms:modified>
  <cp:revision>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4D28C02BEB8244CAA0B33EEDA1FCEE3D</vt:lpwstr>
  </property>
</Properties>
</file>