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345AEB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12B72">
        <w:rPr>
          <w:rFonts w:ascii="Times New Roman" w:eastAsia="Times New Roman" w:hAnsi="Times New Roman" w:cs="Times New Roman"/>
        </w:rPr>
        <w:t xml:space="preserve"> </w:t>
      </w:r>
      <w:r w:rsidR="00812B72" w:rsidRPr="00812B72">
        <w:rPr>
          <w:rFonts w:ascii="Times New Roman" w:eastAsia="Times New Roman" w:hAnsi="Times New Roman" w:cs="Times New Roman"/>
          <w:b/>
          <w:bCs/>
        </w:rPr>
        <w:t>Correlation between Global Sugar Production and Export Volumes, 2018/19–</w:t>
      </w:r>
      <w:r w:rsidR="00812B72">
        <w:rPr>
          <w:rFonts w:ascii="Times New Roman" w:eastAsia="Times New Roman" w:hAnsi="Times New Roman" w:cs="Times New Roman"/>
          <w:b/>
          <w:bCs/>
        </w:rPr>
        <w:t>May</w:t>
      </w:r>
      <w:r w:rsidR="00812B72" w:rsidRPr="00812B72">
        <w:rPr>
          <w:rFonts w:ascii="Times New Roman" w:eastAsia="Times New Roman" w:hAnsi="Times New Roman" w:cs="Times New Roman"/>
          <w:b/>
          <w:bCs/>
        </w:rPr>
        <w:t>2023/24</w:t>
      </w:r>
    </w:p>
    <w:p w14:paraId="021BD103" w14:textId="77777777" w:rsidR="00CD56D6" w:rsidRPr="000F7A9B" w:rsidRDefault="00CD56D6">
      <w:pPr>
        <w:rPr>
          <w:rFonts w:ascii="Times New Roman" w:eastAsia="Times New Roman" w:hAnsi="Times New Roman" w:cs="Times New Roman"/>
        </w:rPr>
      </w:pPr>
    </w:p>
    <w:p w14:paraId="03F364DF" w14:textId="6BCEF90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876A1">
        <w:rPr>
          <w:rFonts w:ascii="Times New Roman" w:eastAsia="Times New Roman" w:hAnsi="Times New Roman" w:cs="Times New Roman"/>
        </w:rPr>
        <w:t xml:space="preserve"> B 185</w:t>
      </w:r>
    </w:p>
    <w:p w14:paraId="446FFA9D" w14:textId="77777777" w:rsidR="00CD56D6" w:rsidRPr="000F7A9B" w:rsidRDefault="00CD56D6">
      <w:pPr>
        <w:rPr>
          <w:rFonts w:ascii="Times New Roman" w:eastAsia="Times New Roman" w:hAnsi="Times New Roman" w:cs="Times New Roman"/>
        </w:rPr>
      </w:pPr>
    </w:p>
    <w:p w14:paraId="49DADBCA" w14:textId="2ED8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876A1">
        <w:rPr>
          <w:rFonts w:ascii="Times New Roman" w:eastAsia="Times New Roman" w:hAnsi="Times New Roman" w:cs="Times New Roman"/>
        </w:rPr>
        <w:t>ds077</w:t>
      </w:r>
    </w:p>
    <w:p w14:paraId="36540512" w14:textId="77777777" w:rsidR="00CD56D6" w:rsidRPr="000F7A9B" w:rsidRDefault="00CD56D6">
      <w:pPr>
        <w:rPr>
          <w:rFonts w:ascii="Times New Roman" w:eastAsia="Times New Roman" w:hAnsi="Times New Roman" w:cs="Times New Roman"/>
        </w:rPr>
      </w:pPr>
    </w:p>
    <w:p w14:paraId="200780D9" w14:textId="67BD37E8" w:rsidR="00CD56D6" w:rsidRDefault="00CD56D6" w:rsidP="00812B72">
      <w:pPr>
        <w:rPr>
          <w:rFonts w:ascii="Times New Roman" w:eastAsia="Times New Roman" w:hAnsi="Times New Roman" w:cs="Times New Roman"/>
          <w:iCs/>
          <w:color w:val="000000" w:themeColor="text1"/>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812B72" w:rsidRPr="00812B72">
        <w:rPr>
          <w:rFonts w:ascii="Times New Roman" w:eastAsia="Times New Roman" w:hAnsi="Times New Roman" w:cs="Times New Roman"/>
          <w:iCs/>
          <w:color w:val="000000" w:themeColor="text1"/>
        </w:rPr>
        <w:t>Sardar Ammar Khan,24167504</w:t>
      </w:r>
    </w:p>
    <w:p w14:paraId="59B85AF2" w14:textId="0534AF52"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Hafiz Farooq Ahmad,</w:t>
      </w:r>
      <w:r w:rsidR="009C0DCB">
        <w:rPr>
          <w:rFonts w:ascii="Times New Roman" w:eastAsia="Times New Roman" w:hAnsi="Times New Roman" w:cs="Times New Roman"/>
          <w:iCs/>
          <w:color w:val="000000" w:themeColor="text1"/>
        </w:rPr>
        <w:t>24167374</w:t>
      </w:r>
    </w:p>
    <w:p w14:paraId="132AEAC3" w14:textId="6BD85C1D"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Sanjay Kumar Anu,</w:t>
      </w:r>
      <w:r w:rsidR="009C0DCB">
        <w:rPr>
          <w:rFonts w:ascii="Times New Roman" w:eastAsia="Times New Roman" w:hAnsi="Times New Roman" w:cs="Times New Roman"/>
          <w:iCs/>
          <w:color w:val="000000" w:themeColor="text1"/>
        </w:rPr>
        <w:t>24168250</w:t>
      </w:r>
    </w:p>
    <w:p w14:paraId="5A222D55" w14:textId="160EFCAC"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Navateja Madineni,</w:t>
      </w:r>
      <w:r w:rsidR="009C0DCB">
        <w:rPr>
          <w:rFonts w:ascii="Times New Roman" w:eastAsia="Times New Roman" w:hAnsi="Times New Roman" w:cs="Times New Roman"/>
          <w:iCs/>
          <w:color w:val="000000" w:themeColor="text1"/>
        </w:rPr>
        <w:t>24167972</w:t>
      </w:r>
    </w:p>
    <w:p w14:paraId="096A60E6" w14:textId="54BF9AD6"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Mohan Kumar Reddy Tammineni</w:t>
      </w:r>
      <w:r w:rsidR="009C0DCB">
        <w:rPr>
          <w:rFonts w:ascii="Times New Roman" w:eastAsia="Times New Roman" w:hAnsi="Times New Roman" w:cs="Times New Roman"/>
          <w:iCs/>
          <w:color w:val="000000" w:themeColor="text1"/>
        </w:rPr>
        <w:t>,2416813</w:t>
      </w:r>
    </w:p>
    <w:p w14:paraId="7766D113" w14:textId="3E6FCAC0" w:rsidR="00812B72" w:rsidRPr="00812B72" w:rsidRDefault="00812B72" w:rsidP="00812B72">
      <w:pPr>
        <w:rPr>
          <w:rFonts w:ascii="Times New Roman" w:eastAsia="Times New Roman" w:hAnsi="Times New Roman" w:cs="Times New Roman"/>
          <w:iCs/>
          <w:color w:val="000000" w:themeColor="text1"/>
          <w:highlight w:val="yellow"/>
        </w:rPr>
      </w:pPr>
      <w:r>
        <w:rPr>
          <w:rFonts w:ascii="Times New Roman" w:eastAsia="Times New Roman" w:hAnsi="Times New Roman" w:cs="Times New Roman"/>
          <w:iCs/>
          <w:color w:val="000000" w:themeColor="text1"/>
        </w:rPr>
        <w:t xml:space="preserve"> </w:t>
      </w:r>
    </w:p>
    <w:p w14:paraId="3FF95283" w14:textId="77777777" w:rsidR="00812B72" w:rsidRDefault="00812B72" w:rsidP="00812B72">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55A3F854"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6132B81"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4CB9FF58" w:rsidR="5D5E0517" w:rsidRDefault="5D5E0517" w:rsidP="7FBAA7B2">
      <w:pPr>
        <w:pStyle w:val="ListParagraph"/>
        <w:numPr>
          <w:ilvl w:val="1"/>
          <w:numId w:val="32"/>
        </w:numPr>
        <w:ind w:hanging="720"/>
        <w:rPr>
          <w:rFonts w:ascii="Times New Roman" w:eastAsia="Times New Roman" w:hAnsi="Times New Roman" w:cs="Times New Roman"/>
          <w:b/>
          <w:bCs/>
        </w:rPr>
      </w:pPr>
      <w:r w:rsidRPr="00253CA7">
        <w:rPr>
          <w:rFonts w:ascii="Times New Roman" w:eastAsia="Times New Roman" w:hAnsi="Times New Roman" w:cs="Times New Roman"/>
          <w:b/>
          <w:bCs/>
        </w:rPr>
        <w:t>Problem statement and research motivation</w:t>
      </w:r>
    </w:p>
    <w:p w14:paraId="25E830CF" w14:textId="77777777" w:rsidR="00253CA7" w:rsidRPr="00253CA7" w:rsidRDefault="00253CA7" w:rsidP="00253CA7">
      <w:pPr>
        <w:pStyle w:val="ListParagraph"/>
        <w:ind w:left="1440"/>
        <w:rPr>
          <w:rFonts w:ascii="Times New Roman" w:eastAsia="Times New Roman" w:hAnsi="Times New Roman" w:cs="Times New Roman"/>
          <w:b/>
          <w:bCs/>
        </w:rPr>
      </w:pPr>
    </w:p>
    <w:p w14:paraId="0CF12A25" w14:textId="6D66D624" w:rsidR="00253CA7" w:rsidRDefault="00253CA7" w:rsidP="00253CA7">
      <w:pPr>
        <w:pStyle w:val="ListParagraph"/>
        <w:ind w:left="1440"/>
        <w:jc w:val="both"/>
        <w:rPr>
          <w:rFonts w:ascii="Times New Roman" w:eastAsia="Times New Roman" w:hAnsi="Times New Roman" w:cs="Times New Roman"/>
        </w:rPr>
      </w:pPr>
      <w:r w:rsidRPr="00253CA7">
        <w:rPr>
          <w:rFonts w:ascii="Times New Roman" w:eastAsia="Times New Roman" w:hAnsi="Times New Roman" w:cs="Times New Roman"/>
        </w:rPr>
        <w:t>The global sugar industry significantly contributes to agricultural economies and international trade. Understanding the relationship between sugar production and exports is crucial for production planning, trade policies, and market forecasting. In recent years, fluctuations in global demand and supply have affected export volumes, raising the need to analyse production trends in relation to exports (FAO, 2023). This study investigates the correlation between global sugar production and exports from 2018/19 to May 2023/24. Insights gained can guide policymakers, producers, and traders in optimizing production strategies and export planning, thereby improving efficiency and reducing market risks.</w:t>
      </w:r>
    </w:p>
    <w:p w14:paraId="15ACD018" w14:textId="73BA5835" w:rsidR="00CD56D6" w:rsidRPr="00253CA7" w:rsidRDefault="00CD56D6" w:rsidP="00253CA7">
      <w:pPr>
        <w:rPr>
          <w:rFonts w:ascii="Times New Roman" w:eastAsia="Times New Roman" w:hAnsi="Times New Roman" w:cs="Times New Roman"/>
          <w:i/>
          <w:iCs/>
          <w:color w:val="000000" w:themeColor="text1"/>
          <w:highlight w:val="yellow"/>
        </w:rPr>
      </w:pPr>
      <w:r w:rsidRPr="00253CA7">
        <w:rPr>
          <w:rFonts w:ascii="Times New Roman" w:eastAsia="Times New Roman" w:hAnsi="Times New Roman" w:cs="Times New Roman"/>
          <w:color w:val="000000" w:themeColor="text1"/>
        </w:rPr>
        <w:t xml:space="preserve"> </w:t>
      </w:r>
    </w:p>
    <w:p w14:paraId="29430614" w14:textId="0B28BAA7" w:rsidR="000F7A9B" w:rsidRDefault="000F7A9B" w:rsidP="7FBAA7B2">
      <w:pPr>
        <w:pStyle w:val="ListParagraph"/>
        <w:numPr>
          <w:ilvl w:val="1"/>
          <w:numId w:val="32"/>
        </w:numPr>
        <w:ind w:hanging="720"/>
        <w:rPr>
          <w:rFonts w:ascii="Times New Roman" w:eastAsia="Times New Roman" w:hAnsi="Times New Roman" w:cs="Times New Roman"/>
          <w:b/>
          <w:bCs/>
        </w:rPr>
      </w:pPr>
      <w:r w:rsidRPr="00B66084">
        <w:rPr>
          <w:rFonts w:ascii="Times New Roman" w:eastAsia="Times New Roman" w:hAnsi="Times New Roman" w:cs="Times New Roman"/>
          <w:b/>
          <w:bCs/>
        </w:rPr>
        <w:t xml:space="preserve">The </w:t>
      </w:r>
      <w:r w:rsidR="00B66084">
        <w:rPr>
          <w:rFonts w:ascii="Times New Roman" w:eastAsia="Times New Roman" w:hAnsi="Times New Roman" w:cs="Times New Roman"/>
          <w:b/>
          <w:bCs/>
        </w:rPr>
        <w:t>D</w:t>
      </w:r>
      <w:r w:rsidRPr="00B66084">
        <w:rPr>
          <w:rFonts w:ascii="Times New Roman" w:eastAsia="Times New Roman" w:hAnsi="Times New Roman" w:cs="Times New Roman"/>
          <w:b/>
          <w:bCs/>
        </w:rPr>
        <w:t xml:space="preserve">ata </w:t>
      </w:r>
      <w:r w:rsidR="00B66084">
        <w:rPr>
          <w:rFonts w:ascii="Times New Roman" w:eastAsia="Times New Roman" w:hAnsi="Times New Roman" w:cs="Times New Roman"/>
          <w:b/>
          <w:bCs/>
        </w:rPr>
        <w:t>S</w:t>
      </w:r>
      <w:r w:rsidRPr="00B66084">
        <w:rPr>
          <w:rFonts w:ascii="Times New Roman" w:eastAsia="Times New Roman" w:hAnsi="Times New Roman" w:cs="Times New Roman"/>
          <w:b/>
          <w:bCs/>
        </w:rPr>
        <w:t>et</w:t>
      </w:r>
    </w:p>
    <w:p w14:paraId="2E2D1C68" w14:textId="77777777" w:rsidR="00B66084" w:rsidRDefault="00B66084" w:rsidP="00B66084">
      <w:pPr>
        <w:pStyle w:val="ListParagraph"/>
        <w:ind w:left="1440"/>
        <w:rPr>
          <w:rFonts w:ascii="Times New Roman" w:eastAsia="Times New Roman" w:hAnsi="Times New Roman" w:cs="Times New Roman"/>
          <w:b/>
          <w:bCs/>
        </w:rPr>
      </w:pPr>
    </w:p>
    <w:p w14:paraId="1B192D57" w14:textId="77A94834" w:rsidR="00B66084" w:rsidRPr="00B66084" w:rsidRDefault="00B66084" w:rsidP="00B66084">
      <w:pPr>
        <w:pStyle w:val="ListParagraph"/>
        <w:ind w:left="1440"/>
        <w:jc w:val="both"/>
        <w:rPr>
          <w:rFonts w:ascii="Times New Roman" w:eastAsia="Times New Roman" w:hAnsi="Times New Roman" w:cs="Times New Roman"/>
        </w:rPr>
      </w:pPr>
      <w:r w:rsidRPr="00B66084">
        <w:rPr>
          <w:rFonts w:ascii="Times New Roman" w:eastAsia="Times New Roman" w:hAnsi="Times New Roman" w:cs="Times New Roman"/>
        </w:rPr>
        <w:t>The dataset shows yearly sugar market data for different countries and regions from the 2018/19 season through May 2023/24. Each row focuses on a country or region and a specific factor like sugar production, exports, imports, consumption, or ending stocks. The columns list the values for each year, making it easy to track how sugar production and trade levels have changed over time across different countries.</w:t>
      </w:r>
    </w:p>
    <w:p w14:paraId="2D89D4C6" w14:textId="77777777" w:rsidR="00B66084" w:rsidRPr="00B66084" w:rsidRDefault="00B66084" w:rsidP="00B66084">
      <w:pPr>
        <w:pStyle w:val="ListParagraph"/>
        <w:ind w:left="1440"/>
        <w:rPr>
          <w:rFonts w:ascii="Times New Roman" w:eastAsia="Times New Roman" w:hAnsi="Times New Roman" w:cs="Times New Roman"/>
          <w:b/>
          <w:bCs/>
        </w:rPr>
      </w:pPr>
    </w:p>
    <w:p w14:paraId="5358002E" w14:textId="4E9303AC" w:rsidR="00CD56D6" w:rsidRDefault="000F7A9B" w:rsidP="185412CB">
      <w:pPr>
        <w:pStyle w:val="ListParagraph"/>
        <w:numPr>
          <w:ilvl w:val="1"/>
          <w:numId w:val="32"/>
        </w:numPr>
        <w:ind w:hanging="720"/>
        <w:rPr>
          <w:rFonts w:ascii="Times New Roman" w:eastAsia="Times New Roman" w:hAnsi="Times New Roman" w:cs="Times New Roman"/>
          <w:b/>
          <w:bCs/>
        </w:rPr>
      </w:pPr>
      <w:r w:rsidRPr="0076627F">
        <w:rPr>
          <w:rFonts w:ascii="Times New Roman" w:eastAsia="Times New Roman" w:hAnsi="Times New Roman" w:cs="Times New Roman"/>
          <w:b/>
          <w:bCs/>
        </w:rPr>
        <w:t>R</w:t>
      </w:r>
      <w:r w:rsidR="00CD56D6" w:rsidRPr="0076627F">
        <w:rPr>
          <w:rFonts w:ascii="Times New Roman" w:eastAsia="Times New Roman" w:hAnsi="Times New Roman" w:cs="Times New Roman"/>
          <w:b/>
          <w:bCs/>
        </w:rPr>
        <w:t>esearch question</w:t>
      </w:r>
    </w:p>
    <w:p w14:paraId="2B5A9EC4" w14:textId="77777777" w:rsidR="0076627F" w:rsidRDefault="0076627F" w:rsidP="0076627F">
      <w:pPr>
        <w:pStyle w:val="ListParagraph"/>
        <w:ind w:left="1440"/>
        <w:rPr>
          <w:rFonts w:ascii="Times New Roman" w:eastAsia="Times New Roman" w:hAnsi="Times New Roman" w:cs="Times New Roman"/>
          <w:b/>
          <w:bCs/>
        </w:rPr>
      </w:pPr>
    </w:p>
    <w:p w14:paraId="0E5CD50E" w14:textId="43AA0A18" w:rsidR="0076627F" w:rsidRDefault="0076627F" w:rsidP="0076627F">
      <w:pPr>
        <w:pStyle w:val="ListParagraph"/>
        <w:ind w:left="1440"/>
        <w:jc w:val="both"/>
        <w:rPr>
          <w:rFonts w:ascii="Times New Roman" w:eastAsia="Times New Roman" w:hAnsi="Times New Roman" w:cs="Times New Roman"/>
        </w:rPr>
      </w:pPr>
      <w:r w:rsidRPr="0076627F">
        <w:rPr>
          <w:rFonts w:ascii="Times New Roman" w:eastAsia="Times New Roman" w:hAnsi="Times New Roman" w:cs="Times New Roman"/>
        </w:rPr>
        <w:t>Is there any correlation between export volume and production volume for sugar commodities from year 2018/19 to May 2023/24? It focuses on how changes in overall production relate to changes in total exports. Understanding this relationship can inform market planning, trade policy, and supply‑demand assessments.</w:t>
      </w:r>
    </w:p>
    <w:p w14:paraId="03444899" w14:textId="77777777" w:rsidR="0076627F" w:rsidRPr="0076627F" w:rsidRDefault="0076627F" w:rsidP="0076627F">
      <w:pPr>
        <w:pStyle w:val="ListParagraph"/>
        <w:ind w:left="1440"/>
        <w:jc w:val="both"/>
        <w:rPr>
          <w:rFonts w:ascii="Times New Roman" w:eastAsia="Times New Roman" w:hAnsi="Times New Roman" w:cs="Times New Roman"/>
        </w:rPr>
      </w:pPr>
    </w:p>
    <w:p w14:paraId="6B2B61F9" w14:textId="65776909" w:rsidR="5D5E0517" w:rsidRDefault="5D5E0517" w:rsidP="7FBAA7B2">
      <w:pPr>
        <w:pStyle w:val="ListParagraph"/>
        <w:numPr>
          <w:ilvl w:val="1"/>
          <w:numId w:val="32"/>
        </w:numPr>
        <w:ind w:hanging="720"/>
        <w:rPr>
          <w:rFonts w:ascii="Times New Roman" w:eastAsia="Times New Roman" w:hAnsi="Times New Roman" w:cs="Times New Roman"/>
          <w:b/>
          <w:bCs/>
        </w:rPr>
      </w:pPr>
      <w:r w:rsidRPr="002647FF">
        <w:rPr>
          <w:rFonts w:ascii="Times New Roman" w:eastAsia="Times New Roman" w:hAnsi="Times New Roman" w:cs="Times New Roman"/>
          <w:b/>
          <w:bCs/>
        </w:rPr>
        <w:t>Null hypothesis and alternative hypothesis (H0/H1)</w:t>
      </w:r>
    </w:p>
    <w:p w14:paraId="62F49899" w14:textId="77777777" w:rsidR="002647FF" w:rsidRDefault="002647FF" w:rsidP="002647FF">
      <w:pPr>
        <w:pStyle w:val="ListParagraph"/>
        <w:ind w:left="1440"/>
        <w:rPr>
          <w:rFonts w:ascii="Times New Roman" w:eastAsia="Times New Roman" w:hAnsi="Times New Roman" w:cs="Times New Roman"/>
          <w:b/>
          <w:bCs/>
        </w:rPr>
      </w:pPr>
    </w:p>
    <w:p w14:paraId="2EFE1659"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Null Hypothesis:</w:t>
      </w:r>
    </w:p>
    <w:p w14:paraId="64AC336A"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no correlation between export volume and production volume for sugar commodities from year 2018/19 to May2023/24.</w:t>
      </w:r>
    </w:p>
    <w:p w14:paraId="3D3D569B"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 xml:space="preserve">Alternative Hypothesis: </w:t>
      </w:r>
    </w:p>
    <w:p w14:paraId="3A2B0121" w14:textId="75303DC4" w:rsid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a correlation between export volume and production volume for sugar commodities from year 2018/19 to May2023/24.</w:t>
      </w:r>
    </w:p>
    <w:p w14:paraId="7995FF3E" w14:textId="31B3111E" w:rsidR="00CB63C7" w:rsidRDefault="00CB63C7" w:rsidP="002647FF">
      <w:pPr>
        <w:pStyle w:val="ListParagraph"/>
        <w:ind w:left="1440"/>
        <w:jc w:val="both"/>
        <w:rPr>
          <w:rFonts w:ascii="Times New Roman" w:eastAsia="Times New Roman" w:hAnsi="Times New Roman" w:cs="Times New Roman"/>
        </w:rPr>
      </w:pPr>
      <w:r w:rsidRPr="00CB63C7">
        <w:rPr>
          <w:rFonts w:ascii="Times New Roman" w:eastAsia="Times New Roman" w:hAnsi="Times New Roman" w:cs="Times New Roman"/>
        </w:rPr>
        <w:t>The null hypothesis assumes that export levels and production levels move independently over these years. The alternative hypothesis suggests that when global sugar production changes, export volumes tend to change in a related way. The analysis will show which of these two statements is more believable.</w:t>
      </w:r>
    </w:p>
    <w:p w14:paraId="37C4190B" w14:textId="77777777" w:rsidR="00CB63C7" w:rsidRPr="002647FF" w:rsidRDefault="00CB63C7" w:rsidP="002647FF">
      <w:pPr>
        <w:pStyle w:val="ListParagraph"/>
        <w:ind w:left="1440"/>
        <w:jc w:val="both"/>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lastRenderedPageBreak/>
        <w:t>Background research</w:t>
      </w:r>
    </w:p>
    <w:p w14:paraId="4556CB4C" w14:textId="0DBC3880"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p>
    <w:p w14:paraId="4FCB35FE" w14:textId="16A2F184" w:rsidR="7FBAA7B2" w:rsidRDefault="00AA5C86" w:rsidP="7FBAA7B2">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AA5C86">
        <w:rPr>
          <w:rFonts w:ascii="Times New Roman" w:eastAsia="Times New Roman" w:hAnsi="Times New Roman" w:cs="Times New Roman"/>
        </w:rPr>
        <w:t>During the research we did not find any article directly on our data set but here are the articles relevant to it.</w:t>
      </w:r>
      <w:r>
        <w:rPr>
          <w:rFonts w:ascii="Times New Roman" w:eastAsia="Times New Roman" w:hAnsi="Times New Roman" w:cs="Times New Roman"/>
        </w:rPr>
        <w:t xml:space="preserve">  </w:t>
      </w:r>
    </w:p>
    <w:p w14:paraId="2F668A30" w14:textId="724206C0" w:rsidR="00553383" w:rsidRPr="00553383" w:rsidRDefault="00553383" w:rsidP="00553383">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Article 1:</w:t>
      </w:r>
    </w:p>
    <w:p w14:paraId="4D79D5FF" w14:textId="6A09DE98" w:rsidR="00553383" w:rsidRDefault="00553383" w:rsidP="0055338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553383">
        <w:rPr>
          <w:rFonts w:ascii="Times New Roman" w:eastAsia="Times New Roman" w:hAnsi="Times New Roman" w:cs="Times New Roman"/>
        </w:rPr>
        <w:t>This paper discusses simple ways to compare countries in the global sugar market. It focuses on measures such as how fast sugar production is growing, how much each country contributes to global exports, and whether countries can meet their own sugar needs. Using these indicators, the authors show which countries are major exporters and which depend on imports, and explain how this information can help with better policy decisions and planning in the sugar industry (KOVALENKO et al., 2021)</w:t>
      </w:r>
      <w:r>
        <w:rPr>
          <w:rFonts w:ascii="Times New Roman" w:eastAsia="Times New Roman" w:hAnsi="Times New Roman" w:cs="Times New Roman"/>
        </w:rPr>
        <w:t>.</w:t>
      </w:r>
    </w:p>
    <w:p w14:paraId="7E6CF59D" w14:textId="6D887B51" w:rsidR="00CC0038" w:rsidRP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Article 2:</w:t>
      </w:r>
    </w:p>
    <w:p w14:paraId="660C996D" w14:textId="5DD9E7DB" w:rsidR="00CC0038" w:rsidRDefault="00CC0038" w:rsidP="00CC0038">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C0038">
        <w:rPr>
          <w:rFonts w:ascii="Times New Roman" w:eastAsia="Times New Roman" w:hAnsi="Times New Roman" w:cs="Times New Roman"/>
        </w:rPr>
        <w:t xml:space="preserve">This </w:t>
      </w:r>
      <w:r w:rsidR="004E19A0">
        <w:rPr>
          <w:rFonts w:ascii="Times New Roman" w:eastAsia="Times New Roman" w:hAnsi="Times New Roman" w:cs="Times New Roman"/>
        </w:rPr>
        <w:t>ar</w:t>
      </w:r>
      <w:r w:rsidRPr="00CC0038">
        <w:rPr>
          <w:rFonts w:ascii="Times New Roman" w:eastAsia="Times New Roman" w:hAnsi="Times New Roman" w:cs="Times New Roman"/>
        </w:rPr>
        <w:t>t</w:t>
      </w:r>
      <w:r w:rsidR="004E19A0">
        <w:rPr>
          <w:rFonts w:ascii="Times New Roman" w:eastAsia="Times New Roman" w:hAnsi="Times New Roman" w:cs="Times New Roman"/>
        </w:rPr>
        <w:t>icle</w:t>
      </w:r>
      <w:r w:rsidRPr="00CC0038">
        <w:rPr>
          <w:rFonts w:ascii="Times New Roman" w:eastAsia="Times New Roman" w:hAnsi="Times New Roman" w:cs="Times New Roman"/>
        </w:rPr>
        <w:t xml:space="preserve"> provides a clear picture of how sugarcane is produced and traded around the world. It explains that sugarcane supplies most of the world’s sugar and also plays a key role in biofuel production. The authors describe which countries lead in exports, where demand is rising the fastest, and the major challenges facing the sector, including price volatility, environmental concerns, and labour issues (Voora et al., 2020)</w:t>
      </w:r>
      <w:r w:rsidR="00C405B3">
        <w:rPr>
          <w:rFonts w:ascii="Times New Roman" w:eastAsia="Times New Roman" w:hAnsi="Times New Roman" w:cs="Times New Roman"/>
        </w:rPr>
        <w:t>.</w:t>
      </w:r>
    </w:p>
    <w:p w14:paraId="497B1B18" w14:textId="77777777" w:rsidR="00C405B3" w:rsidRPr="00C405B3" w:rsidRDefault="00C405B3" w:rsidP="00C405B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Article 3:</w:t>
      </w:r>
    </w:p>
    <w:p w14:paraId="2F5CA330" w14:textId="0575D19D" w:rsidR="00C405B3" w:rsidRDefault="00C405B3" w:rsidP="00C405B3">
      <w:pPr>
        <w:pStyle w:val="ListParagraph"/>
        <w:ind w:left="1440" w:hanging="720"/>
        <w:jc w:val="both"/>
        <w:rPr>
          <w:rFonts w:ascii="Times New Roman" w:eastAsia="Times New Roman" w:hAnsi="Times New Roman" w:cs="Times New Roman"/>
        </w:rPr>
      </w:pPr>
      <w:r>
        <w:rPr>
          <w:rFonts w:ascii="Times New Roman" w:eastAsia="Times New Roman" w:hAnsi="Times New Roman" w:cs="Times New Roman"/>
        </w:rPr>
        <w:t xml:space="preserve">            </w:t>
      </w:r>
      <w:r w:rsidRPr="00C405B3">
        <w:rPr>
          <w:rFonts w:ascii="Times New Roman" w:eastAsia="Times New Roman" w:hAnsi="Times New Roman" w:cs="Times New Roman"/>
        </w:rPr>
        <w:t>This study explains what influences sugar trade with the United States. It shows that import quotas play a big role, but factors like a country’s sugar production and free-trade agreements also strongly affect how much sugar is traded (Fuller &amp; Kennedy, 2019).</w:t>
      </w:r>
    </w:p>
    <w:p w14:paraId="736E185A" w14:textId="77777777" w:rsidR="00553383" w:rsidRDefault="00553383" w:rsidP="00553383">
      <w:pPr>
        <w:pStyle w:val="ListParagraph"/>
        <w:ind w:left="1440" w:hanging="720"/>
        <w:jc w:val="both"/>
        <w:rPr>
          <w:rFonts w:ascii="Times New Roman" w:eastAsia="Times New Roman" w:hAnsi="Times New Roman" w:cs="Times New Roman"/>
        </w:rPr>
      </w:pPr>
    </w:p>
    <w:p w14:paraId="2D21666E" w14:textId="77777777" w:rsidR="00AA5C86" w:rsidRDefault="00AA5C86" w:rsidP="7FBAA7B2">
      <w:pPr>
        <w:pStyle w:val="ListParagraph"/>
        <w:ind w:left="1440" w:hanging="720"/>
        <w:rPr>
          <w:rFonts w:ascii="Times New Roman" w:eastAsia="Times New Roman" w:hAnsi="Times New Roman" w:cs="Times New Roman"/>
        </w:rPr>
      </w:pPr>
    </w:p>
    <w:p w14:paraId="13395A3D" w14:textId="112E7F57"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AA3BB5">
        <w:rPr>
          <w:rFonts w:ascii="Times New Roman" w:eastAsia="Times New Roman" w:hAnsi="Times New Roman" w:cs="Times New Roman"/>
        </w:rPr>
        <w:t>.</w:t>
      </w:r>
    </w:p>
    <w:p w14:paraId="5785B9C2" w14:textId="0976AC5D" w:rsidR="00AA3BB5" w:rsidRDefault="00AA3BB5" w:rsidP="00AA3BB5">
      <w:pPr>
        <w:pStyle w:val="ListParagraph"/>
        <w:ind w:left="1440"/>
        <w:jc w:val="both"/>
        <w:rPr>
          <w:rFonts w:ascii="Times New Roman" w:eastAsia="Times New Roman" w:hAnsi="Times New Roman" w:cs="Times New Roman"/>
        </w:rPr>
      </w:pPr>
      <w:r w:rsidRPr="00AA3BB5">
        <w:rPr>
          <w:rFonts w:ascii="Times New Roman" w:eastAsia="Times New Roman" w:hAnsi="Times New Roman" w:cs="Times New Roman"/>
        </w:rPr>
        <w:t>The research question is interested because most research on the global sugar market focuses on production trends, trade policies, sustainability rules, or what affects trade between countries. However, there is little direct analysis of how changes in global sugar production are linked to export volumes over time. Looking at this relationship helps explain how extra sugar supplies are moved through international markets. This study fills that gap and can also support future research on country-level patterns, price changes, and sustainability issues (KOVALENKO et al., 2021).</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AA5CB45" w14:textId="44CE147A" w:rsidR="7FBAA7B2" w:rsidRPr="00CF1042" w:rsidRDefault="5D5E0517" w:rsidP="00CB03A2">
      <w:pPr>
        <w:pStyle w:val="ListParagraph"/>
        <w:numPr>
          <w:ilvl w:val="1"/>
          <w:numId w:val="32"/>
        </w:numPr>
        <w:ind w:hanging="720"/>
        <w:rPr>
          <w:rFonts w:ascii="Times New Roman" w:eastAsia="Times New Roman" w:hAnsi="Times New Roman" w:cs="Times New Roman"/>
          <w:i/>
          <w:iCs/>
        </w:rPr>
      </w:pPr>
      <w:r w:rsidRPr="000401DA">
        <w:rPr>
          <w:rFonts w:ascii="Times New Roman" w:eastAsia="Times New Roman" w:hAnsi="Times New Roman" w:cs="Times New Roman"/>
        </w:rPr>
        <w:t xml:space="preserve">Appropriate </w:t>
      </w:r>
      <w:r w:rsidR="00CF2D90" w:rsidRPr="000401DA">
        <w:rPr>
          <w:rFonts w:ascii="Times New Roman" w:eastAsia="Times New Roman" w:hAnsi="Times New Roman" w:cs="Times New Roman"/>
        </w:rPr>
        <w:t>graphs</w:t>
      </w:r>
      <w:r w:rsidRPr="000401DA">
        <w:rPr>
          <w:rFonts w:ascii="Times New Roman" w:eastAsia="Times New Roman" w:hAnsi="Times New Roman" w:cs="Times New Roman"/>
        </w:rPr>
        <w:t xml:space="preserve"> for the RQ </w:t>
      </w:r>
    </w:p>
    <w:p w14:paraId="1E5BF734" w14:textId="77777777" w:rsidR="00CF1042" w:rsidRDefault="00CF1042" w:rsidP="00CF1042">
      <w:pPr>
        <w:pStyle w:val="ListParagraph"/>
        <w:ind w:left="1440"/>
        <w:rPr>
          <w:rFonts w:ascii="Times New Roman" w:eastAsia="Times New Roman" w:hAnsi="Times New Roman" w:cs="Times New Roman"/>
          <w:i/>
          <w:iCs/>
        </w:rPr>
      </w:pPr>
    </w:p>
    <w:p w14:paraId="40BF3451" w14:textId="77E878EA" w:rsidR="000401DA" w:rsidRDefault="00CF1042" w:rsidP="000401DA">
      <w:pPr>
        <w:ind w:left="1440"/>
        <w:rPr>
          <w:rFonts w:ascii="Times New Roman" w:eastAsia="Times New Roman" w:hAnsi="Times New Roman" w:cs="Times New Roman"/>
        </w:rPr>
      </w:pPr>
      <w:r w:rsidRPr="00CF1042">
        <w:rPr>
          <w:rFonts w:ascii="Times New Roman" w:eastAsia="Times New Roman" w:hAnsi="Times New Roman" w:cs="Times New Roman"/>
        </w:rPr>
        <w:t>The scatterplot is used because it shows, in a single picture, how export volumes change as production changes for each year. The two histograms are helpful because they show the overall shape and spread of production and export values, making it easier to understand the data before interpreting the scatterplot.</w:t>
      </w:r>
    </w:p>
    <w:p w14:paraId="752230AD" w14:textId="77777777" w:rsidR="00CF1042" w:rsidRDefault="00CF1042" w:rsidP="00CF1042">
      <w:pPr>
        <w:keepNext/>
        <w:ind w:left="1440"/>
      </w:pPr>
      <w:r w:rsidRPr="001B5F7A">
        <w:rPr>
          <w:rFonts w:ascii="Times" w:eastAsia="Times New Roman" w:hAnsi="Times" w:cstheme="minorHAnsi"/>
          <w:noProof/>
          <w:lang w:val="en-US"/>
        </w:rPr>
        <w:lastRenderedPageBreak/>
        <w:drawing>
          <wp:inline distT="0" distB="0" distL="0" distR="0" wp14:anchorId="5AFF449F" wp14:editId="66BA61D7">
            <wp:extent cx="5204460" cy="4000500"/>
            <wp:effectExtent l="0" t="0" r="0" b="0"/>
            <wp:docPr id="3" name="Picture 3" descr="C:\Users\iamta\Downloads\scatter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iamta\Downloads\scatterplot.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04460" cy="4000500"/>
                    </a:xfrm>
                    <a:prstGeom prst="rect">
                      <a:avLst/>
                    </a:prstGeom>
                    <a:noFill/>
                    <a:ln>
                      <a:noFill/>
                    </a:ln>
                  </pic:spPr>
                </pic:pic>
              </a:graphicData>
            </a:graphic>
          </wp:inline>
        </w:drawing>
      </w:r>
    </w:p>
    <w:p w14:paraId="05206B2A" w14:textId="333903D8" w:rsidR="00CF1042" w:rsidRDefault="00CF1042" w:rsidP="00CF1042">
      <w:pPr>
        <w:pStyle w:val="Caption"/>
        <w:jc w:val="both"/>
        <w:rPr>
          <w:rFonts w:ascii="Times New Roman" w:hAnsi="Times New Roman" w:cs="Times New Roman"/>
          <w:b/>
          <w:bCs/>
          <w:i w:val="0"/>
          <w:iCs w:val="0"/>
          <w:color w:val="000000" w:themeColor="text1"/>
          <w:sz w:val="22"/>
          <w:szCs w:val="22"/>
        </w:rPr>
      </w:pPr>
      <w:r>
        <w:rPr>
          <w:i w:val="0"/>
          <w:iCs w:val="0"/>
        </w:rPr>
        <w:t xml:space="preserve">                                                                                              </w:t>
      </w:r>
      <w:r w:rsidRPr="00CF1042">
        <w:rPr>
          <w:rFonts w:ascii="Times New Roman" w:hAnsi="Times New Roman" w:cs="Times New Roman"/>
          <w:b/>
          <w:bCs/>
          <w:i w:val="0"/>
          <w:iCs w:val="0"/>
          <w:color w:val="000000" w:themeColor="text1"/>
          <w:sz w:val="22"/>
          <w:szCs w:val="22"/>
        </w:rPr>
        <w:t xml:space="preserve">Figure </w:t>
      </w:r>
      <w:r w:rsidRPr="00CF1042">
        <w:rPr>
          <w:rFonts w:ascii="Times New Roman" w:hAnsi="Times New Roman" w:cs="Times New Roman"/>
          <w:b/>
          <w:bCs/>
          <w:i w:val="0"/>
          <w:iCs w:val="0"/>
          <w:color w:val="000000" w:themeColor="text1"/>
          <w:sz w:val="22"/>
          <w:szCs w:val="22"/>
        </w:rPr>
        <w:fldChar w:fldCharType="begin"/>
      </w:r>
      <w:r w:rsidRPr="00CF1042">
        <w:rPr>
          <w:rFonts w:ascii="Times New Roman" w:hAnsi="Times New Roman" w:cs="Times New Roman"/>
          <w:b/>
          <w:bCs/>
          <w:i w:val="0"/>
          <w:iCs w:val="0"/>
          <w:color w:val="000000" w:themeColor="text1"/>
          <w:sz w:val="22"/>
          <w:szCs w:val="22"/>
        </w:rPr>
        <w:instrText xml:space="preserve"> SEQ Figure \* ARABIC </w:instrText>
      </w:r>
      <w:r w:rsidRPr="00CF1042">
        <w:rPr>
          <w:rFonts w:ascii="Times New Roman" w:hAnsi="Times New Roman" w:cs="Times New Roman"/>
          <w:b/>
          <w:bCs/>
          <w:i w:val="0"/>
          <w:iCs w:val="0"/>
          <w:color w:val="000000" w:themeColor="text1"/>
          <w:sz w:val="22"/>
          <w:szCs w:val="22"/>
        </w:rPr>
        <w:fldChar w:fldCharType="separate"/>
      </w:r>
      <w:r w:rsidR="00666934">
        <w:rPr>
          <w:rFonts w:ascii="Times New Roman" w:hAnsi="Times New Roman" w:cs="Times New Roman"/>
          <w:b/>
          <w:bCs/>
          <w:i w:val="0"/>
          <w:iCs w:val="0"/>
          <w:noProof/>
          <w:color w:val="000000" w:themeColor="text1"/>
          <w:sz w:val="22"/>
          <w:szCs w:val="22"/>
        </w:rPr>
        <w:t>1</w:t>
      </w:r>
      <w:r w:rsidRPr="00CF1042">
        <w:rPr>
          <w:rFonts w:ascii="Times New Roman" w:hAnsi="Times New Roman" w:cs="Times New Roman"/>
          <w:b/>
          <w:bCs/>
          <w:i w:val="0"/>
          <w:iCs w:val="0"/>
          <w:color w:val="000000" w:themeColor="text1"/>
          <w:sz w:val="22"/>
          <w:szCs w:val="22"/>
        </w:rPr>
        <w:fldChar w:fldCharType="end"/>
      </w:r>
      <w:r w:rsidRPr="00CF1042">
        <w:rPr>
          <w:rFonts w:ascii="Times New Roman" w:hAnsi="Times New Roman" w:cs="Times New Roman"/>
          <w:b/>
          <w:bCs/>
          <w:i w:val="0"/>
          <w:iCs w:val="0"/>
          <w:color w:val="000000" w:themeColor="text1"/>
          <w:sz w:val="22"/>
          <w:szCs w:val="22"/>
        </w:rPr>
        <w:t xml:space="preserve"> Scatterplot of Global Production vs Export</w:t>
      </w:r>
    </w:p>
    <w:p w14:paraId="15276F23" w14:textId="77777777" w:rsidR="00CF1042" w:rsidRDefault="00CF1042" w:rsidP="00CF1042">
      <w:pPr>
        <w:keepNext/>
      </w:pPr>
      <w:r>
        <w:lastRenderedPageBreak/>
        <w:t xml:space="preserve">                              </w:t>
      </w:r>
      <w:r>
        <w:rPr>
          <w:noProof/>
          <w:lang w:val="en-US"/>
        </w:rPr>
        <w:drawing>
          <wp:inline distT="0" distB="0" distL="0" distR="0" wp14:anchorId="120D3F14" wp14:editId="08B3555A">
            <wp:extent cx="4572000" cy="4183380"/>
            <wp:effectExtent l="0" t="0" r="0" b="7620"/>
            <wp:docPr id="140097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76967" name="Picture 1400976967"/>
                    <pic:cNvPicPr/>
                  </pic:nvPicPr>
                  <pic:blipFill>
                    <a:blip r:embed="rId8">
                      <a:extLst>
                        <a:ext uri="{28A0092B-C50C-407E-A947-70E740481C1C}">
                          <a14:useLocalDpi xmlns:a14="http://schemas.microsoft.com/office/drawing/2010/main" val="0"/>
                        </a:ext>
                      </a:extLst>
                    </a:blip>
                    <a:stretch>
                      <a:fillRect/>
                    </a:stretch>
                  </pic:blipFill>
                  <pic:spPr>
                    <a:xfrm>
                      <a:off x="0" y="0"/>
                      <a:ext cx="4572000" cy="4183380"/>
                    </a:xfrm>
                    <a:prstGeom prst="rect">
                      <a:avLst/>
                    </a:prstGeom>
                  </pic:spPr>
                </pic:pic>
              </a:graphicData>
            </a:graphic>
          </wp:inline>
        </w:drawing>
      </w:r>
    </w:p>
    <w:p w14:paraId="3056485B" w14:textId="30D4E3D0" w:rsidR="00CF1042" w:rsidRPr="00CF1042" w:rsidRDefault="00CF1042" w:rsidP="00666934">
      <w:pPr>
        <w:pStyle w:val="Caption"/>
        <w:jc w:val="both"/>
        <w:rPr>
          <w:rFonts w:ascii="Times New Roman" w:hAnsi="Times New Roman" w:cs="Times New Roman"/>
          <w:b/>
          <w:bCs/>
          <w:i w:val="0"/>
          <w:iCs w:val="0"/>
          <w:color w:val="000000" w:themeColor="text1"/>
          <w:sz w:val="22"/>
          <w:szCs w:val="22"/>
        </w:rPr>
      </w:pPr>
      <w:r>
        <w:rPr>
          <w:rFonts w:ascii="Times New Roman" w:hAnsi="Times New Roman" w:cs="Times New Roman"/>
          <w:b/>
          <w:bCs/>
          <w:i w:val="0"/>
          <w:iCs w:val="0"/>
          <w:color w:val="000000" w:themeColor="text1"/>
          <w:sz w:val="22"/>
          <w:szCs w:val="22"/>
        </w:rPr>
        <w:t xml:space="preserve">                                                                   </w:t>
      </w:r>
      <w:r w:rsidRPr="00CF1042">
        <w:rPr>
          <w:rFonts w:ascii="Times New Roman" w:hAnsi="Times New Roman" w:cs="Times New Roman"/>
          <w:b/>
          <w:bCs/>
          <w:i w:val="0"/>
          <w:iCs w:val="0"/>
          <w:color w:val="000000" w:themeColor="text1"/>
          <w:sz w:val="22"/>
          <w:szCs w:val="22"/>
        </w:rPr>
        <w:t xml:space="preserve">Figure </w:t>
      </w:r>
      <w:r w:rsidRPr="00CF1042">
        <w:rPr>
          <w:rFonts w:ascii="Times New Roman" w:hAnsi="Times New Roman" w:cs="Times New Roman"/>
          <w:b/>
          <w:bCs/>
          <w:i w:val="0"/>
          <w:iCs w:val="0"/>
          <w:color w:val="000000" w:themeColor="text1"/>
          <w:sz w:val="22"/>
          <w:szCs w:val="22"/>
        </w:rPr>
        <w:fldChar w:fldCharType="begin"/>
      </w:r>
      <w:r w:rsidRPr="00CF1042">
        <w:rPr>
          <w:rFonts w:ascii="Times New Roman" w:hAnsi="Times New Roman" w:cs="Times New Roman"/>
          <w:b/>
          <w:bCs/>
          <w:i w:val="0"/>
          <w:iCs w:val="0"/>
          <w:color w:val="000000" w:themeColor="text1"/>
          <w:sz w:val="22"/>
          <w:szCs w:val="22"/>
        </w:rPr>
        <w:instrText xml:space="preserve"> SEQ Figure \* ARABIC </w:instrText>
      </w:r>
      <w:r w:rsidRPr="00CF1042">
        <w:rPr>
          <w:rFonts w:ascii="Times New Roman" w:hAnsi="Times New Roman" w:cs="Times New Roman"/>
          <w:b/>
          <w:bCs/>
          <w:i w:val="0"/>
          <w:iCs w:val="0"/>
          <w:color w:val="000000" w:themeColor="text1"/>
          <w:sz w:val="22"/>
          <w:szCs w:val="22"/>
        </w:rPr>
        <w:fldChar w:fldCharType="separate"/>
      </w:r>
      <w:r w:rsidR="00666934">
        <w:rPr>
          <w:rFonts w:ascii="Times New Roman" w:hAnsi="Times New Roman" w:cs="Times New Roman"/>
          <w:b/>
          <w:bCs/>
          <w:i w:val="0"/>
          <w:iCs w:val="0"/>
          <w:noProof/>
          <w:color w:val="000000" w:themeColor="text1"/>
          <w:sz w:val="22"/>
          <w:szCs w:val="22"/>
        </w:rPr>
        <w:t>2</w:t>
      </w:r>
      <w:r w:rsidRPr="00CF1042">
        <w:rPr>
          <w:rFonts w:ascii="Times New Roman" w:hAnsi="Times New Roman" w:cs="Times New Roman"/>
          <w:b/>
          <w:bCs/>
          <w:i w:val="0"/>
          <w:iCs w:val="0"/>
          <w:color w:val="000000" w:themeColor="text1"/>
          <w:sz w:val="22"/>
          <w:szCs w:val="22"/>
        </w:rPr>
        <w:fldChar w:fldCharType="end"/>
      </w:r>
      <w:r w:rsidRPr="00CF1042">
        <w:rPr>
          <w:rFonts w:ascii="Times New Roman" w:hAnsi="Times New Roman" w:cs="Times New Roman"/>
          <w:b/>
          <w:bCs/>
          <w:i w:val="0"/>
          <w:iCs w:val="0"/>
          <w:color w:val="000000" w:themeColor="text1"/>
          <w:sz w:val="22"/>
          <w:szCs w:val="22"/>
        </w:rPr>
        <w:t xml:space="preserve">  Histogram of Global Export</w:t>
      </w:r>
    </w:p>
    <w:p w14:paraId="7E00DB7B" w14:textId="77777777" w:rsidR="00666934" w:rsidRDefault="00666934" w:rsidP="00666934">
      <w:pPr>
        <w:pStyle w:val="Caption"/>
        <w:keepNext/>
      </w:pPr>
      <w:r>
        <w:lastRenderedPageBreak/>
        <w:t xml:space="preserve">                             </w:t>
      </w:r>
      <w:r>
        <w:rPr>
          <w:noProof/>
          <w:lang w:val="en-US"/>
        </w:rPr>
        <w:drawing>
          <wp:inline distT="0" distB="0" distL="0" distR="0" wp14:anchorId="6324FAA4" wp14:editId="33E4B65C">
            <wp:extent cx="4572000" cy="4572000"/>
            <wp:effectExtent l="0" t="0" r="0" b="0"/>
            <wp:docPr id="1805277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277504" name="Picture 1805277504"/>
                    <pic:cNvPicPr/>
                  </pic:nvPicPr>
                  <pic:blipFill>
                    <a:blip r:embed="rId9">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p>
    <w:p w14:paraId="6E283025" w14:textId="14ADF4A3" w:rsidR="00CF1042" w:rsidRPr="00666934" w:rsidRDefault="00666934" w:rsidP="00666934">
      <w:pPr>
        <w:pStyle w:val="Caption"/>
        <w:rPr>
          <w:rFonts w:ascii="Times New Roman" w:hAnsi="Times New Roman" w:cs="Times New Roman"/>
          <w:b/>
          <w:bCs/>
          <w:i w:val="0"/>
          <w:iCs w:val="0"/>
          <w:color w:val="000000" w:themeColor="text1"/>
          <w:sz w:val="22"/>
          <w:szCs w:val="22"/>
        </w:rPr>
      </w:pPr>
      <w:r>
        <w:rPr>
          <w:rFonts w:ascii="Times New Roman" w:hAnsi="Times New Roman" w:cs="Times New Roman"/>
          <w:b/>
          <w:bCs/>
          <w:i w:val="0"/>
          <w:iCs w:val="0"/>
          <w:color w:val="000000" w:themeColor="text1"/>
          <w:sz w:val="22"/>
          <w:szCs w:val="22"/>
        </w:rPr>
        <w:t xml:space="preserve">                                                  </w:t>
      </w:r>
      <w:r w:rsidRPr="00666934">
        <w:rPr>
          <w:rFonts w:ascii="Times New Roman" w:hAnsi="Times New Roman" w:cs="Times New Roman"/>
          <w:b/>
          <w:bCs/>
          <w:i w:val="0"/>
          <w:iCs w:val="0"/>
          <w:color w:val="000000" w:themeColor="text1"/>
          <w:sz w:val="22"/>
          <w:szCs w:val="22"/>
        </w:rPr>
        <w:t xml:space="preserve">Figure </w:t>
      </w:r>
      <w:r w:rsidRPr="00666934">
        <w:rPr>
          <w:rFonts w:ascii="Times New Roman" w:hAnsi="Times New Roman" w:cs="Times New Roman"/>
          <w:b/>
          <w:bCs/>
          <w:i w:val="0"/>
          <w:iCs w:val="0"/>
          <w:color w:val="000000" w:themeColor="text1"/>
          <w:sz w:val="22"/>
          <w:szCs w:val="22"/>
        </w:rPr>
        <w:fldChar w:fldCharType="begin"/>
      </w:r>
      <w:r w:rsidRPr="00666934">
        <w:rPr>
          <w:rFonts w:ascii="Times New Roman" w:hAnsi="Times New Roman" w:cs="Times New Roman"/>
          <w:b/>
          <w:bCs/>
          <w:i w:val="0"/>
          <w:iCs w:val="0"/>
          <w:color w:val="000000" w:themeColor="text1"/>
          <w:sz w:val="22"/>
          <w:szCs w:val="22"/>
        </w:rPr>
        <w:instrText xml:space="preserve"> SEQ Figure \* ARABIC </w:instrText>
      </w:r>
      <w:r w:rsidRPr="00666934">
        <w:rPr>
          <w:rFonts w:ascii="Times New Roman" w:hAnsi="Times New Roman" w:cs="Times New Roman"/>
          <w:b/>
          <w:bCs/>
          <w:i w:val="0"/>
          <w:iCs w:val="0"/>
          <w:color w:val="000000" w:themeColor="text1"/>
          <w:sz w:val="22"/>
          <w:szCs w:val="22"/>
        </w:rPr>
        <w:fldChar w:fldCharType="separate"/>
      </w:r>
      <w:r w:rsidRPr="00666934">
        <w:rPr>
          <w:rFonts w:ascii="Times New Roman" w:hAnsi="Times New Roman" w:cs="Times New Roman"/>
          <w:b/>
          <w:bCs/>
          <w:i w:val="0"/>
          <w:iCs w:val="0"/>
          <w:noProof/>
          <w:color w:val="000000" w:themeColor="text1"/>
          <w:sz w:val="22"/>
          <w:szCs w:val="22"/>
        </w:rPr>
        <w:t>3</w:t>
      </w:r>
      <w:r w:rsidRPr="00666934">
        <w:rPr>
          <w:rFonts w:ascii="Times New Roman" w:hAnsi="Times New Roman" w:cs="Times New Roman"/>
          <w:b/>
          <w:bCs/>
          <w:i w:val="0"/>
          <w:iCs w:val="0"/>
          <w:color w:val="000000" w:themeColor="text1"/>
          <w:sz w:val="22"/>
          <w:szCs w:val="22"/>
        </w:rPr>
        <w:fldChar w:fldCharType="end"/>
      </w:r>
      <w:r w:rsidRPr="00666934">
        <w:rPr>
          <w:rFonts w:ascii="Times New Roman" w:hAnsi="Times New Roman" w:cs="Times New Roman"/>
          <w:b/>
          <w:bCs/>
          <w:i w:val="0"/>
          <w:iCs w:val="0"/>
          <w:color w:val="000000" w:themeColor="text1"/>
          <w:sz w:val="22"/>
          <w:szCs w:val="22"/>
        </w:rPr>
        <w:t xml:space="preserve"> Histogram of Global Production</w:t>
      </w:r>
    </w:p>
    <w:p w14:paraId="424BD259" w14:textId="4975D39B" w:rsidR="000401DA" w:rsidRPr="000401DA" w:rsidRDefault="000401DA" w:rsidP="000401DA">
      <w:pPr>
        <w:pStyle w:val="ListParagraph"/>
        <w:ind w:left="1440"/>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6DF24E0"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bookmarkStart w:id="0" w:name="_GoBack"/>
      <w:bookmarkEnd w:id="0"/>
    </w:p>
    <w:p w14:paraId="6BEEF60F" w14:textId="77777777" w:rsidR="0099493C" w:rsidRDefault="0099493C" w:rsidP="0099493C">
      <w:pPr>
        <w:pStyle w:val="ListParagraph"/>
        <w:shd w:val="clear" w:color="auto" w:fill="FFFFFF"/>
        <w:spacing w:before="120" w:after="160" w:line="235" w:lineRule="atLeast"/>
        <w:rPr>
          <w:rFonts w:ascii="Calibri" w:eastAsia="Times New Roman" w:hAnsi="Calibri" w:cs="Calibri"/>
          <w:color w:val="222222"/>
          <w:kern w:val="0"/>
          <w:sz w:val="22"/>
          <w:szCs w:val="22"/>
          <w:lang/>
          <w14:ligatures w14:val="none"/>
        </w:rPr>
      </w:pPr>
    </w:p>
    <w:p w14:paraId="693C773A" w14:textId="074B39A4" w:rsidR="0099493C" w:rsidRPr="0099493C" w:rsidRDefault="0099493C" w:rsidP="0099493C">
      <w:pPr>
        <w:pStyle w:val="ListParagraph"/>
        <w:shd w:val="clear" w:color="auto" w:fill="FFFFFF"/>
        <w:spacing w:before="120" w:after="160" w:line="235" w:lineRule="atLeast"/>
        <w:jc w:val="both"/>
        <w:rPr>
          <w:rFonts w:ascii="Times New Roman" w:eastAsia="Times New Roman" w:hAnsi="Times New Roman" w:cs="Times New Roman"/>
        </w:rPr>
      </w:pPr>
      <w:r w:rsidRPr="0099493C">
        <w:rPr>
          <w:rFonts w:ascii="Times New Roman" w:eastAsia="Times New Roman" w:hAnsi="Times New Roman" w:cs="Times New Roman"/>
        </w:rPr>
        <w:t>The production histogram shows six yearly production totals between roughly 335,000 and 380,000, with most years in the mid</w:t>
      </w:r>
      <w:r w:rsidRPr="0099493C">
        <w:rPr>
          <w:rFonts w:ascii="Times New Roman" w:eastAsia="Times New Roman" w:hAnsi="Times New Roman" w:cs="Times New Roman"/>
        </w:rPr>
        <w:noBreakHyphen/>
        <w:t>350,000s to mid</w:t>
      </w:r>
      <w:r w:rsidRPr="0099493C">
        <w:rPr>
          <w:rFonts w:ascii="Times New Roman" w:eastAsia="Times New Roman" w:hAnsi="Times New Roman" w:cs="Times New Roman"/>
        </w:rPr>
        <w:noBreakHyphen/>
        <w:t>360,000s. The export histogram shows six export totals from about 105,000 to 145,000, with most around 120,000–135,000. The scatter plot combines these pairs: each dot is one year, linking its production value on the x</w:t>
      </w:r>
      <w:r w:rsidRPr="0099493C">
        <w:rPr>
          <w:rFonts w:ascii="Times New Roman" w:eastAsia="Times New Roman" w:hAnsi="Times New Roman" w:cs="Times New Roman"/>
        </w:rPr>
        <w:noBreakHyphen/>
        <w:t>axis to its export value on the y</w:t>
      </w:r>
      <w:r w:rsidRPr="0099493C">
        <w:rPr>
          <w:rFonts w:ascii="Times New Roman" w:eastAsia="Times New Roman" w:hAnsi="Times New Roman" w:cs="Times New Roman"/>
        </w:rPr>
        <w:noBreakHyphen/>
        <w:t>axis, and the upward green line shows that higher production years are generally also higher</w:t>
      </w:r>
      <w:r w:rsidRPr="0099493C">
        <w:rPr>
          <w:rFonts w:ascii="Times New Roman" w:eastAsia="Times New Roman" w:hAnsi="Times New Roman" w:cs="Times New Roman"/>
        </w:rPr>
        <w:noBreakHyphen/>
        <w:t>export years.</w:t>
      </w:r>
    </w:p>
    <w:p w14:paraId="4A37AFFC" w14:textId="7AB61865" w:rsidR="75C3D8EA" w:rsidRDefault="75C3D8EA" w:rsidP="0099493C">
      <w:pPr>
        <w:pStyle w:val="ListParagraph"/>
        <w:ind w:left="1800"/>
        <w:rPr>
          <w:rFonts w:ascii="Times New Roman" w:eastAsia="Times New Roman" w:hAnsi="Times New Roman" w:cs="Times New Roman"/>
          <w:i/>
          <w:iCs/>
          <w:highlight w:val="yellow"/>
        </w:rPr>
      </w:pPr>
    </w:p>
    <w:p w14:paraId="74320456" w14:textId="59E7E21F" w:rsidR="7FBAA7B2" w:rsidRDefault="0099493C" w:rsidP="7FBAA7B2">
      <w:pPr>
        <w:pStyle w:val="ListParagraph"/>
        <w:rPr>
          <w:rFonts w:ascii="Times New Roman" w:eastAsia="Times New Roman" w:hAnsi="Times New Roman" w:cs="Times New Roman"/>
        </w:rPr>
      </w:pPr>
      <w:r>
        <w:rPr>
          <w:rFonts w:ascii="Times New Roman" w:eastAsia="Times New Roman" w:hAnsi="Times New Roman" w:cs="Times New Roman"/>
        </w:rPr>
        <w:softHyphen/>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80C16DC" w14:textId="77777777" w:rsidR="002C071C" w:rsidRDefault="002C071C" w:rsidP="000F7A9B">
      <w:r>
        <w:separator/>
      </w:r>
    </w:p>
  </w:endnote>
  <w:endnote w:type="continuationSeparator" w:id="0">
    <w:p w14:paraId="0EE0E567" w14:textId="77777777" w:rsidR="002C071C" w:rsidRDefault="002C071C" w:rsidP="000F7A9B">
      <w:r>
        <w:continuationSeparator/>
      </w:r>
    </w:p>
  </w:endnote>
  <w:endnote w:type="continuationNotice" w:id="1">
    <w:p w14:paraId="373765E9" w14:textId="77777777" w:rsidR="002C071C" w:rsidRDefault="002C071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PageNumber"/>
      </w:rPr>
      <w:id w:val="-1249032875"/>
      <w:docPartObj>
        <w:docPartGallery w:val="Page Numbers (Bottom of Page)"/>
        <w:docPartUnique/>
      </w:docPartObj>
    </w:sdtPr>
    <w:sdtEndPr>
      <w:rPr>
        <w:rStyle w:val="PageNumber"/>
      </w:rPr>
    </w:sdtEndPr>
    <w:sdtContent>
      <w:p w14:paraId="1C7FA141" w14:textId="5AB66EC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04195">
          <w:rPr>
            <w:rStyle w:val="PageNumber"/>
            <w:noProof/>
          </w:rPr>
          <w:t>8</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E7E4803" w14:textId="77777777" w:rsidR="002C071C" w:rsidRDefault="002C071C" w:rsidP="000F7A9B">
      <w:r>
        <w:separator/>
      </w:r>
    </w:p>
  </w:footnote>
  <w:footnote w:type="continuationSeparator" w:id="0">
    <w:p w14:paraId="303C1683" w14:textId="77777777" w:rsidR="002C071C" w:rsidRDefault="002C071C" w:rsidP="000F7A9B">
      <w:r>
        <w:continuationSeparator/>
      </w:r>
    </w:p>
  </w:footnote>
  <w:footnote w:type="continuationNotice" w:id="1">
    <w:p w14:paraId="6B9A7985" w14:textId="77777777" w:rsidR="002C071C" w:rsidRDefault="002C071C"/>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7"/>
  </w:num>
  <w:num w:numId="2">
    <w:abstractNumId w:val="0"/>
  </w:num>
  <w:num w:numId="3">
    <w:abstractNumId w:val="8"/>
  </w:num>
  <w:num w:numId="4">
    <w:abstractNumId w:val="28"/>
  </w:num>
  <w:num w:numId="5">
    <w:abstractNumId w:val="18"/>
  </w:num>
  <w:num w:numId="6">
    <w:abstractNumId w:val="10"/>
  </w:num>
  <w:num w:numId="7">
    <w:abstractNumId w:val="30"/>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5"/>
  </w:num>
  <w:num w:numId="26">
    <w:abstractNumId w:val="2"/>
  </w:num>
  <w:num w:numId="27">
    <w:abstractNumId w:val="12"/>
  </w:num>
  <w:num w:numId="28">
    <w:abstractNumId w:val="26"/>
  </w:num>
  <w:num w:numId="29">
    <w:abstractNumId w:val="32"/>
  </w:num>
  <w:num w:numId="30">
    <w:abstractNumId w:val="29"/>
  </w:num>
  <w:num w:numId="31">
    <w:abstractNumId w:val="21"/>
  </w:num>
  <w:num w:numId="32">
    <w:abstractNumId w:val="31"/>
  </w:num>
  <w:num w:numId="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4"/>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50CF"/>
    <w:rsid w:val="00020D50"/>
    <w:rsid w:val="00023E52"/>
    <w:rsid w:val="000401DA"/>
    <w:rsid w:val="00075040"/>
    <w:rsid w:val="000D1AF0"/>
    <w:rsid w:val="000F035A"/>
    <w:rsid w:val="000F5825"/>
    <w:rsid w:val="000F7A9B"/>
    <w:rsid w:val="00104195"/>
    <w:rsid w:val="00115097"/>
    <w:rsid w:val="00125225"/>
    <w:rsid w:val="00132622"/>
    <w:rsid w:val="00154D95"/>
    <w:rsid w:val="00161399"/>
    <w:rsid w:val="00164848"/>
    <w:rsid w:val="0017345F"/>
    <w:rsid w:val="00186000"/>
    <w:rsid w:val="001971F1"/>
    <w:rsid w:val="001F282A"/>
    <w:rsid w:val="0021180A"/>
    <w:rsid w:val="00230C42"/>
    <w:rsid w:val="00253CA7"/>
    <w:rsid w:val="002647FF"/>
    <w:rsid w:val="002876A1"/>
    <w:rsid w:val="002A135E"/>
    <w:rsid w:val="002A3C39"/>
    <w:rsid w:val="002B1352"/>
    <w:rsid w:val="002C071C"/>
    <w:rsid w:val="002C602E"/>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97EC8"/>
    <w:rsid w:val="004D285C"/>
    <w:rsid w:val="004E19A0"/>
    <w:rsid w:val="004E74FD"/>
    <w:rsid w:val="004F0EA2"/>
    <w:rsid w:val="004F6AF2"/>
    <w:rsid w:val="00544349"/>
    <w:rsid w:val="00553383"/>
    <w:rsid w:val="00563ABA"/>
    <w:rsid w:val="005C0287"/>
    <w:rsid w:val="005C56CD"/>
    <w:rsid w:val="005E431C"/>
    <w:rsid w:val="005E65FE"/>
    <w:rsid w:val="005E6DCD"/>
    <w:rsid w:val="0060489D"/>
    <w:rsid w:val="00637EB8"/>
    <w:rsid w:val="00666934"/>
    <w:rsid w:val="006911B0"/>
    <w:rsid w:val="00695C53"/>
    <w:rsid w:val="006D24B0"/>
    <w:rsid w:val="006E14BD"/>
    <w:rsid w:val="00702B37"/>
    <w:rsid w:val="0076627F"/>
    <w:rsid w:val="007749BF"/>
    <w:rsid w:val="007919F5"/>
    <w:rsid w:val="007C4D85"/>
    <w:rsid w:val="007E5960"/>
    <w:rsid w:val="008045F2"/>
    <w:rsid w:val="00812B72"/>
    <w:rsid w:val="0084182B"/>
    <w:rsid w:val="0084254D"/>
    <w:rsid w:val="00846C6A"/>
    <w:rsid w:val="00882D92"/>
    <w:rsid w:val="008938DA"/>
    <w:rsid w:val="00893DDB"/>
    <w:rsid w:val="008B6212"/>
    <w:rsid w:val="008C1BCD"/>
    <w:rsid w:val="008E2DF2"/>
    <w:rsid w:val="00916B8B"/>
    <w:rsid w:val="009279F0"/>
    <w:rsid w:val="00953C8E"/>
    <w:rsid w:val="009614ED"/>
    <w:rsid w:val="00971D38"/>
    <w:rsid w:val="0099493C"/>
    <w:rsid w:val="009A4C41"/>
    <w:rsid w:val="009C0DCB"/>
    <w:rsid w:val="009C2821"/>
    <w:rsid w:val="009E4512"/>
    <w:rsid w:val="009F760B"/>
    <w:rsid w:val="00A315D2"/>
    <w:rsid w:val="00A508EB"/>
    <w:rsid w:val="00A766EC"/>
    <w:rsid w:val="00A851A2"/>
    <w:rsid w:val="00AA3BB5"/>
    <w:rsid w:val="00AA5C86"/>
    <w:rsid w:val="00B3092F"/>
    <w:rsid w:val="00B34F0E"/>
    <w:rsid w:val="00B66084"/>
    <w:rsid w:val="00B70B58"/>
    <w:rsid w:val="00B775F1"/>
    <w:rsid w:val="00B97D7C"/>
    <w:rsid w:val="00BC47D0"/>
    <w:rsid w:val="00BC4CBB"/>
    <w:rsid w:val="00BC4DE6"/>
    <w:rsid w:val="00C1477A"/>
    <w:rsid w:val="00C32043"/>
    <w:rsid w:val="00C3563B"/>
    <w:rsid w:val="00C405B3"/>
    <w:rsid w:val="00C46A88"/>
    <w:rsid w:val="00C60F51"/>
    <w:rsid w:val="00C825A1"/>
    <w:rsid w:val="00CA7E3A"/>
    <w:rsid w:val="00CB63C7"/>
    <w:rsid w:val="00CC0038"/>
    <w:rsid w:val="00CD56D6"/>
    <w:rsid w:val="00CD679F"/>
    <w:rsid w:val="00CF1042"/>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743C"/>
    <w:rsid w:val="00E7239C"/>
    <w:rsid w:val="00E82355"/>
    <w:rsid w:val="00EB4177"/>
    <w:rsid w:val="00EC1844"/>
    <w:rsid w:val="00ED30FE"/>
    <w:rsid w:val="00EE47A2"/>
    <w:rsid w:val="00EF2269"/>
    <w:rsid w:val="00F0288F"/>
    <w:rsid w:val="00F06F16"/>
    <w:rsid w:val="00F270E1"/>
    <w:rsid w:val="00F3547D"/>
    <w:rsid w:val="00F62C38"/>
    <w:rsid w:val="00F66B0C"/>
    <w:rsid w:val="00F96DB0"/>
    <w:rsid w:val="00FB2511"/>
    <w:rsid w:val="00FD1D6C"/>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
    <w:name w:val="Unresolved Mention"/>
    <w:basedOn w:val="DefaultParagraphFont"/>
    <w:uiPriority w:val="99"/>
    <w:semiHidden/>
    <w:unhideWhenUsed/>
    <w:rsid w:val="00EE47A2"/>
    <w:rPr>
      <w:color w:val="605E5C"/>
      <w:shd w:val="clear" w:color="auto" w:fill="E1DFDD"/>
    </w:rPr>
  </w:style>
  <w:style w:type="paragraph" w:styleId="Caption">
    <w:name w:val="caption"/>
    <w:basedOn w:val="Normal"/>
    <w:next w:val="Normal"/>
    <w:uiPriority w:val="35"/>
    <w:unhideWhenUsed/>
    <w:qFormat/>
    <w:rsid w:val="00C1477A"/>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884978863">
      <w:bodyDiv w:val="1"/>
      <w:marLeft w:val="0"/>
      <w:marRight w:val="0"/>
      <w:marTop w:val="0"/>
      <w:marBottom w:val="0"/>
      <w:divBdr>
        <w:top w:val="none" w:sz="0" w:space="0" w:color="auto"/>
        <w:left w:val="none" w:sz="0" w:space="0" w:color="auto"/>
        <w:bottom w:val="none" w:sz="0" w:space="0" w:color="auto"/>
        <w:right w:val="none" w:sz="0" w:space="0" w:color="auto"/>
      </w:divBdr>
      <w:divsChild>
        <w:div w:id="492141186">
          <w:marLeft w:val="0"/>
          <w:marRight w:val="0"/>
          <w:marTop w:val="0"/>
          <w:marBottom w:val="0"/>
          <w:divBdr>
            <w:top w:val="none" w:sz="0" w:space="0" w:color="auto"/>
            <w:left w:val="none" w:sz="0" w:space="0" w:color="auto"/>
            <w:bottom w:val="none" w:sz="0" w:space="0" w:color="auto"/>
            <w:right w:val="none" w:sz="0" w:space="0" w:color="auto"/>
          </w:divBdr>
          <w:divsChild>
            <w:div w:id="1017972147">
              <w:marLeft w:val="0"/>
              <w:marRight w:val="0"/>
              <w:marTop w:val="0"/>
              <w:marBottom w:val="0"/>
              <w:divBdr>
                <w:top w:val="none" w:sz="0" w:space="0" w:color="auto"/>
                <w:left w:val="none" w:sz="0" w:space="0" w:color="auto"/>
                <w:bottom w:val="none" w:sz="0" w:space="0" w:color="auto"/>
                <w:right w:val="none" w:sz="0" w:space="0" w:color="auto"/>
              </w:divBdr>
              <w:divsChild>
                <w:div w:id="985285048">
                  <w:marLeft w:val="0"/>
                  <w:marRight w:val="0"/>
                  <w:marTop w:val="120"/>
                  <w:marBottom w:val="0"/>
                  <w:divBdr>
                    <w:top w:val="none" w:sz="0" w:space="0" w:color="auto"/>
                    <w:left w:val="none" w:sz="0" w:space="0" w:color="auto"/>
                    <w:bottom w:val="none" w:sz="0" w:space="0" w:color="auto"/>
                    <w:right w:val="none" w:sz="0" w:space="0" w:color="auto"/>
                  </w:divBdr>
                  <w:divsChild>
                    <w:div w:id="1509104016">
                      <w:marLeft w:val="0"/>
                      <w:marRight w:val="0"/>
                      <w:marTop w:val="0"/>
                      <w:marBottom w:val="0"/>
                      <w:divBdr>
                        <w:top w:val="none" w:sz="0" w:space="0" w:color="auto"/>
                        <w:left w:val="none" w:sz="0" w:space="0" w:color="auto"/>
                        <w:bottom w:val="none" w:sz="0" w:space="0" w:color="auto"/>
                        <w:right w:val="none" w:sz="0" w:space="0" w:color="auto"/>
                      </w:divBdr>
                      <w:divsChild>
                        <w:div w:id="1592352153">
                          <w:marLeft w:val="0"/>
                          <w:marRight w:val="0"/>
                          <w:marTop w:val="0"/>
                          <w:marBottom w:val="0"/>
                          <w:divBdr>
                            <w:top w:val="none" w:sz="0" w:space="0" w:color="auto"/>
                            <w:left w:val="none" w:sz="0" w:space="0" w:color="auto"/>
                            <w:bottom w:val="none" w:sz="0" w:space="0" w:color="auto"/>
                            <w:right w:val="none" w:sz="0" w:space="0" w:color="auto"/>
                          </w:divBdr>
                          <w:divsChild>
                            <w:div w:id="150643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TotalTime>
  <Pages>8</Pages>
  <Words>1431</Words>
  <Characters>8161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admin</cp:lastModifiedBy>
  <cp:revision>24</cp:revision>
  <dcterms:created xsi:type="dcterms:W3CDTF">2025-10-31T11:57:00Z</dcterms:created>
  <dcterms:modified xsi:type="dcterms:W3CDTF">2025-12-10T22:26:00Z</dcterms:modified>
</cp:coreProperties>
</file>