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주식시장 개념 정리 대화</w:t>
      </w:r>
    </w:p>
    <w:p>
      <w:pPr>
        <w:spacing w:after="400"/>
        <w:jc w:val="center"/>
      </w:pPr>
      <w:r>
        <w:rPr>
          <w:i/>
          <w:iCs/>
          <w:color w:val="555555"/>
          <w:sz w:val="22"/>
          <w:szCs w:val="22"/>
        </w:rPr>
        <w:t xml:space="preserve">레버리지 청산, 공매도, 인버스 ETF, 감마 스퀴즈, 밸류에이션 지표</w:t>
      </w:r>
    </w:p>
    <w:p>
      <w:pPr>
        <w:pStyle w:val="Heading1"/>
        <w:spacing w:after="200" w:before="400"/>
      </w:pPr>
      <w:r>
        <w:t xml:space="preserve">1. 레버리지 청산 이후 주가 상승 이유</w:t>
      </w:r>
    </w:p>
    <w:p>
      <w:pPr>
        <w:shd w:fill="EAF1FA" w:val="clear"/>
        <w:spacing w:after="150" w:before="300"/>
      </w:pPr>
      <w:r>
        <w:rPr>
          <w:b/>
          <w:bCs/>
          <w:color w:val="1F4E79"/>
        </w:rPr>
        <w:t xml:space="preserve">사용자: </w:t>
      </w:r>
      <w:r>
        <w:t xml:space="preserve">주식시장에서 레버리지가 청산되고 나면 왜 주가가 상승하게 되는거야?</w:t>
      </w:r>
    </w:p>
    <w:p>
      <w:pPr>
        <w:spacing w:after="100" w:before="100"/>
      </w:pPr>
      <w:r>
        <w:rPr>
          <w:b/>
          <w:bCs/>
          <w:color w:val="375623"/>
        </w:rPr>
        <w:t xml:space="preserve">Claude:</w:t>
      </w:r>
    </w:p>
    <w:p>
      <w:pPr>
        <w:spacing w:after="150"/>
      </w:pPr>
      <w:r>
        <w:rPr>
          <w:b w:val="false"/>
          <w:bCs w:val="false"/>
          <w:i w:val="false"/>
          <w:iCs w:val="false"/>
        </w:rPr>
        <w:t xml:space="preserve">레버리지 청산(강제 매도)이 끝난 후 주가가 오르는 데는 몇 가지 이유가 있습니다.</w:t>
      </w:r>
    </w:p>
    <w:p>
      <w:pPr>
        <w:pStyle w:val="Heading3"/>
        <w:spacing w:after="120" w:before="250"/>
      </w:pPr>
      <w:r>
        <w:t xml:space="preserve">1. 강제 매도 압력의 소멸</w:t>
      </w:r>
    </w:p>
    <w:p>
      <w:pPr>
        <w:spacing w:after="150"/>
      </w:pPr>
      <w:r>
        <w:rPr>
          <w:b w:val="false"/>
          <w:bCs w:val="false"/>
          <w:i w:val="false"/>
          <w:iCs w:val="false"/>
        </w:rPr>
        <w:t xml:space="preserve">레버리지 청산 국면에서는 펀더멘털과 무관하게 마진콜에 따른 기계적 매도가 쏟아집니다. 이 매도는 가격에 민감하지 않고 무조건 청산해야 하는 물량이라, 실제 가치보다 훨씬 아래로 가격을 밀어내리는 "과매도(오버슈팅)"를 만듭니다. 청산이 마무리되면 이 비자발적 매도 주체 자체가 사라지므로, 매도 압력이 갑자기 줄어듭니다.</w:t>
      </w:r>
    </w:p>
    <w:p>
      <w:pPr>
        <w:pStyle w:val="Heading3"/>
        <w:spacing w:after="120" w:before="250"/>
      </w:pPr>
      <w:r>
        <w:t xml:space="preserve">2. 숏 커버링</w:t>
      </w:r>
    </w:p>
    <w:p>
      <w:pPr>
        <w:spacing w:after="150"/>
      </w:pPr>
      <w:r>
        <w:rPr>
          <w:b w:val="false"/>
          <w:bCs w:val="false"/>
          <w:i w:val="false"/>
          <w:iCs w:val="false"/>
        </w:rPr>
        <w:t xml:space="preserve">만약 청산된 레버리지가 숏 포지션이었다면, 청산 과정에서 오히려 매수(숏 커버)가 발생해 가격을 밀어올리는 경우도 있습니다.</w:t>
      </w:r>
    </w:p>
    <w:p>
      <w:pPr>
        <w:pStyle w:val="Heading3"/>
        <w:spacing w:after="120" w:before="250"/>
      </w:pPr>
      <w:r>
        <w:t xml:space="preserve">3. 저가 매수세 유입</w:t>
      </w:r>
    </w:p>
    <w:p>
      <w:pPr>
        <w:spacing w:after="150"/>
      </w:pPr>
      <w:r>
        <w:rPr>
          <w:b w:val="false"/>
          <w:bCs w:val="false"/>
          <w:i w:val="false"/>
          <w:iCs w:val="false"/>
        </w:rPr>
        <w:t xml:space="preserve">과매도 구간에서는 가격이 내재가치보다 낮아지므로, 장기 투자자나 저가 매수 대기 자금이 유입되기 쉽습니다. 변동성이 잦아들면 불확실성을 꺼리던 자금도 다시 들어옵니다.</w:t>
      </w:r>
    </w:p>
    <w:p>
      <w:pPr>
        <w:pStyle w:val="Heading3"/>
        <w:spacing w:after="120" w:before="250"/>
      </w:pPr>
      <w:r>
        <w:t xml:space="preserve">4. 약한 손(weak hands) 정리</w:t>
      </w:r>
    </w:p>
    <w:p>
      <w:pPr>
        <w:spacing w:after="150"/>
      </w:pPr>
      <w:r>
        <w:rPr>
          <w:b w:val="false"/>
          <w:bCs w:val="false"/>
          <w:i w:val="false"/>
          <w:iCs w:val="false"/>
        </w:rPr>
        <w:t xml:space="preserve">레버리지 투자자들이 시장에서 빠지고 나면 남은 보유자들은 상대적으로 확신이 강한 투자자들이라, 추가 패닉 매도 가능성이 낮아지고 가격이 안정적으로 반등하기 좋은 환경이 됩니다.</w:t>
      </w:r>
    </w:p>
    <w:p>
      <w:pPr>
        <w:spacing w:after="150"/>
      </w:pPr>
      <w:r>
        <w:rPr>
          <w:b w:val="false"/>
          <w:bCs w:val="false"/>
          <w:i w:val="false"/>
          <w:iCs w:val="false"/>
        </w:rPr>
        <w:t xml:space="preserve">정리하면, 청산 자체가 가격을 올리는 원인이라기보다는 청산이 만들어낸 "과도한 하락"이 해소되면서 정상적인 가격 발견 과정이 재개되는 것에 가깝습니다. 다만 항상 반등하는 것은 아니며, 펀더멘털이 실제로 악화된 경우엔 청산 이후에도 하락세가 이어질 수 있습니다.</w:t>
      </w:r>
    </w:p>
    <w:p>
      <w:pPr>
        <w:pBdr>
          <w:bottom w:val="single" w:color="AAAAAA" w:sz="6" w:space="1"/>
        </w:pBdr>
        <w:spacing w:after="200" w:before="200"/>
      </w:pPr>
    </w:p>
    <w:p>
      <w:pPr>
        <w:pStyle w:val="Heading1"/>
        <w:spacing w:after="200" w:before="400"/>
      </w:pPr>
      <w:r>
        <w:t xml:space="preserve">2. 공매도와 관련 개념 정리</w:t>
      </w:r>
    </w:p>
    <w:p>
      <w:pPr>
        <w:shd w:fill="EAF1FA" w:val="clear"/>
        <w:spacing w:after="150" w:before="300"/>
      </w:pPr>
      <w:r>
        <w:rPr>
          <w:b/>
          <w:bCs/>
          <w:color w:val="1F4E79"/>
        </w:rPr>
        <w:t xml:space="preserve">사용자: </w:t>
      </w:r>
      <w:r>
        <w:t xml:space="preserve">공매도와 그와 관련된 개념들을 모두 정리해서 뭔지 자세히 설명해 줘</w:t>
      </w:r>
    </w:p>
    <w:p>
      <w:pPr>
        <w:spacing w:after="100" w:before="100"/>
      </w:pPr>
      <w:r>
        <w:rPr>
          <w:b/>
          <w:bCs/>
          <w:color w:val="375623"/>
        </w:rPr>
        <w:t xml:space="preserve">Claude:</w:t>
      </w:r>
    </w:p>
    <w:p>
      <w:pPr>
        <w:spacing w:after="150"/>
      </w:pPr>
      <w:r>
        <w:rPr>
          <w:b w:val="false"/>
          <w:bCs w:val="false"/>
          <w:i w:val="false"/>
          <w:iCs w:val="false"/>
        </w:rPr>
        <w:t xml:space="preserve">공매도(空賣渡, Short Selling)와 관련 개념들을 체계적으로 정리해 드리겠습니다.</w:t>
      </w:r>
    </w:p>
    <w:p>
      <w:pPr>
        <w:pStyle w:val="Heading2"/>
        <w:spacing w:after="150" w:before="300"/>
      </w:pPr>
      <w:r>
        <w:t xml:space="preserve">1. 공매도의 기본 개념</w:t>
      </w:r>
    </w:p>
    <w:p>
      <w:pPr>
        <w:spacing w:after="150"/>
      </w:pPr>
      <w:r>
        <w:rPr>
          <w:b w:val="false"/>
          <w:bCs w:val="false"/>
          <w:i w:val="false"/>
          <w:iCs w:val="false"/>
        </w:rPr>
        <w:t xml:space="preserve">공매도는 주식을 보유하지 않은 상태에서 먼저 팔고, 나중에 사서 갚는 거래 방식입니다. 주가 하락을 예상할 때 사용하는 대표적인 전략입니다.</w:t>
      </w:r>
    </w:p>
    <w:p>
      <w:pPr>
        <w:pStyle w:val="Heading3"/>
        <w:spacing w:after="120" w:before="250"/>
      </w:pPr>
      <w:r>
        <w:t xml:space="preserve">기본 메커니즘</w:t>
      </w:r>
    </w:p>
    <w:p>
      <w:pPr>
        <w:spacing w:after="80"/>
      </w:pPr>
      <w:r>
        <w:t xml:space="preserve">1. 주식을 보유한 제3자(기관, 증권사 등)로부터 주식을 빌림</w:t>
      </w:r>
    </w:p>
    <w:p>
      <w:pPr>
        <w:spacing w:after="80"/>
      </w:pPr>
      <w:r>
        <w:t xml:space="preserve">2. 빌린 주식을 시장에 매도</w:t>
      </w:r>
    </w:p>
    <w:p>
      <w:pPr>
        <w:spacing w:after="80"/>
      </w:pPr>
      <w:r>
        <w:t xml:space="preserve">3. 시간이 지난 후 시장에서 주식을 다시 매수(숏 커버링)</w:t>
      </w:r>
    </w:p>
    <w:p>
      <w:pPr>
        <w:spacing w:after="80"/>
      </w:pPr>
      <w:r>
        <w:t xml:space="preserve">4. 매수한 주식을 원래 대여자에게 상환</w:t>
      </w:r>
    </w:p>
    <w:p>
      <w:pPr>
        <w:spacing w:after="80"/>
      </w:pPr>
      <w:r>
        <w:t xml:space="preserve">5. 매도 가격과 매수 가격의 차액이 수익(또는 손실)</w:t>
      </w:r>
    </w:p>
    <w:p>
      <w:pPr>
        <w:spacing w:after="150"/>
      </w:pPr>
      <w:r>
        <w:rPr>
          <w:b w:val="false"/>
          <w:bCs w:val="false"/>
          <w:i w:val="false"/>
          <w:iCs w:val="false"/>
        </w:rPr>
        <w:t xml:space="preserve">예를 들어 10만 원에 공매도하고 나중에 7만 원에 재매수하면 3만 원의 차익을 얻고, 반대로 12만 원에 재매수하게 되면 2만 원 손실을 봅니다.</w:t>
      </w:r>
    </w:p>
    <w:p>
      <w:pPr>
        <w:pStyle w:val="Heading2"/>
        <w:spacing w:after="150" w:before="300"/>
      </w:pPr>
      <w:r>
        <w:t xml:space="preserve">2. 공매도의 종류</w:t>
      </w:r>
    </w:p>
    <w:p>
      <w:pPr>
        <w:pStyle w:val="Heading3"/>
        <w:spacing w:after="120" w:before="250"/>
      </w:pPr>
      <w:r>
        <w:t xml:space="preserve">차입 공매도 (Covered Short Selling)</w:t>
      </w:r>
    </w:p>
    <w:p>
      <w:pPr>
        <w:pStyle w:val="ListParagraph"/>
        <w:numPr>
          <w:ilvl w:val="0"/>
          <w:numId w:val="1"/>
        </w:numPr>
        <w:spacing w:after="80"/>
      </w:pPr>
      <w:r>
        <w:t xml:space="preserve">실제로 주식을 빌려서 매도하는, 대부분의 국가에서 합법적으로 허용된 방식</w:t>
      </w:r>
    </w:p>
    <w:p>
      <w:pPr>
        <w:pStyle w:val="Heading3"/>
        <w:spacing w:after="120" w:before="250"/>
      </w:pPr>
      <w:r>
        <w:t xml:space="preserve">무차입 공매도 (Naked Short Selling)</w:t>
      </w:r>
    </w:p>
    <w:p>
      <w:pPr>
        <w:pStyle w:val="ListParagraph"/>
        <w:numPr>
          <w:ilvl w:val="0"/>
          <w:numId w:val="1"/>
        </w:numPr>
        <w:spacing w:after="80"/>
      </w:pPr>
      <w:r>
        <w:t xml:space="preserve">주식을 빌리지 않은 상태에서 먼저 매도부터 하는 방식</w:t>
      </w:r>
    </w:p>
    <w:p>
      <w:pPr>
        <w:pStyle w:val="ListParagraph"/>
        <w:numPr>
          <w:ilvl w:val="0"/>
          <w:numId w:val="1"/>
        </w:numPr>
        <w:spacing w:after="80"/>
      </w:pPr>
      <w:r>
        <w:t xml:space="preserve">결제 불이행 위험이 커서 한국을 포함한 대부분의 국가에서 원칙적으로 금지</w:t>
      </w:r>
    </w:p>
    <w:p>
      <w:pPr>
        <w:pStyle w:val="Heading2"/>
        <w:spacing w:after="150" w:before="300"/>
      </w:pPr>
      <w:r>
        <w:t xml:space="preserve">3. 관련 핵심 개념</w:t>
      </w:r>
    </w:p>
    <w:p>
      <w:pPr>
        <w:pStyle w:val="Heading3"/>
        <w:spacing w:after="120" w:before="250"/>
      </w:pPr>
      <w:r>
        <w:t xml:space="preserve">대차거래(Securities Lending)</w:t>
      </w:r>
    </w:p>
    <w:p>
      <w:pPr>
        <w:spacing w:after="150"/>
      </w:pPr>
      <w:r>
        <w:rPr>
          <w:b w:val="false"/>
          <w:bCs w:val="false"/>
          <w:i w:val="false"/>
          <w:iCs w:val="false"/>
        </w:rPr>
        <w:t xml:space="preserve">공매도를 위해 주식을 빌리고 빌려주는 거래입니다. 대여자는 수수료(대차 수수료)를 받고, 차입자는 이를 지불합니다.</w:t>
      </w:r>
    </w:p>
    <w:p>
      <w:pPr>
        <w:pStyle w:val="Heading3"/>
        <w:spacing w:after="120" w:before="250"/>
      </w:pPr>
      <w:r>
        <w:t xml:space="preserve">공매도 잔고(Short Interest)</w:t>
      </w:r>
    </w:p>
    <w:p>
      <w:pPr>
        <w:spacing w:after="150"/>
      </w:pPr>
      <w:r>
        <w:rPr>
          <w:b w:val="false"/>
          <w:bCs w:val="false"/>
          <w:i w:val="false"/>
          <w:iCs w:val="false"/>
        </w:rPr>
        <w:t xml:space="preserve">현재 시장에서 상환되지 않고 남아 있는 공매도 물량입니다. 특정 종목의 공매도 잔고 비율이 높으면 그만큼 하락 베팅이 많다는 의미입니다.</w:t>
      </w:r>
    </w:p>
    <w:p>
      <w:pPr>
        <w:pStyle w:val="Heading3"/>
        <w:spacing w:after="120" w:before="250"/>
      </w:pPr>
      <w:r>
        <w:t xml:space="preserve">숏 스퀴즈(Short Squeeze)</w:t>
      </w:r>
    </w:p>
    <w:p>
      <w:pPr>
        <w:spacing w:after="150"/>
      </w:pPr>
      <w:r>
        <w:rPr>
          <w:b w:val="false"/>
          <w:bCs w:val="false"/>
          <w:i w:val="false"/>
          <w:iCs w:val="false"/>
        </w:rPr>
        <w:t xml:space="preserve">예상과 달리 주가가 급등할 때, 공매도 투자자들이 손실을 줄이기 위해 서둘러 주식을 재매수(숏 커버링)하면서 오히려 주가 상승을 가속화시키는 현상입니다. 2021년 게임스톱(GameStop) 사태가 대표적 사례입니다.</w:t>
      </w:r>
    </w:p>
    <w:p>
      <w:pPr>
        <w:pStyle w:val="Heading3"/>
        <w:spacing w:after="120" w:before="250"/>
      </w:pPr>
      <w:r>
        <w:t xml:space="preserve">숏 커버링(Short Covering)</w:t>
      </w:r>
    </w:p>
    <w:p>
      <w:pPr>
        <w:spacing w:after="150"/>
      </w:pPr>
      <w:r>
        <w:rPr>
          <w:b w:val="false"/>
          <w:bCs w:val="false"/>
          <w:i w:val="false"/>
          <w:iCs w:val="false"/>
        </w:rPr>
        <w:t xml:space="preserve">공매도한 주식을 갚기 위해 재매수하는 행위 자체를 말합니다. 이는 매수 주문이므로 주가에 상승 압력을 줍니다.</w:t>
      </w:r>
    </w:p>
    <w:p>
      <w:pPr>
        <w:pStyle w:val="Heading3"/>
        <w:spacing w:after="120" w:before="250"/>
      </w:pPr>
      <w:r>
        <w:t xml:space="preserve">공매도 금지(Short Sale Ban)</w:t>
      </w:r>
    </w:p>
    <w:p>
      <w:pPr>
        <w:spacing w:after="150"/>
      </w:pPr>
      <w:r>
        <w:rPr>
          <w:b w:val="false"/>
          <w:bCs w:val="false"/>
          <w:i w:val="false"/>
          <w:iCs w:val="false"/>
        </w:rPr>
        <w:t xml:space="preserve">시장 변동성이 극심할 때 금융당국이 일정 기간 공매도를 전면 또는 부분적으로 금지하는 조치입니다. 한국은 2023년 11월부터 2025년 3월까지 전면 금지를 시행한 바 있습니다.</w:t>
      </w:r>
    </w:p>
    <w:p>
      <w:pPr>
        <w:pStyle w:val="Heading3"/>
        <w:spacing w:after="120" w:before="250"/>
      </w:pPr>
      <w:r>
        <w:t xml:space="preserve">업틱룰(Uptick Rule)</w:t>
      </w:r>
    </w:p>
    <w:p>
      <w:pPr>
        <w:spacing w:after="150"/>
      </w:pPr>
      <w:r>
        <w:rPr>
          <w:b w:val="false"/>
          <w:bCs w:val="false"/>
          <w:i w:val="false"/>
          <w:iCs w:val="false"/>
        </w:rPr>
        <w:t xml:space="preserve">직전 거래가보다 낮은 가격으로는 공매도 주문을 낼 수 없도록 하는 규제입니다. 급격한 하락 가속화를 막기 위한 장치입니다.</w:t>
      </w:r>
    </w:p>
    <w:p>
      <w:pPr>
        <w:pStyle w:val="Heading3"/>
        <w:spacing w:after="120" w:before="250"/>
      </w:pPr>
      <w:r>
        <w:t xml:space="preserve">공매도 과열종목 지정제도</w:t>
      </w:r>
    </w:p>
    <w:p>
      <w:pPr>
        <w:spacing w:after="150"/>
      </w:pPr>
      <w:r>
        <w:rPr>
          <w:b w:val="false"/>
          <w:bCs w:val="false"/>
          <w:i w:val="false"/>
          <w:iCs w:val="false"/>
        </w:rPr>
        <w:t xml:space="preserve">한국거래소가 공매도 비중이 급증한 종목을 지정해 다음 거래일 공매도를 제한하는 제도입니다.</w:t>
      </w:r>
    </w:p>
    <w:p>
      <w:pPr>
        <w:pStyle w:val="Heading2"/>
        <w:spacing w:after="150" w:before="300"/>
      </w:pPr>
      <w:r>
        <w:t xml:space="preserve">4. 공매도와 파생상품의 연계</w:t>
      </w:r>
    </w:p>
    <w:p>
      <w:pPr>
        <w:pStyle w:val="Heading3"/>
        <w:spacing w:after="120" w:before="250"/>
      </w:pPr>
      <w:r>
        <w:t xml:space="preserve">풋옵션(Put Option)</w:t>
      </w:r>
    </w:p>
    <w:p>
      <w:pPr>
        <w:spacing w:after="150"/>
      </w:pPr>
      <w:r>
        <w:rPr>
          <w:b w:val="false"/>
          <w:bCs w:val="false"/>
          <w:i w:val="false"/>
          <w:iCs w:val="false"/>
        </w:rPr>
        <w:t xml:space="preserve">직접 공매도 대신, 주가 하락 시 이익을 보는 풋옵션 매수로 유사한 효과를 낼 수 있습니다. 손실이 프리미엄으로 제한된다는 장점이 있습니다.</w:t>
      </w:r>
    </w:p>
    <w:p>
      <w:pPr>
        <w:pStyle w:val="Heading3"/>
        <w:spacing w:after="120" w:before="250"/>
      </w:pPr>
      <w:r>
        <w:t xml:space="preserve">인버스 ETF</w:t>
      </w:r>
    </w:p>
    <w:p>
      <w:pPr>
        <w:spacing w:after="150"/>
      </w:pPr>
      <w:r>
        <w:rPr>
          <w:b w:val="false"/>
          <w:bCs w:val="false"/>
          <w:i w:val="false"/>
          <w:iCs w:val="false"/>
        </w:rPr>
        <w:t xml:space="preserve">지수 하락 시 수익이 나도록 설계된 상품으로, 개인 투자자가 공매도 절차 없이 하락에 베팅하는 대안으로 활용됩니다.</w:t>
      </w:r>
    </w:p>
    <w:p>
      <w:pPr>
        <w:pStyle w:val="Heading3"/>
        <w:spacing w:after="120" w:before="250"/>
      </w:pPr>
      <w:r>
        <w:t xml:space="preserve">CFD(차액결제거래)</w:t>
      </w:r>
    </w:p>
    <w:p>
      <w:pPr>
        <w:spacing w:after="150"/>
      </w:pPr>
      <w:r>
        <w:rPr>
          <w:b w:val="false"/>
          <w:bCs w:val="false"/>
          <w:i w:val="false"/>
          <w:iCs w:val="false"/>
        </w:rPr>
        <w:t xml:space="preserve">실제 주식을 소유하지 않고 가격 차액만 정산하는 파생상품으로, 매수·매도 양방향 포지션이 가능해 공매도와 유사하게 활용됩니다.</w:t>
      </w:r>
    </w:p>
    <w:p>
      <w:pPr>
        <w:pStyle w:val="Heading2"/>
        <w:spacing w:after="150" w:before="300"/>
      </w:pPr>
      <w:r>
        <w:t xml:space="preserve">5. 공매도의 순기능과 역기능</w:t>
      </w:r>
    </w:p>
    <w:p>
      <w:pPr>
        <w:pStyle w:val="Heading3"/>
        <w:spacing w:after="120" w:before="250"/>
      </w:pPr>
      <w:r>
        <w:t xml:space="preserve">순기능</w:t>
      </w:r>
    </w:p>
    <w:p>
      <w:pPr>
        <w:pStyle w:val="ListParagraph"/>
        <w:numPr>
          <w:ilvl w:val="0"/>
          <w:numId w:val="1"/>
        </w:numPr>
        <w:spacing w:after="80"/>
      </w:pPr>
      <w:r>
        <w:t xml:space="preserve">고평가된 주식의 가격 발견 기능 (버블 억제)</w:t>
      </w:r>
    </w:p>
    <w:p>
      <w:pPr>
        <w:pStyle w:val="ListParagraph"/>
        <w:numPr>
          <w:ilvl w:val="0"/>
          <w:numId w:val="1"/>
        </w:numPr>
        <w:spacing w:after="80"/>
      </w:pPr>
      <w:r>
        <w:t xml:space="preserve">시장 유동성 공급</w:t>
      </w:r>
    </w:p>
    <w:p>
      <w:pPr>
        <w:pStyle w:val="ListParagraph"/>
        <w:numPr>
          <w:ilvl w:val="0"/>
          <w:numId w:val="1"/>
        </w:numPr>
        <w:spacing w:after="80"/>
      </w:pPr>
      <w:r>
        <w:t xml:space="preserve">헤지(위험 회피) 수단 제공</w:t>
      </w:r>
    </w:p>
    <w:p>
      <w:pPr>
        <w:pStyle w:val="Heading3"/>
        <w:spacing w:after="120" w:before="250"/>
      </w:pPr>
      <w:r>
        <w:t xml:space="preserve">역기능 및 논란</w:t>
      </w:r>
    </w:p>
    <w:p>
      <w:pPr>
        <w:pStyle w:val="ListParagraph"/>
        <w:numPr>
          <w:ilvl w:val="0"/>
          <w:numId w:val="1"/>
        </w:numPr>
        <w:spacing w:after="80"/>
      </w:pPr>
      <w:r>
        <w:t xml:space="preserve">무차입 공매도로 인한 결제 불이행 위험</w:t>
      </w:r>
    </w:p>
    <w:p>
      <w:pPr>
        <w:pStyle w:val="ListParagraph"/>
        <w:numPr>
          <w:ilvl w:val="0"/>
          <w:numId w:val="1"/>
        </w:numPr>
        <w:spacing w:after="80"/>
      </w:pPr>
      <w:r>
        <w:t xml:space="preserve">하락장에서 매도 압력을 가중시켜 변동성 확대</w:t>
      </w:r>
    </w:p>
    <w:p>
      <w:pPr>
        <w:pStyle w:val="ListParagraph"/>
        <w:numPr>
          <w:ilvl w:val="0"/>
          <w:numId w:val="1"/>
        </w:numPr>
        <w:spacing w:after="80"/>
      </w:pPr>
      <w:r>
        <w:t xml:space="preserve">기관·외국인 대비 개인 투자자의 접근성 불균형 (한국에서 특히 논란)</w:t>
      </w:r>
    </w:p>
    <w:p>
      <w:pPr>
        <w:pStyle w:val="ListParagraph"/>
        <w:numPr>
          <w:ilvl w:val="0"/>
          <w:numId w:val="1"/>
        </w:numPr>
        <w:spacing w:after="80"/>
      </w:pPr>
      <w:r>
        <w:t xml:space="preserve">허위 정보 유포와 결합한 시세 조종 가능성</w:t>
      </w:r>
    </w:p>
    <w:p>
      <w:pPr>
        <w:pStyle w:val="Heading2"/>
        <w:spacing w:after="150" w:before="300"/>
      </w:pPr>
      <w:r>
        <w:t xml:space="preserve">6. 한국 시장의 특징</w:t>
      </w:r>
    </w:p>
    <w:p>
      <w:pPr>
        <w:spacing w:after="150"/>
      </w:pPr>
      <w:r>
        <w:rPr>
          <w:b w:val="false"/>
          <w:bCs w:val="false"/>
          <w:i w:val="false"/>
          <w:iCs w:val="false"/>
        </w:rPr>
        <w:t xml:space="preserve">한국은 개인 투자자의 공매도 접근이 제한적이고(대주거래 위주, 상환 기간·담보 비율 등에서 기관·외국인보다 불리), 이 때문에 "기울어진 운동장" 논란이 지속되어 왔습니다. 최근에는 개인 공매도 접근성을 개선하고 무차입 공매도 적발 시스템(NSDS)을 도입하는 등 제도 개선이 이루어지고 있습니다.</w:t>
      </w:r>
    </w:p>
    <w:p>
      <w:pPr>
        <w:spacing w:after="150"/>
      </w:pPr>
      <w:r>
        <w:rPr>
          <w:b w:val="false"/>
          <w:bCs w:val="false"/>
          <w:i w:val="false"/>
          <w:iCs w:val="false"/>
        </w:rPr>
        <w:t xml:space="preserve">궁금하신 특정 부분(예: 숏 스퀴즈 사례, 한국의 최근 제도 변화 등)이 있으면 더 깊이 설명해 드리겠습니다.</w:t>
      </w:r>
    </w:p>
    <w:p>
      <w:pPr>
        <w:pBdr>
          <w:bottom w:val="single" w:color="AAAAAA" w:sz="6" w:space="1"/>
        </w:pBdr>
        <w:spacing w:after="200" w:before="200"/>
      </w:pPr>
    </w:p>
    <w:p>
      <w:pPr>
        <w:pStyle w:val="Heading1"/>
        <w:spacing w:after="200" w:before="400"/>
      </w:pPr>
      <w:r>
        <w:t xml:space="preserve">3. 공매도 상세 설명 (검색 반영)</w:t>
      </w:r>
    </w:p>
    <w:p>
      <w:pPr>
        <w:shd w:fill="EAF1FA" w:val="clear"/>
        <w:spacing w:after="150" w:before="300"/>
      </w:pPr>
      <w:r>
        <w:rPr>
          <w:b/>
          <w:bCs/>
          <w:color w:val="1F4E79"/>
        </w:rPr>
        <w:t xml:space="preserve">사용자: </w:t>
      </w:r>
      <w:r>
        <w:t xml:space="preserve">너무 간단하게 설명한거 같은데 위 내용을 더 자세하게 설명해 줘</w:t>
      </w:r>
    </w:p>
    <w:p>
      <w:pPr>
        <w:spacing w:after="100" w:before="100"/>
      </w:pPr>
      <w:r>
        <w:rPr>
          <w:b/>
          <w:bCs/>
          <w:color w:val="375623"/>
        </w:rPr>
        <w:t xml:space="preserve">Claude:</w:t>
      </w:r>
    </w:p>
    <w:p>
      <w:pPr>
        <w:spacing w:after="150"/>
      </w:pPr>
      <w:r>
        <w:rPr>
          <w:b w:val="false"/>
          <w:bCs w:val="false"/>
          <w:i w:val="false"/>
          <w:iCs w:val="false"/>
        </w:rPr>
        <w:t xml:space="preserve">공매도 관련 개념들을 더 깊이 있게, 사례와 메커니즘 중심으로 확장해서 설명해 드리겠습니다.</w:t>
      </w:r>
    </w:p>
    <w:p>
      <w:pPr>
        <w:pStyle w:val="Heading2"/>
        <w:spacing w:after="150" w:before="300"/>
      </w:pPr>
      <w:r>
        <w:t xml:space="preserve">1. 공매도의 정교한 메커니즘</w:t>
      </w:r>
    </w:p>
    <w:p>
      <w:pPr>
        <w:pStyle w:val="Heading3"/>
        <w:spacing w:after="120" w:before="250"/>
      </w:pPr>
      <w:r>
        <w:t xml:space="preserve">대차거래의 실제 구조</w:t>
      </w:r>
    </w:p>
    <w:p>
      <w:pPr>
        <w:spacing w:after="150"/>
      </w:pPr>
      <w:r>
        <w:rPr>
          <w:b w:val="false"/>
          <w:bCs w:val="false"/>
          <w:i w:val="false"/>
          <w:iCs w:val="false"/>
        </w:rPr>
        <w:t xml:space="preserve">공매도자는 보통 증권사를 통해 기관투자자(연기금, 자산운용사 등)가 보유한 주식을 빌립니다. 이때 대여자는 그냥 빌려주는 게 아니라 담보를 요구합니다.</w:t>
      </w:r>
    </w:p>
    <w:p>
      <w:pPr>
        <w:pStyle w:val="ListParagraph"/>
        <w:numPr>
          <w:ilvl w:val="0"/>
          <w:numId w:val="1"/>
        </w:numPr>
        <w:spacing w:after="80"/>
      </w:pPr>
      <w:r>
        <w:t xml:space="preserve">담보비율: 통상 105%~140% 수준으로, 빌린 주식 가치보다 더 많은 담보를 제공해야 함</w:t>
      </w:r>
    </w:p>
    <w:p>
      <w:pPr>
        <w:pStyle w:val="ListParagraph"/>
        <w:numPr>
          <w:ilvl w:val="0"/>
          <w:numId w:val="1"/>
        </w:numPr>
        <w:spacing w:after="80"/>
      </w:pPr>
      <w:r>
        <w:t xml:space="preserve">상환기간: 개인은 기본 90일(최대 12개월), 기관은 별도 계약에 따라 상이했으나, 최근 제도 개선으로 개인·기관 간 상환기간(90일, 최대 12개월)과 담보비율(105%)이 동일하게 적용되도록 바뀌었습니다.</w:t>
      </w:r>
    </w:p>
    <w:p>
      <w:pPr>
        <w:pStyle w:val="ListParagraph"/>
        <w:numPr>
          <w:ilvl w:val="0"/>
          <w:numId w:val="1"/>
        </w:numPr>
        <w:spacing w:after="80"/>
      </w:pPr>
      <w:r>
        <w:t xml:space="preserve">대차 수수료: 인기 있는(공매도 수요가 많은) 종목일수록 수수료가 치솟는데, 이 수수료율 자체가 시장 심리를 보여주는 지표가 되기도 합니다.</w:t>
      </w:r>
    </w:p>
    <w:p>
      <w:pPr>
        <w:pStyle w:val="Heading3"/>
        <w:spacing w:after="120" w:before="250"/>
      </w:pPr>
      <w:r>
        <w:t xml:space="preserve">마진콜과 강제 청산</w:t>
      </w:r>
    </w:p>
    <w:p>
      <w:pPr>
        <w:spacing w:after="150"/>
      </w:pPr>
      <w:r>
        <w:rPr>
          <w:b w:val="false"/>
          <w:bCs w:val="false"/>
          <w:i w:val="false"/>
          <w:iCs w:val="false"/>
        </w:rPr>
        <w:t xml:space="preserve">공매도 포지션은 이론적으로 손실이 무한대입니다(주가가 얼마든 오를 수 있으므로). 그래서 주가가 오르면 증거금 부족으로 마진콜을 받고, 추가 증거금을 넣지 못하면 증권사가 강제로 재매수(반대매매)를 실행합니다. 이것이 숏 스퀴즈를 더 격렬하게 만드는 핵심 이유입니다.</w:t>
      </w:r>
    </w:p>
    <w:p>
      <w:pPr>
        <w:pStyle w:val="Heading2"/>
        <w:spacing w:after="150" w:before="300"/>
      </w:pPr>
      <w:r>
        <w:t xml:space="preserve">2. 숏 스퀴즈(Short Squeeze)의 메커니즘 상세</w:t>
      </w:r>
    </w:p>
    <w:p>
      <w:pPr>
        <w:spacing w:after="150"/>
      </w:pPr>
      <w:r>
        <w:rPr>
          <w:b w:val="false"/>
          <w:bCs w:val="false"/>
          <w:i w:val="false"/>
          <w:iCs w:val="false"/>
        </w:rPr>
        <w:t xml:space="preserve">숏 스퀴즈는 단순히 "공매도자가 급하게 사서 오른다"는 설명보다 좀 더 복잡한 자기강화 구조를 가지고 있습니다.</w:t>
      </w:r>
    </w:p>
    <w:p>
      <w:pPr>
        <w:spacing w:after="80"/>
      </w:pPr>
      <w:r>
        <w:t xml:space="preserve">1. 공매도 잔고가 높은 종목에서 예상 밖의 호재나 매수세 유입 발생</w:t>
      </w:r>
    </w:p>
    <w:p>
      <w:pPr>
        <w:spacing w:after="80"/>
      </w:pPr>
      <w:r>
        <w:t xml:space="preserve">2. 주가 상승 → 공매도자 평가손 확대 → 일부는 손절 재매수</w:t>
      </w:r>
    </w:p>
    <w:p>
      <w:pPr>
        <w:spacing w:after="80"/>
      </w:pPr>
      <w:r>
        <w:t xml:space="preserve">3. 재매수 자체가 매수 주문이므로 주가를 더 밀어올림</w:t>
      </w:r>
    </w:p>
    <w:p>
      <w:pPr>
        <w:spacing w:after="80"/>
      </w:pPr>
      <w:r>
        <w:t xml:space="preserve">4. 상승폭 확대 → 더 많은 공매도자들이 마진콜/손절에 몰림</w:t>
      </w:r>
    </w:p>
    <w:p>
      <w:pPr>
        <w:spacing w:after="80"/>
      </w:pPr>
      <w:r>
        <w:t xml:space="preserve">5. 2~4 과정이 반복되며 가격이 펀더멘털과 무관하게 폭등</w:t>
      </w:r>
    </w:p>
    <w:p>
      <w:pPr>
        <w:pStyle w:val="Heading3"/>
        <w:spacing w:after="120" w:before="250"/>
      </w:pPr>
      <w:r>
        <w:t xml:space="preserve">게임스톱(GameStop) 사례(2021년)</w:t>
      </w:r>
    </w:p>
    <w:p>
      <w:pPr>
        <w:spacing w:after="150"/>
      </w:pPr>
      <w:r>
        <w:rPr>
          <w:b w:val="false"/>
          <w:bCs w:val="false"/>
          <w:i w:val="false"/>
          <w:iCs w:val="false"/>
        </w:rPr>
        <w:t xml:space="preserve">헤지펀드들의 공매도 잔고가 유통주식수 대비 100%를 넘는 극단적 상황에서, 온라인 커뮤니티(레딧 WallStreetBets)를 중심으로 개인 투자자들이 조직적으로 매수에 나서면서 며칠 만에 주가가 수십 배 폭등했습니다. 이 사건은 공매도 잔고 데이터의 투명성 문제, 개인 대 기관의 대결 구도로도 큰 사회적 반향을 일으켰습니다.</w:t>
      </w:r>
    </w:p>
    <w:p>
      <w:pPr>
        <w:pStyle w:val="Heading3"/>
        <w:spacing w:after="120" w:before="250"/>
      </w:pPr>
      <w:r>
        <w:t xml:space="preserve">감마 스퀴즈(Gamma Squeeze)와의 연계</w:t>
      </w:r>
    </w:p>
    <w:p>
      <w:pPr>
        <w:spacing w:after="150"/>
      </w:pPr>
      <w:r>
        <w:rPr>
          <w:b w:val="false"/>
          <w:bCs w:val="false"/>
          <w:i w:val="false"/>
          <w:iCs w:val="false"/>
        </w:rPr>
        <w:t xml:space="preserve">당시 개인 투자자들이 콜옵션을 대량 매수하면서, 옵션 매도자(주로 마켓메이커)가 델타 헤지를 위해 기초주식을 매수해야 하는 상황이 겹쳤고, 이것이 숏 스퀴즈를 더 증폭시켰습니다. 즉 현물 공매도 청산 + 옵션 헤지 매수가 동시에 발생한 복합적 사례였습니다.</w:t>
      </w:r>
    </w:p>
    <w:p>
      <w:pPr>
        <w:pStyle w:val="Heading2"/>
        <w:spacing w:after="150" w:before="300"/>
      </w:pPr>
      <w:r>
        <w:t xml:space="preserve">3. 무차입 공매도(Naked Short Selling)가 문제되는 이유</w:t>
      </w:r>
    </w:p>
    <w:p>
      <w:pPr>
        <w:spacing w:after="150"/>
      </w:pPr>
      <w:r>
        <w:rPr>
          <w:b w:val="false"/>
          <w:bCs w:val="false"/>
          <w:i w:val="false"/>
          <w:iCs w:val="false"/>
        </w:rPr>
        <w:t xml:space="preserve">무차입 공매도는 실제로 빌리지 않은 주식을 매도부터 하는 방식으로, 다음과 같은 구조적 위험이 있습니다.</w:t>
      </w:r>
    </w:p>
    <w:p>
      <w:pPr>
        <w:pStyle w:val="ListParagraph"/>
        <w:numPr>
          <w:ilvl w:val="0"/>
          <w:numId w:val="1"/>
        </w:numPr>
        <w:spacing w:after="80"/>
      </w:pPr>
      <w:r>
        <w:t xml:space="preserve">결제 불이행(Failure to Deliver): 매도 후 결제일(T+2)까지 실제 주식을 확보하지 못하면 결제가 이루어지지 않는 사고 발생</w:t>
      </w:r>
    </w:p>
    <w:p>
      <w:pPr>
        <w:pStyle w:val="ListParagraph"/>
        <w:numPr>
          <w:ilvl w:val="0"/>
          <w:numId w:val="1"/>
        </w:numPr>
        <w:spacing w:after="80"/>
      </w:pPr>
      <w:r>
        <w:t xml:space="preserve">가공의 매도물량 창출: 실제 유통주식수보다 많은 물량이 시장에 풀리는 효과를 낳아 인위적으로 주가를 하락시킬 수 있음</w:t>
      </w:r>
    </w:p>
    <w:p>
      <w:pPr>
        <w:pStyle w:val="ListParagraph"/>
        <w:numPr>
          <w:ilvl w:val="0"/>
          <w:numId w:val="1"/>
        </w:numPr>
        <w:spacing w:after="80"/>
      </w:pPr>
      <w:r>
        <w:t xml:space="preserve">시세조종과의 결합: 허위 악재 유포와 결합하면 의도적 주가 하락을 유도하는 수단으로 악용될 소지가 있음</w:t>
      </w:r>
    </w:p>
    <w:p>
      <w:pPr>
        <w:spacing w:after="150"/>
      </w:pPr>
      <w:r>
        <w:rPr>
          <w:b w:val="false"/>
          <w:bCs w:val="false"/>
          <w:i w:val="false"/>
          <w:iCs w:val="false"/>
        </w:rPr>
        <w:t xml:space="preserve">한국의 경우, 최근 몇 년간 외국계 투자은행들의 대규모 무차입 공매도가 잇달아 적발되면서 2023년 11월부터 전면 금지 조치가 시행됐고, 무차입 공매도 방지를 위한 중앙점검시스템(NSDS, Naked Short-Selling Detecting System) 구축을 조건으로 2025년 3월 31일부터 공매도가 재개되었습니다. 이 시스템은 기관투자자의 잔고와 장외거래 정보, 실제 매매 내역을 대조·점검해 무차입 공매도를 사전에 차단하는 것을 목표로 합니다.</w:t>
      </w:r>
    </w:p>
    <w:p>
      <w:pPr>
        <w:pStyle w:val="Heading2"/>
        <w:spacing w:after="150" w:before="300"/>
      </w:pPr>
      <w:r>
        <w:t xml:space="preserve">4. 업틱룰(Uptick Rule)의 구체적 작동 방식</w:t>
      </w:r>
    </w:p>
    <w:p>
      <w:pPr>
        <w:spacing w:after="150"/>
      </w:pPr>
      <w:r>
        <w:rPr>
          <w:b w:val="false"/>
          <w:bCs w:val="false"/>
          <w:i w:val="false"/>
          <w:iCs w:val="false"/>
        </w:rPr>
        <w:t xml:space="preserve">업틱룰은 "직전 체결가보다 낮은 가격으로 공매도 주문을 낼 수 없다"는 규칙입니다.</w:t>
      </w:r>
    </w:p>
    <w:p>
      <w:pPr>
        <w:pStyle w:val="ListParagraph"/>
        <w:numPr>
          <w:ilvl w:val="0"/>
          <w:numId w:val="1"/>
        </w:numPr>
        <w:spacing w:after="80"/>
      </w:pPr>
      <w:r>
        <w:t xml:space="preserve">목적: 공매도만으로 가격을 인위적으로 끌어내리는 것을 방지</w:t>
      </w:r>
    </w:p>
    <w:p>
      <w:pPr>
        <w:pStyle w:val="ListParagraph"/>
        <w:numPr>
          <w:ilvl w:val="0"/>
          <w:numId w:val="1"/>
        </w:numPr>
        <w:spacing w:after="80"/>
      </w:pPr>
      <w:r>
        <w:t xml:space="preserve">예외: 시장 상황에 따라 얼터너티브 업틱룰(alternative uptick rule)처럼, 주가가 하루 중 일정 비율(예: 10%) 이상 급락한 종목에 한해서만 제한적으로 적용하는 방식도 있음</w:t>
      </w:r>
    </w:p>
    <w:p>
      <w:pPr>
        <w:pStyle w:val="ListParagraph"/>
        <w:numPr>
          <w:ilvl w:val="0"/>
          <w:numId w:val="1"/>
        </w:numPr>
        <w:spacing w:after="80"/>
      </w:pPr>
      <w:r>
        <w:t xml:space="preserve">한국은 원칙적으로 직전가 이하 공매도 호가 제출을 금지하되, 일부 예외(시장조성자 등)를 인정</w:t>
      </w:r>
    </w:p>
    <w:p>
      <w:pPr>
        <w:pStyle w:val="Heading2"/>
        <w:spacing w:after="150" w:before="300"/>
      </w:pPr>
      <w:r>
        <w:t xml:space="preserve">5. 공매도 과열종목 지정제도</w:t>
      </w:r>
    </w:p>
    <w:p>
      <w:pPr>
        <w:spacing w:after="150"/>
      </w:pPr>
      <w:r>
        <w:rPr>
          <w:b w:val="false"/>
          <w:bCs w:val="false"/>
          <w:i w:val="false"/>
          <w:iCs w:val="false"/>
        </w:rPr>
        <w:t xml:space="preserve">한국거래소는 다음과 같은 조건을 종합적으로 고려해 특정 종목을 "공매도 과열종목"으로 지정합니다.</w:t>
      </w:r>
    </w:p>
    <w:p>
      <w:pPr>
        <w:pStyle w:val="ListParagraph"/>
        <w:numPr>
          <w:ilvl w:val="0"/>
          <w:numId w:val="1"/>
        </w:numPr>
        <w:spacing w:after="80"/>
      </w:pPr>
      <w:r>
        <w:t xml:space="preserve">공매도 비중이 평소 대비 급격히 증가</w:t>
      </w:r>
    </w:p>
    <w:p>
      <w:pPr>
        <w:pStyle w:val="ListParagraph"/>
        <w:numPr>
          <w:ilvl w:val="0"/>
          <w:numId w:val="1"/>
        </w:numPr>
        <w:spacing w:after="80"/>
      </w:pPr>
      <w:r>
        <w:t xml:space="preserve">주가 하락률이 일정 기준 이상</w:t>
      </w:r>
    </w:p>
    <w:p>
      <w:pPr>
        <w:pStyle w:val="ListParagraph"/>
        <w:numPr>
          <w:ilvl w:val="0"/>
          <w:numId w:val="1"/>
        </w:numPr>
        <w:spacing w:after="80"/>
      </w:pPr>
      <w:r>
        <w:t xml:space="preserve">공매도 거래대금 증가율이 기준치 초과</w:t>
      </w:r>
    </w:p>
    <w:p>
      <w:pPr>
        <w:spacing w:after="150"/>
      </w:pPr>
      <w:r>
        <w:rPr>
          <w:b w:val="false"/>
          <w:bCs w:val="false"/>
          <w:i w:val="false"/>
          <w:iCs w:val="false"/>
        </w:rPr>
        <w:t xml:space="preserve">지정되면 다음 매매거래일 하루 동안 해당 종목의 공매도가 금지됩니다. 이는 공매도가 특정 종목에 과도하게 집중되어 투매를 유발하는 것을 막기 위한 서킷브레이커 성격의 제도입니다.</w:t>
      </w:r>
    </w:p>
    <w:p>
      <w:pPr>
        <w:pStyle w:val="Heading2"/>
        <w:spacing w:after="150" w:before="300"/>
      </w:pPr>
      <w:r>
        <w:t xml:space="preserve">6. 학술적 관점: 공매도는 가격에 중립적인가?</w:t>
      </w:r>
    </w:p>
    <w:p>
      <w:pPr>
        <w:spacing w:after="150"/>
      </w:pPr>
      <w:r>
        <w:rPr>
          <w:b w:val="false"/>
          <w:bCs w:val="false"/>
          <w:i w:val="false"/>
          <w:iCs w:val="false"/>
        </w:rPr>
        <w:t xml:space="preserve">흥미로운 점은, 자본시장 전문가들 사이에서는 "공매도 금지가 주가를 떠받치지 않고, 공매도 재개가 주가를 끌어내리지 않는다"는 견해가 많다는 것입니다. 실증연구들은 공매도를 신용거래(레버리지 매수)와 마찬가지로 방향성과 무관한 거래 도구로 보며, 실제 주가 흐름을 결정하는 것은 기업 실적과 투자자들의 판단이라는 입장을 취합니다. 다만 이는 학술적·정책적 관점의 하나이며, 실제 시장에서는 공매도 금지/재개 발표 시점에 단기적 가격 변동이 관찰되기도 합니다.</w:t>
      </w:r>
    </w:p>
    <w:p>
      <w:pPr>
        <w:pStyle w:val="Heading2"/>
        <w:spacing w:after="150" w:before="300"/>
      </w:pPr>
      <w:r>
        <w:t xml:space="preserve">7. 한국 시장의 최근 변화 흐름 정리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Pr>
          <w:p>
            <w:r>
              <w:rPr>
                <w:b/>
                <w:bCs/>
              </w:rPr>
              <w:t xml:space="preserve">시점</w:t>
            </w:r>
          </w:p>
        </w:tc>
        <w:tc>
          <w:tcPr>
            <w:tcW w:type="dxa" w:w="6500"/>
            <w:shd w:fill="D9E2F3" w:val="clear"/>
          </w:tcPr>
          <w:p>
            <w:r>
              <w:rPr>
                <w:b/>
                <w:bCs/>
              </w:rPr>
              <w:t xml:space="preserve">내용</w:t>
            </w:r>
          </w:p>
        </w:tc>
      </w:tr>
      <w:tr>
        <w:tc>
          <w:tcPr>
            <w:tcW w:type="dxa" w:w="2500"/>
          </w:tcPr>
          <w:p>
            <w:r>
              <w:rPr>
                <w:b w:val="false"/>
                <w:bCs w:val="false"/>
              </w:rPr>
              <w:t xml:space="preserve">2020년 3월</w:t>
            </w:r>
          </w:p>
        </w:tc>
        <w:tc>
          <w:tcPr>
            <w:tcW w:type="dxa" w:w="6500"/>
          </w:tcPr>
          <w:p>
            <w:r>
              <w:rPr>
                <w:b w:val="false"/>
                <w:bCs w:val="false"/>
              </w:rPr>
              <w:t xml:space="preserve">코로나19로 전 종목 공매도 전면 금지</w:t>
            </w:r>
          </w:p>
        </w:tc>
      </w:tr>
      <w:tr>
        <w:tc>
          <w:tcPr>
            <w:tcW w:type="dxa" w:w="2500"/>
          </w:tcPr>
          <w:p>
            <w:r>
              <w:rPr>
                <w:b w:val="false"/>
                <w:bCs w:val="false"/>
              </w:rPr>
              <w:t xml:space="preserve">2021년 5월</w:t>
            </w:r>
          </w:p>
        </w:tc>
        <w:tc>
          <w:tcPr>
            <w:tcW w:type="dxa" w:w="6500"/>
          </w:tcPr>
          <w:p>
            <w:r>
              <w:rPr>
                <w:b w:val="false"/>
                <w:bCs w:val="false"/>
              </w:rPr>
              <w:t xml:space="preserve">KOSPI200·KOSDAQ150 등 350개 종목 한정 재개</w:t>
            </w:r>
          </w:p>
        </w:tc>
      </w:tr>
      <w:tr>
        <w:tc>
          <w:tcPr>
            <w:tcW w:type="dxa" w:w="2500"/>
          </w:tcPr>
          <w:p>
            <w:r>
              <w:rPr>
                <w:b w:val="false"/>
                <w:bCs w:val="false"/>
              </w:rPr>
              <w:t xml:space="preserve">2023년 11월</w:t>
            </w:r>
          </w:p>
        </w:tc>
        <w:tc>
          <w:tcPr>
            <w:tcW w:type="dxa" w:w="6500"/>
          </w:tcPr>
          <w:p>
            <w:r>
              <w:rPr>
                <w:b w:val="false"/>
                <w:bCs w:val="false"/>
              </w:rPr>
              <w:t xml:space="preserve">외국계 IB의 무차입 공매도 적발로 전면 재금지</w:t>
            </w:r>
          </w:p>
        </w:tc>
      </w:tr>
      <w:tr>
        <w:tc>
          <w:tcPr>
            <w:tcW w:type="dxa" w:w="2500"/>
          </w:tcPr>
          <w:p>
            <w:r>
              <w:rPr>
                <w:b w:val="false"/>
                <w:bCs w:val="false"/>
              </w:rPr>
              <w:t xml:space="preserve">2025년 3월 31일</w:t>
            </w:r>
          </w:p>
        </w:tc>
        <w:tc>
          <w:tcPr>
            <w:tcW w:type="dxa" w:w="6500"/>
          </w:tcPr>
          <w:p>
            <w:r>
              <w:rPr>
                <w:b w:val="false"/>
                <w:bCs w:val="false"/>
              </w:rPr>
              <w:t xml:space="preserve">NSDS(무차입 공매도 중앙점검시스템) 구축을 조건으로 전면 재개</w:t>
            </w:r>
          </w:p>
        </w:tc>
      </w:tr>
    </w:tbl>
    <w:p>
      <w:pPr>
        <w:spacing w:after="150"/>
      </w:pPr>
    </w:p>
    <w:p>
      <w:pPr>
        <w:spacing w:after="150"/>
      </w:pPr>
      <w:r>
        <w:rPr>
          <w:b w:val="false"/>
          <w:bCs w:val="false"/>
          <w:i w:val="false"/>
          <w:iCs w:val="false"/>
        </w:rPr>
        <w:t xml:space="preserve">재개와 함께 개인투자자의 상환기간·담보비율을 기관투자자와 동일하게 맞추는 등, 그동안 논란이 됐던 "기울어진 운동장" 문제를 해소하려는 제도 개선도 함께 이루어졌습니다.</w:t>
      </w:r>
    </w:p>
    <w:p>
      <w:pPr>
        <w:spacing w:after="150"/>
      </w:pPr>
      <w:r>
        <w:rPr>
          <w:b w:val="false"/>
          <w:bCs w:val="false"/>
          <w:i w:val="false"/>
          <w:iCs w:val="false"/>
        </w:rPr>
        <w:t xml:space="preserve">특별히 더 깊이 파고들고 싶은 부분(예: 숏 스퀴즈의 실제 거래 데이터, 인버스 ETF의 작동 방식, 감마 스퀴즈와 옵션의 관계 등)이 있으면 말씀해 주세요.</w:t>
      </w:r>
    </w:p>
    <w:p>
      <w:pPr>
        <w:pBdr>
          <w:bottom w:val="single" w:color="AAAAAA" w:sz="6" w:space="1"/>
        </w:pBdr>
        <w:spacing w:after="200" w:before="200"/>
      </w:pPr>
    </w:p>
    <w:p>
      <w:pPr>
        <w:pStyle w:val="Heading1"/>
        <w:spacing w:after="200" w:before="400"/>
      </w:pPr>
      <w:r>
        <w:t xml:space="preserve">4. 인버스 ETF와 감마 스퀴즈</w:t>
      </w:r>
    </w:p>
    <w:p>
      <w:pPr>
        <w:shd w:fill="EAF1FA" w:val="clear"/>
        <w:spacing w:after="150" w:before="300"/>
      </w:pPr>
      <w:r>
        <w:rPr>
          <w:b/>
          <w:bCs/>
          <w:color w:val="1F4E79"/>
        </w:rPr>
        <w:t xml:space="preserve">사용자: </w:t>
      </w:r>
      <w:r>
        <w:t xml:space="preserve">인버스 ETF의 작동 방식, 감마 스퀴즈와 옵션의 관계 등을 설명해 줘</w:t>
      </w:r>
    </w:p>
    <w:p>
      <w:pPr>
        <w:spacing w:after="100" w:before="100"/>
      </w:pPr>
      <w:r>
        <w:rPr>
          <w:b/>
          <w:bCs/>
          <w:color w:val="375623"/>
        </w:rPr>
        <w:t xml:space="preserve">Claude:</w:t>
      </w:r>
    </w:p>
    <w:p>
      <w:pPr>
        <w:spacing w:after="150"/>
      </w:pPr>
      <w:r>
        <w:rPr>
          <w:b w:val="false"/>
          <w:bCs w:val="false"/>
          <w:i w:val="false"/>
          <w:iCs w:val="false"/>
        </w:rPr>
        <w:t xml:space="preserve">인버스 ETF의 작동 방식과 감마 스퀴즈-옵션의 관계를 자세히 설명해 드리겠습니다.</w:t>
      </w:r>
    </w:p>
    <w:p>
      <w:pPr>
        <w:pStyle w:val="Heading2"/>
        <w:spacing w:after="150" w:before="300"/>
      </w:pPr>
      <w:r>
        <w:t xml:space="preserve">1. 인버스 ETF의 작동 방식</w:t>
      </w:r>
    </w:p>
    <w:p>
      <w:pPr>
        <w:pStyle w:val="Heading3"/>
        <w:spacing w:after="120" w:before="250"/>
      </w:pPr>
      <w:r>
        <w:t xml:space="preserve">기본 구조</w:t>
      </w:r>
    </w:p>
    <w:p>
      <w:pPr>
        <w:spacing w:after="150"/>
      </w:pPr>
      <w:r>
        <w:rPr>
          <w:b w:val="false"/>
          <w:bCs w:val="false"/>
          <w:i w:val="false"/>
          <w:iCs w:val="false"/>
        </w:rPr>
        <w:t xml:space="preserve">인버스 ETF는 기초지수(예: KOSPI200)가 하락할 때 수익이 나도록 설계된 상품입니다. 직접 공매도를 하지 않고도 하락에 베팅할 수 있게 해주는 대안 수단입니다.</w:t>
      </w:r>
    </w:p>
    <w:p>
      <w:pPr>
        <w:pStyle w:val="Heading3"/>
        <w:spacing w:after="120" w:before="250"/>
      </w:pPr>
      <w:r>
        <w:t xml:space="preserve">실제 구현 방법</w:t>
      </w:r>
    </w:p>
    <w:p>
      <w:pPr>
        <w:spacing w:after="150"/>
      </w:pPr>
      <w:r>
        <w:rPr>
          <w:b w:val="false"/>
          <w:bCs w:val="false"/>
          <w:i w:val="false"/>
          <w:iCs w:val="false"/>
        </w:rPr>
        <w:t xml:space="preserve">인버스 ETF는 실물 주식을 공매도하는 방식이 아니라, 주로 파생상품을 활용해 역방향 수익률을 만듭니다.</w:t>
      </w:r>
    </w:p>
    <w:p>
      <w:pPr>
        <w:spacing w:after="80"/>
      </w:pPr>
      <w:r>
        <w:t xml:space="preserve">1. 선물(Futures) 매도 포지션: 가장 일반적인 방식. 기초지수 선물을 매도(숏) 포지션으로 보유하면, 지수가 하락할 때 선물 가치가 상승하여 ETF 순자산가치(NAV)가 오릅니다.</w:t>
      </w:r>
    </w:p>
    <w:p>
      <w:pPr>
        <w:spacing w:after="80"/>
      </w:pPr>
      <w:r>
        <w:t xml:space="preserve">2. 스왑(Swap) 계약: 증권사와 총수익스왑(TRS) 계약을 맺어, 지수 수익률의 반대 방향 수익을 지급받는 구조를 사용하기도 합니다.</w:t>
      </w:r>
    </w:p>
    <w:p>
      <w:pPr>
        <w:spacing w:after="80"/>
      </w:pPr>
      <w:r>
        <w:t xml:space="preserve">3. 일부 현물 + 파생 조합: 자산의 일부는 현금성 자산(채권, 예금)으로 보유하고, 나머지를 선물/스왑 익스포저에 배분</w:t>
      </w:r>
    </w:p>
    <w:p>
      <w:pPr>
        <w:pStyle w:val="Heading3"/>
        <w:spacing w:after="120" w:before="250"/>
      </w:pPr>
      <w:r>
        <w:t xml:space="preserve">일일 리밸런싱(Daily Rebalancing)의 중요성</w:t>
      </w:r>
    </w:p>
    <w:p>
      <w:pPr>
        <w:spacing w:after="150"/>
      </w:pPr>
      <w:r>
        <w:rPr>
          <w:b w:val="false"/>
          <w:bCs w:val="false"/>
          <w:i w:val="false"/>
          <w:iCs w:val="false"/>
        </w:rPr>
        <w:t xml:space="preserve">인버스 ETF는 대부분 일간(daily) 수익률을 역으로 추종하도록 설계되어 있습니다. 이 점이 초보 투자자들이 가장 많이 오해하는 부분입니다.</w:t>
      </w:r>
    </w:p>
    <w:p>
      <w:pPr>
        <w:pStyle w:val="ListParagraph"/>
        <w:numPr>
          <w:ilvl w:val="0"/>
          <w:numId w:val="1"/>
        </w:numPr>
        <w:spacing w:after="80"/>
      </w:pPr>
      <w:r>
        <w:t xml:space="preserve">예: 지수가 1일차 -10%, 2일차 +10%면 지수는 원금의 99%(-10%×+10% = -1%)로 복귀</w:t>
      </w:r>
    </w:p>
    <w:p>
      <w:pPr>
        <w:pStyle w:val="ListParagraph"/>
        <w:numPr>
          <w:ilvl w:val="0"/>
          <w:numId w:val="1"/>
        </w:numPr>
        <w:spacing w:after="80"/>
      </w:pPr>
      <w:r>
        <w:t xml:space="preserve">인버스 ETF는 1일차 +10%, 2일차 -10%가 되어 결과적으로 99%로 동일하게 하락(즉, 원금 손실)</w:t>
      </w:r>
    </w:p>
    <w:p>
      <w:pPr>
        <w:pStyle w:val="ListParagraph"/>
        <w:numPr>
          <w:ilvl w:val="0"/>
          <w:numId w:val="1"/>
        </w:numPr>
        <w:spacing w:after="80"/>
      </w:pPr>
      <w:r>
        <w:t xml:space="preserve">이런 특성 때문에 횡보장에서 인버스 ETF를 장기 보유하면 지수가 제자리여도 ETF는 손실이 나는 "변동성 감가(volatility decay)" 현상이 발생합니다.</w:t>
      </w:r>
    </w:p>
    <w:p>
      <w:pPr>
        <w:pStyle w:val="Heading3"/>
        <w:spacing w:after="120" w:before="250"/>
      </w:pPr>
      <w:r>
        <w:t xml:space="preserve">레버리지 인버스(예: -2X)</w:t>
      </w:r>
    </w:p>
    <w:p>
      <w:pPr>
        <w:spacing w:after="150"/>
      </w:pPr>
      <w:r>
        <w:rPr>
          <w:b w:val="false"/>
          <w:bCs w:val="false"/>
          <w:i w:val="false"/>
          <w:iCs w:val="false"/>
        </w:rPr>
        <w:t xml:space="preserve">KODEX 200선물인버스2X처럼 하락률의 2배를 추종하는 상품은 이 변동성 감가 효과가 훨씬 크게 나타나므로, 단기 트레이딩용으로 설계된 것이지 장기 보유용이 아닙니다.</w:t>
      </w:r>
    </w:p>
    <w:p>
      <w:pPr>
        <w:pStyle w:val="Heading2"/>
        <w:spacing w:after="150" w:before="300"/>
      </w:pPr>
      <w:r>
        <w:t xml:space="preserve">2. 감마 스퀴즈(Gamma Squeeze)와 옵션의 관계</w:t>
      </w:r>
    </w:p>
    <w:p>
      <w:pPr>
        <w:spacing w:after="150"/>
      </w:pPr>
      <w:r>
        <w:rPr>
          <w:b w:val="false"/>
          <w:bCs w:val="false"/>
          <w:i w:val="false"/>
          <w:iCs w:val="false"/>
        </w:rPr>
        <w:t xml:space="preserve">감마 스퀴즈를 이해하려면 먼저 옵션 델타(Delta)와 감마(Gamma) 개념, 그리고 마켓메이커의 헤지 행위를 알아야 합니다.</w:t>
      </w:r>
    </w:p>
    <w:p>
      <w:pPr>
        <w:pStyle w:val="Heading3"/>
        <w:spacing w:after="120" w:before="250"/>
      </w:pPr>
      <w:r>
        <w:t xml:space="preserve">델타(Delta)와 감마(Gamma)란</w:t>
      </w:r>
    </w:p>
    <w:p>
      <w:pPr>
        <w:pStyle w:val="ListParagraph"/>
        <w:numPr>
          <w:ilvl w:val="0"/>
          <w:numId w:val="1"/>
        </w:numPr>
        <w:spacing w:after="80"/>
      </w:pPr>
      <w:r>
        <w:t xml:space="preserve">델타: 기초자산 가격이 1 변동할 때 옵션 가격이 얼마나 변하는지 나타내는 민감도 (0~1 사이)</w:t>
      </w:r>
    </w:p>
    <w:p>
      <w:pPr>
        <w:pStyle w:val="ListParagraph"/>
        <w:numPr>
          <w:ilvl w:val="0"/>
          <w:numId w:val="1"/>
        </w:numPr>
        <w:spacing w:after="80"/>
      </w:pPr>
      <w:r>
        <w:t xml:space="preserve">감마: 기초자산 가격이 변할 때 델타 자체가 얼마나 변하는지 (델타의 변화율). 주가가 행사가에 가까워질수록 감마가 커짐</w:t>
      </w:r>
    </w:p>
    <w:p>
      <w:pPr>
        <w:pStyle w:val="Heading3"/>
        <w:spacing w:after="120" w:before="250"/>
      </w:pPr>
      <w:r>
        <w:t xml:space="preserve">마켓메이커의 델타 헤지</w:t>
      </w:r>
    </w:p>
    <w:p>
      <w:pPr>
        <w:spacing w:after="150"/>
      </w:pPr>
      <w:r>
        <w:rPr>
          <w:b w:val="false"/>
          <w:bCs w:val="false"/>
          <w:i w:val="false"/>
          <w:iCs w:val="false"/>
        </w:rPr>
        <w:t xml:space="preserve">콜옵션을 매도하는 쪽(주로 마켓메이커)은 이론적으로 무한 손실 위험에 노출됩니다. 이를 상쇄하기 위해 델타 헤지를 합니다.</w:t>
      </w:r>
    </w:p>
    <w:p>
      <w:pPr>
        <w:spacing w:after="80"/>
      </w:pPr>
      <w:r>
        <w:t xml:space="preserve">1. 콜옵션을 매도하면 마켓메이커는 "숏 델타" 포지션이 됨</w:t>
      </w:r>
    </w:p>
    <w:p>
      <w:pPr>
        <w:spacing w:after="80"/>
      </w:pPr>
      <w:r>
        <w:t xml:space="preserve">2. 이를 상쇄하기 위해 기초주식을 매수해 델타 중립(delta-neutral)을 유지</w:t>
      </w:r>
    </w:p>
    <w:p>
      <w:pPr>
        <w:spacing w:after="80"/>
      </w:pPr>
      <w:r>
        <w:t xml:space="preserve">3. 주가가 오르면 콜옵션의 델타가 커지므로(감마 효과), 마켓메이커는 헤지 비율을 맞추기 위해 주식을 추가로 매수해야 함</w:t>
      </w:r>
    </w:p>
    <w:p>
      <w:pPr>
        <w:spacing w:after="80"/>
      </w:pPr>
      <w:r>
        <w:t xml:space="preserve">4. 이 추가 매수가 다시 주가를 밀어올리고, 이는 다시 델타를 더 키워 추가 매수를 유발</w:t>
      </w:r>
    </w:p>
    <w:p>
      <w:pPr>
        <w:pStyle w:val="Heading3"/>
        <w:spacing w:after="120" w:before="250"/>
      </w:pPr>
      <w:r>
        <w:t xml:space="preserve">자기강화 루프가 형성되는 이유</w:t>
      </w:r>
    </w:p>
    <w:p>
      <w:pPr>
        <w:spacing w:after="150"/>
      </w:pPr>
      <w:r>
        <w:rPr>
          <w:b w:val="false"/>
          <w:bCs w:val="false"/>
          <w:i w:val="false"/>
          <w:iCs w:val="false"/>
        </w:rPr>
        <w:t xml:space="preserve">이 과정이 반복되면서 "주가 상승 → 콜옵션 델타 증가 → 마켓메이커 추가 매수 → 주가 추가 상승"이라는 순환고리가 만들어지는데, 이것이 감마 스퀴즈입니다. 특히 만기가 임박한 콜옵션(단기 옵션)일수록 감마 값이 커서 이 효과가 극대화됩니다.</w:t>
      </w:r>
    </w:p>
    <w:p>
      <w:pPr>
        <w:pStyle w:val="Heading3"/>
        <w:spacing w:after="120" w:before="250"/>
      </w:pPr>
      <w:r>
        <w:t xml:space="preserve">숏 스퀴즈와의 결합 사례(2021년 게임스톱)</w:t>
      </w:r>
    </w:p>
    <w:p>
      <w:pPr>
        <w:spacing w:after="150"/>
      </w:pPr>
      <w:r>
        <w:rPr>
          <w:b w:val="false"/>
          <w:bCs w:val="false"/>
          <w:i w:val="false"/>
          <w:iCs w:val="false"/>
        </w:rPr>
        <w:t xml:space="preserve">당시 상황이 특히 격렬했던 이유는 두 메커니즘이 동시에 작동했기 때문입니다.</w:t>
      </w:r>
    </w:p>
    <w:p>
      <w:pPr>
        <w:pStyle w:val="ListParagraph"/>
        <w:numPr>
          <w:ilvl w:val="0"/>
          <w:numId w:val="1"/>
        </w:numPr>
        <w:spacing w:after="80"/>
      </w:pPr>
      <w:r>
        <w:t xml:space="preserve">개인 투자자들이 콜옵션을 대량 매수 → 마켓메이커들의 델타 헤지 매수 유발(감마 스퀴즈)</w:t>
      </w:r>
    </w:p>
    <w:p>
      <w:pPr>
        <w:pStyle w:val="ListParagraph"/>
        <w:numPr>
          <w:ilvl w:val="0"/>
          <w:numId w:val="1"/>
        </w:numPr>
        <w:spacing w:after="80"/>
      </w:pPr>
      <w:r>
        <w:t xml:space="preserve">동시에 기존 헤지펀드들의 대규모 공매도 포지션이 손실 확대로 청산(숏 스퀴즈)</w:t>
      </w:r>
    </w:p>
    <w:p>
      <w:pPr>
        <w:pStyle w:val="ListParagraph"/>
        <w:numPr>
          <w:ilvl w:val="0"/>
          <w:numId w:val="1"/>
        </w:numPr>
        <w:spacing w:after="80"/>
      </w:pPr>
      <w:r>
        <w:t xml:space="preserve">두 매수 압력이 겹치면서 짧은 기간에 극단적인 주가 급등이 발생</w:t>
      </w:r>
    </w:p>
    <w:p>
      <w:pPr>
        <w:pStyle w:val="Heading3"/>
        <w:spacing w:after="120" w:before="250"/>
      </w:pPr>
      <w:r>
        <w:t xml:space="preserve">감마 스퀴즈의 특징</w:t>
      </w:r>
    </w:p>
    <w:p>
      <w:pPr>
        <w:pStyle w:val="ListParagraph"/>
        <w:numPr>
          <w:ilvl w:val="0"/>
          <w:numId w:val="1"/>
        </w:numPr>
        <w:spacing w:after="80"/>
      </w:pPr>
      <w:r>
        <w:t xml:space="preserve">옵션 만기일(특히 매월/매주 만기)이 가까워질수록 발생 빈도가 높음</w:t>
      </w:r>
    </w:p>
    <w:p>
      <w:pPr>
        <w:pStyle w:val="ListParagraph"/>
        <w:numPr>
          <w:ilvl w:val="0"/>
          <w:numId w:val="1"/>
        </w:numPr>
        <w:spacing w:after="80"/>
      </w:pPr>
      <w:r>
        <w:t xml:space="preserve">콜옵션 미결제약정(open interest)이 특정 행사가에 집중될 때 더 강하게 나타남</w:t>
      </w:r>
    </w:p>
    <w:p>
      <w:pPr>
        <w:pStyle w:val="ListParagraph"/>
        <w:numPr>
          <w:ilvl w:val="0"/>
          <w:numId w:val="1"/>
        </w:numPr>
        <w:spacing w:after="80"/>
      </w:pPr>
      <w:r>
        <w:t xml:space="preserve">"제로데이 옵션(0DTE)" 거래가 늘어나면서 최근 미국 시장에서는 감마 익스포저가 일중 변동성에 미치는 영향이 학계·업계에서 자주 논의되는 주제입니다.</w:t>
      </w:r>
    </w:p>
    <w:p>
      <w:pPr>
        <w:spacing w:after="150"/>
      </w:pPr>
      <w:r>
        <w:rPr>
          <w:b w:val="false"/>
          <w:bCs w:val="false"/>
          <w:i w:val="false"/>
          <w:iCs w:val="false"/>
        </w:rPr>
        <w:t xml:space="preserve">추가로 궁금하신 점(예: 변동성 감가를 숫자로 계산하는 방법, 실제 옵션 미결제약정 데이터를 확인하는 법 등)이 있으면 말씀해 주세요.</w:t>
      </w:r>
    </w:p>
    <w:p>
      <w:pPr>
        <w:pBdr>
          <w:bottom w:val="single" w:color="AAAAAA" w:sz="6" w:space="1"/>
        </w:pBdr>
        <w:spacing w:after="200" w:before="200"/>
      </w:pPr>
    </w:p>
    <w:p>
      <w:pPr>
        <w:pStyle w:val="Heading1"/>
        <w:spacing w:after="200" w:before="400"/>
      </w:pPr>
      <w:r>
        <w:t xml:space="preserve">5. 밸류에이션, 멀티플, 적정주가</w:t>
      </w:r>
    </w:p>
    <w:p>
      <w:pPr>
        <w:shd w:fill="EAF1FA" w:val="clear"/>
        <w:spacing w:after="150" w:before="300"/>
      </w:pPr>
      <w:r>
        <w:rPr>
          <w:b/>
          <w:bCs/>
          <w:color w:val="1F4E79"/>
        </w:rPr>
        <w:t xml:space="preserve">사용자: </w:t>
      </w:r>
      <w:r>
        <w:t xml:space="preserve">주식에서 밸류에인션, 멀티플, 적정주가 등의 개념에 대해서 자세히 알려줘</w:t>
      </w:r>
    </w:p>
    <w:p>
      <w:pPr>
        <w:spacing w:after="100" w:before="100"/>
      </w:pPr>
      <w:r>
        <w:rPr>
          <w:b/>
          <w:bCs/>
          <w:color w:val="375623"/>
        </w:rPr>
        <w:t xml:space="preserve">Claude:</w:t>
      </w:r>
    </w:p>
    <w:p>
      <w:pPr>
        <w:spacing w:after="150"/>
      </w:pPr>
      <w:r>
        <w:rPr>
          <w:b w:val="false"/>
          <w:bCs w:val="false"/>
          <w:i w:val="false"/>
          <w:iCs w:val="false"/>
        </w:rPr>
        <w:t xml:space="preserve">밸류에이션, 멀티플, 적정주가 개념을 체계적으로 정리해 드리겠습니다.</w:t>
      </w:r>
    </w:p>
    <w:p>
      <w:pPr>
        <w:pStyle w:val="Heading2"/>
        <w:spacing w:after="150" w:before="300"/>
      </w:pPr>
      <w:r>
        <w:t xml:space="preserve">1. 밸류에이션(Valuation)이란</w:t>
      </w:r>
    </w:p>
    <w:p>
      <w:pPr>
        <w:spacing w:after="150"/>
      </w:pPr>
      <w:r>
        <w:rPr>
          <w:b w:val="false"/>
          <w:bCs w:val="false"/>
          <w:i w:val="false"/>
          <w:iCs w:val="false"/>
        </w:rPr>
        <w:t xml:space="preserve">밸류에이션은 기업의 "적정 가치"를 추정하는 과정입니다. 현재 시장가격이 그 가치보다 높은지 낮은지를 판단해 투자 의사결정을 내리는 데 활용됩니다. 크게 두 가지 접근법으로 나뉩니다.</w:t>
      </w:r>
    </w:p>
    <w:p>
      <w:pPr>
        <w:pStyle w:val="ListParagraph"/>
        <w:numPr>
          <w:ilvl w:val="0"/>
          <w:numId w:val="1"/>
        </w:numPr>
        <w:spacing w:after="80"/>
      </w:pPr>
      <w:r>
        <w:t xml:space="preserve">절대가치평가(Absolute Valuation): 기업 자체의 현금흐름, 자산가치 등을 바탕으로 독립적으로 가치를 산출 (예: DCF)</w:t>
      </w:r>
    </w:p>
    <w:p>
      <w:pPr>
        <w:pStyle w:val="ListParagraph"/>
        <w:numPr>
          <w:ilvl w:val="0"/>
          <w:numId w:val="1"/>
        </w:numPr>
        <w:spacing w:after="80"/>
      </w:pPr>
      <w:r>
        <w:t xml:space="preserve">상대가치평가(Relative Valuation): 비교 가능한 다른 기업들과 비교해 상대적으로 가치를 산출 (예: 멀티플 비교)</w:t>
      </w:r>
    </w:p>
    <w:p>
      <w:pPr>
        <w:pStyle w:val="Heading2"/>
        <w:spacing w:after="150" w:before="300"/>
      </w:pPr>
      <w:r>
        <w:t xml:space="preserve">2. 멀티플(Multiple, 배수) 개념</w:t>
      </w:r>
    </w:p>
    <w:p>
      <w:pPr>
        <w:spacing w:after="150"/>
      </w:pPr>
      <w:r>
        <w:rPr>
          <w:b w:val="false"/>
          <w:bCs w:val="false"/>
          <w:i w:val="false"/>
          <w:iCs w:val="false"/>
        </w:rPr>
        <w:t xml:space="preserve">멀티플은 "기업가치를 특정 재무지표로 나눈 배수"로, 상대가치평가의 핵심 도구입니다. "이 회사가 벌어들이는 돈(또는 자산, 매출 등)의 몇 배로 거래되고 있는가"를 나타냅니다.</w:t>
      </w:r>
    </w:p>
    <w:p>
      <w:pPr>
        <w:pStyle w:val="Heading3"/>
        <w:spacing w:after="120" w:before="250"/>
      </w:pPr>
      <w:r>
        <w:t xml:space="preserve">대표적인 멀티플 종류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D9E2F3" w:val="clear"/>
          </w:tcPr>
          <w:p>
            <w:r>
              <w:rPr>
                <w:b/>
                <w:bCs/>
              </w:rPr>
              <w:t xml:space="preserve">멀티플</w:t>
            </w:r>
          </w:p>
        </w:tc>
        <w:tc>
          <w:tcPr>
            <w:tcW w:type="dxa" w:w="3400"/>
            <w:shd w:fill="D9E2F3" w:val="clear"/>
          </w:tcPr>
          <w:p>
            <w:r>
              <w:rPr>
                <w:b/>
                <w:bCs/>
              </w:rPr>
              <w:t xml:space="preserve">계산식</w:t>
            </w:r>
          </w:p>
        </w:tc>
        <w:tc>
          <w:tcPr>
            <w:tcW w:type="dxa" w:w="3000"/>
            <w:shd w:fill="D9E2F3" w:val="clear"/>
          </w:tcPr>
          <w:p>
            <w:r>
              <w:rPr>
                <w:b/>
                <w:bCs/>
              </w:rPr>
              <w:t xml:space="preserve">특징</w:t>
            </w:r>
          </w:p>
        </w:tc>
      </w:tr>
      <w:tr>
        <w:tc>
          <w:tcPr>
            <w:tcW w:type="dxa" w:w="2600"/>
          </w:tcPr>
          <w:p>
            <w:r>
              <w:rPr>
                <w:b w:val="false"/>
                <w:bCs w:val="false"/>
              </w:rPr>
              <w:t xml:space="preserve">PER (주가수익비율)</w:t>
            </w:r>
          </w:p>
        </w:tc>
        <w:tc>
          <w:tcPr>
            <w:tcW w:type="dxa" w:w="3400"/>
          </w:tcPr>
          <w:p>
            <w:r>
              <w:rPr>
                <w:b w:val="false"/>
                <w:bCs w:val="false"/>
              </w:rPr>
              <w:t xml:space="preserve">주가 ÷ 주당순이익(EPS)</w:t>
            </w:r>
          </w:p>
        </w:tc>
        <w:tc>
          <w:tcPr>
            <w:tcW w:type="dxa" w:w="3000"/>
          </w:tcPr>
          <w:p>
            <w:r>
              <w:rPr>
                <w:b w:val="false"/>
                <w:bCs w:val="false"/>
              </w:rPr>
              <w:t xml:space="preserve">가장 널리 쓰임, 이익 기반</w:t>
            </w:r>
          </w:p>
        </w:tc>
      </w:tr>
      <w:tr>
        <w:tc>
          <w:tcPr>
            <w:tcW w:type="dxa" w:w="2600"/>
          </w:tcPr>
          <w:p>
            <w:r>
              <w:rPr>
                <w:b w:val="false"/>
                <w:bCs w:val="false"/>
              </w:rPr>
              <w:t xml:space="preserve">PBR (주가순자산비율)</w:t>
            </w:r>
          </w:p>
        </w:tc>
        <w:tc>
          <w:tcPr>
            <w:tcW w:type="dxa" w:w="3400"/>
          </w:tcPr>
          <w:p>
            <w:r>
              <w:rPr>
                <w:b w:val="false"/>
                <w:bCs w:val="false"/>
              </w:rPr>
              <w:t xml:space="preserve">주가 ÷ 주당순자산(BPS)</w:t>
            </w:r>
          </w:p>
        </w:tc>
        <w:tc>
          <w:tcPr>
            <w:tcW w:type="dxa" w:w="3000"/>
          </w:tcPr>
          <w:p>
            <w:r>
              <w:rPr>
                <w:b w:val="false"/>
                <w:bCs w:val="false"/>
              </w:rPr>
              <w:t xml:space="preserve">자산 기반, 금융업·제조업에 적합</w:t>
            </w:r>
          </w:p>
        </w:tc>
      </w:tr>
      <w:tr>
        <w:tc>
          <w:tcPr>
            <w:tcW w:type="dxa" w:w="2600"/>
          </w:tcPr>
          <w:p>
            <w:r>
              <w:rPr>
                <w:b w:val="false"/>
                <w:bCs w:val="false"/>
              </w:rPr>
              <w:t xml:space="preserve">PSR (주가매출비율)</w:t>
            </w:r>
          </w:p>
        </w:tc>
        <w:tc>
          <w:tcPr>
            <w:tcW w:type="dxa" w:w="3400"/>
          </w:tcPr>
          <w:p>
            <w:r>
              <w:rPr>
                <w:b w:val="false"/>
                <w:bCs w:val="false"/>
              </w:rPr>
              <w:t xml:space="preserve">시가총액 ÷ 매출액</w:t>
            </w:r>
          </w:p>
        </w:tc>
        <w:tc>
          <w:tcPr>
            <w:tcW w:type="dxa" w:w="3000"/>
          </w:tcPr>
          <w:p>
            <w:r>
              <w:rPr>
                <w:b w:val="false"/>
                <w:bCs w:val="false"/>
              </w:rPr>
              <w:t xml:space="preserve">적자 기업, 성장주 평가에 활용</w:t>
            </w:r>
          </w:p>
        </w:tc>
      </w:tr>
      <w:tr>
        <w:tc>
          <w:tcPr>
            <w:tcW w:type="dxa" w:w="2600"/>
          </w:tcPr>
          <w:p>
            <w:r>
              <w:rPr>
                <w:b w:val="false"/>
                <w:bCs w:val="false"/>
              </w:rPr>
              <w:t xml:space="preserve">EV/EBITDA</w:t>
            </w:r>
          </w:p>
        </w:tc>
        <w:tc>
          <w:tcPr>
            <w:tcW w:type="dxa" w:w="3400"/>
          </w:tcPr>
          <w:p>
            <w:r>
              <w:rPr>
                <w:b w:val="false"/>
                <w:bCs w:val="false"/>
              </w:rPr>
              <w:t xml:space="preserve">기업가치 ÷ 감가상각 전 영업이익</w:t>
            </w:r>
          </w:p>
        </w:tc>
        <w:tc>
          <w:tcPr>
            <w:tcW w:type="dxa" w:w="3000"/>
          </w:tcPr>
          <w:p>
            <w:r>
              <w:rPr>
                <w:b w:val="false"/>
                <w:bCs w:val="false"/>
              </w:rPr>
              <w:t xml:space="preserve">자본구조·감가상각 차이 영향 최소화</w:t>
            </w:r>
          </w:p>
        </w:tc>
      </w:tr>
      <w:tr>
        <w:tc>
          <w:tcPr>
            <w:tcW w:type="dxa" w:w="2600"/>
          </w:tcPr>
          <w:p>
            <w:r>
              <w:rPr>
                <w:b w:val="false"/>
                <w:bCs w:val="false"/>
              </w:rPr>
              <w:t xml:space="preserve">EV/Sales</w:t>
            </w:r>
          </w:p>
        </w:tc>
        <w:tc>
          <w:tcPr>
            <w:tcW w:type="dxa" w:w="3400"/>
          </w:tcPr>
          <w:p>
            <w:r>
              <w:rPr>
                <w:b w:val="false"/>
                <w:bCs w:val="false"/>
              </w:rPr>
              <w:t xml:space="preserve">기업가치 ÷ 매출액</w:t>
            </w:r>
          </w:p>
        </w:tc>
        <w:tc>
          <w:tcPr>
            <w:tcW w:type="dxa" w:w="3000"/>
          </w:tcPr>
          <w:p>
            <w:r>
              <w:rPr>
                <w:b w:val="false"/>
                <w:bCs w:val="false"/>
              </w:rPr>
              <w:t xml:space="preserve">초기 성장기업, 플랫폼 기업 평가</w:t>
            </w:r>
          </w:p>
        </w:tc>
      </w:tr>
      <w:tr>
        <w:tc>
          <w:tcPr>
            <w:tcW w:type="dxa" w:w="2600"/>
          </w:tcPr>
          <w:p>
            <w:r>
              <w:rPr>
                <w:b w:val="false"/>
                <w:bCs w:val="false"/>
              </w:rPr>
              <w:t xml:space="preserve">PEG</w:t>
            </w:r>
          </w:p>
        </w:tc>
        <w:tc>
          <w:tcPr>
            <w:tcW w:type="dxa" w:w="3400"/>
          </w:tcPr>
          <w:p>
            <w:r>
              <w:rPr>
                <w:b w:val="false"/>
                <w:bCs w:val="false"/>
              </w:rPr>
              <w:t xml:space="preserve">PER ÷ 이익성장률</w:t>
            </w:r>
          </w:p>
        </w:tc>
        <w:tc>
          <w:tcPr>
            <w:tcW w:type="dxa" w:w="3000"/>
          </w:tcPr>
          <w:p>
            <w:r>
              <w:rPr>
                <w:b w:val="false"/>
                <w:bCs w:val="false"/>
              </w:rPr>
              <w:t xml:space="preserve">성장성 대비 밸류에이션 판단</w:t>
            </w:r>
          </w:p>
        </w:tc>
      </w:tr>
    </w:tbl>
    <w:p>
      <w:pPr>
        <w:spacing w:after="150"/>
      </w:pPr>
    </w:p>
    <w:p>
      <w:pPr>
        <w:pStyle w:val="Heading3"/>
        <w:spacing w:after="120" w:before="250"/>
      </w:pPr>
      <w:r>
        <w:t xml:space="preserve">PER 자세히 살펴보기</w:t>
      </w:r>
    </w:p>
    <w:p>
      <w:pPr>
        <w:spacing w:after="150"/>
      </w:pPr>
      <w:r>
        <w:rPr>
          <w:b w:val="false"/>
          <w:bCs w:val="false"/>
          <w:i w:val="false"/>
          <w:iCs w:val="false"/>
        </w:rPr>
        <w:t xml:space="preserve">PER = 주가 ÷ EPS = 시가총액 ÷ 순이익</w:t>
      </w:r>
    </w:p>
    <w:p>
      <w:pPr>
        <w:pStyle w:val="ListParagraph"/>
        <w:numPr>
          <w:ilvl w:val="0"/>
          <w:numId w:val="1"/>
        </w:numPr>
        <w:spacing w:after="80"/>
      </w:pPr>
      <w:r>
        <w:t xml:space="preserve">PER 10배라는 것은 "현재 순이익 수준이 유지된다면 원금을 회수하는 데 10년이 걸린다"는 의미로 해석 가능</w:t>
      </w:r>
    </w:p>
    <w:p>
      <w:pPr>
        <w:pStyle w:val="ListParagraph"/>
        <w:numPr>
          <w:ilvl w:val="0"/>
          <w:numId w:val="1"/>
        </w:numPr>
        <w:spacing w:after="80"/>
      </w:pPr>
      <w:r>
        <w:t xml:space="preserve">PER의 역수(1/PER)는 이익수익률(Earnings Yield)이 되어 채권 금리와 비교하는 데 활용됨 (예: PER 20배 = 이익수익률 5%)</w:t>
      </w:r>
    </w:p>
    <w:p>
      <w:pPr>
        <w:pStyle w:val="ListParagraph"/>
        <w:numPr>
          <w:ilvl w:val="0"/>
          <w:numId w:val="1"/>
        </w:numPr>
        <w:spacing w:after="80"/>
      </w:pPr>
      <w:r>
        <w:t xml:space="preserve">업종별로 정상 PER 수준이 다름: 성장주(IT, 바이오)는 높은 PER이 정당화되고, 성숙 산업(전통 제조업, 유틸리티)은 낮은 PER이 일반적</w:t>
      </w:r>
    </w:p>
    <w:p>
      <w:pPr>
        <w:pStyle w:val="Heading3"/>
        <w:spacing w:after="120" w:before="250"/>
      </w:pPr>
      <w:r>
        <w:t xml:space="preserve">EV(Enterprise Value, 기업가치) 개념</w:t>
      </w:r>
    </w:p>
    <w:p>
      <w:pPr>
        <w:spacing w:after="150"/>
      </w:pPr>
      <w:r>
        <w:rPr>
          <w:b w:val="false"/>
          <w:bCs w:val="false"/>
          <w:i w:val="false"/>
          <w:iCs w:val="false"/>
        </w:rPr>
        <w:t xml:space="preserve">EV = 시가총액 + 순부채(총부채 - 현금성자산)</w:t>
      </w:r>
    </w:p>
    <w:p>
      <w:pPr>
        <w:pStyle w:val="ListParagraph"/>
        <w:numPr>
          <w:ilvl w:val="0"/>
          <w:numId w:val="1"/>
        </w:numPr>
        <w:spacing w:after="80"/>
      </w:pPr>
      <w:r>
        <w:t xml:space="preserve">왜 EV를 쓰는가: 시가총액은 주주 몫만 반영하지만, EV는 부채까지 포함한 "기업 전체를 인수하는 데 드는 실질 비용"을 나타냄</w:t>
      </w:r>
    </w:p>
    <w:p>
      <w:pPr>
        <w:pStyle w:val="ListParagraph"/>
        <w:numPr>
          <w:ilvl w:val="0"/>
          <w:numId w:val="1"/>
        </w:numPr>
        <w:spacing w:after="80"/>
      </w:pPr>
      <w:r>
        <w:t xml:space="preserve">부채비율이 다른 기업들을 비교할 때 PER보다 EV/EBITDA가 더 공정한 비교 기준이 됨</w:t>
      </w:r>
    </w:p>
    <w:p>
      <w:pPr>
        <w:pStyle w:val="Heading3"/>
        <w:spacing w:after="120" w:before="250"/>
      </w:pPr>
      <w:r>
        <w:t xml:space="preserve">멀티플 사용 시 주의점</w:t>
      </w:r>
    </w:p>
    <w:p>
      <w:pPr>
        <w:pStyle w:val="ListParagraph"/>
        <w:numPr>
          <w:ilvl w:val="0"/>
          <w:numId w:val="1"/>
        </w:numPr>
        <w:spacing w:after="80"/>
      </w:pPr>
      <w:r>
        <w:t xml:space="preserve">동종업계 비교가 원칙: 반도체 기업을 화장품 기업 PER과 비교하는 것은 의미 없음</w:t>
      </w:r>
    </w:p>
    <w:p>
      <w:pPr>
        <w:pStyle w:val="ListParagraph"/>
        <w:numPr>
          <w:ilvl w:val="0"/>
          <w:numId w:val="1"/>
        </w:numPr>
        <w:spacing w:after="80"/>
      </w:pPr>
      <w:r>
        <w:t xml:space="preserve">성장률 차이 고려 필요: 단순 PER만 비교하면 안 되고 PEG처럼 성장성 대비 밸류에이션을 봐야 함</w:t>
      </w:r>
    </w:p>
    <w:p>
      <w:pPr>
        <w:pStyle w:val="ListParagraph"/>
        <w:numPr>
          <w:ilvl w:val="0"/>
          <w:numId w:val="1"/>
        </w:numPr>
        <w:spacing w:after="80"/>
      </w:pPr>
      <w:r>
        <w:t xml:space="preserve">일회성 손익 왜곡 주의: 자산매각 등 일회성 이익이 순이익에 반영되면 PER이 왜곡됨</w:t>
      </w:r>
    </w:p>
    <w:p>
      <w:pPr>
        <w:pStyle w:val="ListParagraph"/>
        <w:numPr>
          <w:ilvl w:val="0"/>
          <w:numId w:val="1"/>
        </w:numPr>
        <w:spacing w:after="80"/>
      </w:pPr>
      <w:r>
        <w:t xml:space="preserve">사이클 산업의 함정: 반도체, 해운, 화학 등 경기민감업종은 이익이 정점일 때 PER이 오히려 낮아 보이는 착시(피크 이익 = 낮은 PER = 사실은 고평가) 발생 가능</w:t>
      </w:r>
    </w:p>
    <w:p>
      <w:pPr>
        <w:pStyle w:val="Heading2"/>
        <w:spacing w:after="150" w:before="300"/>
      </w:pPr>
      <w:r>
        <w:t xml:space="preserve">3. 적정주가(Fair Value) 산출 방법</w:t>
      </w:r>
    </w:p>
    <w:p>
      <w:pPr>
        <w:pStyle w:val="Heading3"/>
        <w:spacing w:after="120" w:before="250"/>
      </w:pPr>
      <w:r>
        <w:t xml:space="preserve">(1) 상대가치평가법 (멀티플 기반)</w:t>
      </w:r>
    </w:p>
    <w:p>
      <w:pPr>
        <w:spacing w:after="150"/>
      </w:pPr>
      <w:r>
        <w:rPr>
          <w:b w:val="false"/>
          <w:bCs w:val="false"/>
          <w:i w:val="false"/>
          <w:iCs w:val="false"/>
        </w:rPr>
        <w:t xml:space="preserve">적정주가 = 목표 멀티플 × 기준 재무지표</w:t>
      </w:r>
    </w:p>
    <w:p>
      <w:pPr>
        <w:spacing w:after="150"/>
      </w:pPr>
      <w:r>
        <w:rPr>
          <w:b w:val="false"/>
          <w:bCs w:val="false"/>
          <w:i w:val="false"/>
          <w:iCs w:val="false"/>
        </w:rPr>
        <w:t xml:space="preserve">예를 들어 동종업계 평균 PER이 15배이고, 대상 기업의 예상 EPS가 5,000원이라면:</w:t>
      </w:r>
    </w:p>
    <w:p>
      <w:pPr>
        <w:spacing w:after="150"/>
      </w:pPr>
      <w:r>
        <w:rPr>
          <w:b w:val="false"/>
          <w:bCs w:val="false"/>
          <w:i w:val="false"/>
          <w:iCs w:val="false"/>
        </w:rPr>
        <w:t xml:space="preserve">적정주가 = 15 × 5,000원 = 75,000원</w:t>
      </w:r>
    </w:p>
    <w:p>
      <w:pPr>
        <w:spacing w:after="150"/>
      </w:pPr>
      <w:r>
        <w:rPr>
          <w:b w:val="false"/>
          <w:bCs w:val="false"/>
          <w:i w:val="false"/>
          <w:iCs w:val="false"/>
        </w:rPr>
        <w:t xml:space="preserve">이 방식은 계산이 간단하고 시장 상황을 반영하지만, "시장 전체가 고평가/저평가 상태"라면 왜곡된 결과를 줄 수 있습니다.</w:t>
      </w:r>
    </w:p>
    <w:p>
      <w:pPr>
        <w:pStyle w:val="Heading3"/>
        <w:spacing w:after="120" w:before="250"/>
      </w:pPr>
      <w:r>
        <w:t xml:space="preserve">(2) 절대가치평가법 - DCF(현금흐름할인법)</w:t>
      </w:r>
    </w:p>
    <w:p>
      <w:pPr>
        <w:spacing w:after="150"/>
      </w:pPr>
      <w:r>
        <w:rPr>
          <w:b w:val="false"/>
          <w:bCs w:val="false"/>
          <w:i w:val="false"/>
          <w:iCs w:val="false"/>
        </w:rPr>
        <w:t xml:space="preserve">DCF는 기업이 미래에 창출할 현금흐름을 현재가치로 환산하는 방식입니다.</w:t>
      </w:r>
    </w:p>
    <w:p>
      <w:pPr>
        <w:spacing w:after="150"/>
      </w:pPr>
      <w:r>
        <w:rPr>
          <w:b w:val="false"/>
          <w:bCs w:val="false"/>
          <w:i w:val="false"/>
          <w:iCs w:val="false"/>
        </w:rPr>
        <w:t xml:space="preserve">기업가치 = Σ [미래 잉여현금흐름 / (1+할인율)^n] + 영구가치</w:t>
      </w:r>
    </w:p>
    <w:p>
      <w:pPr>
        <w:pStyle w:val="ListParagraph"/>
        <w:numPr>
          <w:ilvl w:val="0"/>
          <w:numId w:val="1"/>
        </w:numPr>
        <w:spacing w:after="80"/>
      </w:pPr>
      <w:r>
        <w:t xml:space="preserve">잉여현금흐름(FCF): 영업활동으로 벌어들인 현금에서 필요한 재투자를 뺀 금액</w:t>
      </w:r>
    </w:p>
    <w:p>
      <w:pPr>
        <w:pStyle w:val="ListParagraph"/>
        <w:numPr>
          <w:ilvl w:val="0"/>
          <w:numId w:val="1"/>
        </w:numPr>
        <w:spacing w:after="80"/>
      </w:pPr>
      <w:r>
        <w:t xml:space="preserve">할인율(WACC, 가중평균자본비용): 미래 현금을 현재가치로 환산할 때 쓰는 비율. 통상 자기자본비용과 타인자본비용을 가중평균해서 산출</w:t>
      </w:r>
    </w:p>
    <w:p>
      <w:pPr>
        <w:pStyle w:val="ListParagraph"/>
        <w:numPr>
          <w:ilvl w:val="0"/>
          <w:numId w:val="1"/>
        </w:numPr>
        <w:spacing w:after="80"/>
      </w:pPr>
      <w:r>
        <w:t xml:space="preserve">영구가치(Terminal Value): 예측기간 이후 영구히 지속된다고 가정한 현금흐름의 현재가치</w:t>
      </w:r>
    </w:p>
    <w:p>
      <w:pPr>
        <w:spacing w:after="150"/>
      </w:pPr>
      <w:r>
        <w:rPr>
          <w:b w:val="false"/>
          <w:bCs w:val="false"/>
          <w:i w:val="false"/>
          <w:iCs w:val="false"/>
        </w:rPr>
        <w:t xml:space="preserve">DCF의 장점은 이론적으로 가장 정교하다는 것이지만, 단점은 할인율·성장률 등 가정값의 작은 변화에도 결과값이 크게 흔들리는 "가정 민감도" 문제가 있습니다.</w:t>
      </w:r>
    </w:p>
    <w:p>
      <w:pPr>
        <w:pStyle w:val="Heading3"/>
        <w:spacing w:after="120" w:before="250"/>
      </w:pPr>
      <w:r>
        <w:t xml:space="preserve">(3) 배당할인모형(DDM, Dividend Discount Model)</w:t>
      </w:r>
    </w:p>
    <w:p>
      <w:pPr>
        <w:spacing w:after="150"/>
      </w:pPr>
      <w:r>
        <w:rPr>
          <w:b w:val="false"/>
          <w:bCs w:val="false"/>
          <w:i w:val="false"/>
          <w:iCs w:val="false"/>
        </w:rPr>
        <w:t xml:space="preserve">주로 배당을 안정적으로 지급하는 성숙기업에 활용</w:t>
      </w:r>
    </w:p>
    <w:p>
      <w:pPr>
        <w:spacing w:after="150"/>
      </w:pPr>
      <w:r>
        <w:rPr>
          <w:b w:val="false"/>
          <w:bCs w:val="false"/>
          <w:i w:val="false"/>
          <w:iCs w:val="false"/>
        </w:rPr>
        <w:t xml:space="preserve">적정주가 = 차기 예상 배당금 / (요구수익률 - 배당성장률)</w:t>
      </w:r>
    </w:p>
    <w:p>
      <w:pPr>
        <w:spacing w:after="150"/>
      </w:pPr>
      <w:r>
        <w:rPr>
          <w:b w:val="false"/>
          <w:bCs w:val="false"/>
          <w:i w:val="false"/>
          <w:iCs w:val="false"/>
        </w:rPr>
        <w:t xml:space="preserve">이를 고든성장모형(Gordon Growth Model)이라고도 부릅니다.</w:t>
      </w:r>
    </w:p>
    <w:p>
      <w:pPr>
        <w:pStyle w:val="Heading3"/>
        <w:spacing w:after="120" w:before="250"/>
      </w:pPr>
      <w:r>
        <w:t xml:space="preserve">(4) 자산가치법(NAV, Net Asset Value)</w:t>
      </w:r>
    </w:p>
    <w:p>
      <w:pPr>
        <w:spacing w:after="150"/>
      </w:pPr>
      <w:r>
        <w:rPr>
          <w:b w:val="false"/>
          <w:bCs w:val="false"/>
          <w:i w:val="false"/>
          <w:iCs w:val="false"/>
        </w:rPr>
        <w:t xml:space="preserve">보유 자산의 시가 평가액에서 부채를 뺀 순자산가치를 기준으로 평가. 지주회사, 부동산 관련 기업, 자산이 많은 금융회사 평가에 주로 사용됩니다.</w:t>
      </w:r>
    </w:p>
    <w:p>
      <w:pPr>
        <w:pStyle w:val="Heading2"/>
        <w:spacing w:after="150" w:before="300"/>
      </w:pPr>
      <w:r>
        <w:t xml:space="preserve">4. 실전에서의 적용 방식</w:t>
      </w:r>
    </w:p>
    <w:p>
      <w:pPr>
        <w:spacing w:after="150"/>
      </w:pPr>
      <w:r>
        <w:rPr>
          <w:b w:val="false"/>
          <w:bCs w:val="false"/>
          <w:i w:val="false"/>
          <w:iCs w:val="false"/>
        </w:rPr>
        <w:t xml:space="preserve">애널리스트들은 보통 한 가지 방법만 쓰지 않고 여러 방법을 교차 검증합니다.</w:t>
      </w:r>
    </w:p>
    <w:p>
      <w:pPr>
        <w:spacing w:after="80"/>
      </w:pPr>
      <w:r>
        <w:t xml:space="preserve">1. DCF로 이론적 적정가치 산출</w:t>
      </w:r>
    </w:p>
    <w:p>
      <w:pPr>
        <w:spacing w:after="80"/>
      </w:pPr>
      <w:r>
        <w:t xml:space="preserve">2. 동종업계 PER/EV-EBITDA 밴드로 상대적 위치 확인</w:t>
      </w:r>
    </w:p>
    <w:p>
      <w:pPr>
        <w:spacing w:after="80"/>
      </w:pPr>
      <w:r>
        <w:t xml:space="preserve">3. 과거 자사 주가의 밸류에이션 밴드(PER Band, PBR Band)와 비교해 역사적 관점에서 저평가/고평가 판단</w:t>
      </w:r>
    </w:p>
    <w:p>
      <w:pPr>
        <w:spacing w:after="80"/>
      </w:pPr>
      <w:r>
        <w:t xml:space="preserve">4. 이 세 가지를 종합해 목표주가(Target Price) 제시</w:t>
      </w:r>
    </w:p>
    <w:p>
      <w:pPr>
        <w:pStyle w:val="Heading3"/>
        <w:spacing w:after="120" w:before="250"/>
      </w:pPr>
      <w:r>
        <w:t xml:space="preserve">밸류에이션과 시장가격의 괴리가 발생하는 이유</w:t>
      </w:r>
    </w:p>
    <w:p>
      <w:pPr>
        <w:pStyle w:val="ListParagraph"/>
        <w:numPr>
          <w:ilvl w:val="0"/>
          <w:numId w:val="1"/>
        </w:numPr>
        <w:spacing w:after="80"/>
      </w:pPr>
      <w:r>
        <w:t xml:space="preserve">시장은 미래 성장에 대한 기대(내러티브)를 선반영하는 경우가 많아 현재 실적 기준 멀티플만으로는 설명 안 되는 경우가 흔함</w:t>
      </w:r>
    </w:p>
    <w:p>
      <w:pPr>
        <w:pStyle w:val="ListParagraph"/>
        <w:numPr>
          <w:ilvl w:val="0"/>
          <w:numId w:val="1"/>
        </w:numPr>
        <w:spacing w:after="80"/>
      </w:pPr>
      <w:r>
        <w:t xml:space="preserve">유동성 환경(금리 수준)에 따라 "적정 멀티플" 자체가 시기별로 달라짐 (저금리 시기엔 고PER 정당화, 고금리 시기엔 멀티플 축소 압력)</w:t>
      </w:r>
    </w:p>
    <w:p>
      <w:pPr>
        <w:pStyle w:val="ListParagraph"/>
        <w:numPr>
          <w:ilvl w:val="0"/>
          <w:numId w:val="1"/>
        </w:numPr>
        <w:spacing w:after="80"/>
      </w:pPr>
      <w:r>
        <w:t xml:space="preserve">지배구조, 유동성, 배당정책 등 정성적 요인도 실제 시장가격에 영향을 줌 (한국 시장의 이른바 "코리아 디스카운트"가 대표적 사례)</w:t>
      </w:r>
    </w:p>
    <w:p>
      <w:pPr>
        <w:spacing w:after="150"/>
      </w:pPr>
      <w:r>
        <w:rPr>
          <w:b w:val="false"/>
          <w:bCs w:val="false"/>
          <w:i w:val="false"/>
          <w:iCs w:val="false"/>
        </w:rPr>
        <w:t xml:space="preserve">특정 종목이나 산업(예: 반도체, 바이오, 지주회사)의 밸류에이션 방법론을 더 깊게 살펴보고 싶으시면 말씀해 주세요.</w:t>
      </w:r>
    </w:p>
    <w:p>
      <w:pPr>
        <w:pBdr>
          <w:bottom w:val="single" w:color="AAAAAA" w:sz="6" w:space="1"/>
        </w:pBdr>
        <w:spacing w:after="200" w:before="200"/>
      </w:pPr>
    </w:p>
    <w:p>
      <w:pPr>
        <w:pStyle w:val="Heading1"/>
        <w:spacing w:after="200" w:before="400"/>
      </w:pPr>
      <w:r>
        <w:t xml:space="preserve">6. EPS, PER, PBR, PSR, EV, EBITDA 상세 예시</w:t>
      </w:r>
    </w:p>
    <w:p>
      <w:pPr>
        <w:shd w:fill="EAF1FA" w:val="clear"/>
        <w:spacing w:after="150" w:before="300"/>
      </w:pPr>
      <w:r>
        <w:rPr>
          <w:b/>
          <w:bCs/>
          <w:color w:val="1F4E79"/>
        </w:rPr>
        <w:t xml:space="preserve">사용자: </w:t>
      </w:r>
      <w:r>
        <w:t xml:space="preserve">EPS, PER, PBR, PSR, EV, EBITDA 의 개념을 더 자세히 예를 들어서 설명해 줘</w:t>
      </w:r>
    </w:p>
    <w:p>
      <w:pPr>
        <w:spacing w:after="100" w:before="100"/>
      </w:pPr>
      <w:r>
        <w:rPr>
          <w:b/>
          <w:bCs/>
          <w:color w:val="375623"/>
        </w:rPr>
        <w:t xml:space="preserve">Claude:</w:t>
      </w:r>
    </w:p>
    <w:p>
      <w:pPr>
        <w:spacing w:after="150"/>
      </w:pPr>
      <w:r>
        <w:rPr>
          <w:b w:val="false"/>
          <w:bCs w:val="false"/>
          <w:i w:val="false"/>
          <w:iCs w:val="false"/>
        </w:rPr>
        <w:t xml:space="preserve">EPS, PER, PBR, PSR, EV, EBITDA를 구체적인 숫자 예시와 함께 자세히 설명해 드리겠습니다.</w:t>
      </w:r>
    </w:p>
    <w:p>
      <w:pPr>
        <w:pStyle w:val="Heading2"/>
        <w:spacing w:after="150" w:before="300"/>
      </w:pPr>
      <w:r>
        <w:t xml:space="preserve">1. EPS (Earnings Per Share, 주당순이익)</w:t>
      </w:r>
    </w:p>
    <w:p>
      <w:pPr>
        <w:spacing w:after="150"/>
      </w:pPr>
      <w:r>
        <w:rPr>
          <w:b w:val="false"/>
          <w:bCs w:val="false"/>
          <w:i w:val="false"/>
          <w:iCs w:val="false"/>
        </w:rPr>
        <w:t xml:space="preserve">정의: 기업이 벌어들인 순이익을 발행주식수로 나눈 값. "주식 1주당 얼마의 이익을 냈는가"를 나타냅니다.</w:t>
      </w:r>
    </w:p>
    <w:p>
      <w:pPr>
        <w:pStyle w:val="Heading3"/>
        <w:spacing w:after="120" w:before="250"/>
      </w:pPr>
      <w:r>
        <w:t xml:space="preserve">계산식</w:t>
      </w:r>
    </w:p>
    <w:p>
      <w:pPr>
        <w:spacing w:after="150"/>
      </w:pPr>
      <w:r>
        <w:rPr>
          <w:b w:val="false"/>
          <w:bCs w:val="false"/>
          <w:i w:val="false"/>
          <w:iCs w:val="false"/>
        </w:rPr>
        <w:t xml:space="preserve">EPS = 당기순이익 ÷ 발행주식수</w:t>
      </w:r>
    </w:p>
    <w:p>
      <w:pPr>
        <w:pStyle w:val="Heading3"/>
        <w:spacing w:after="120" w:before="250"/>
      </w:pPr>
      <w:r>
        <w:t xml:space="preserve">예시</w:t>
      </w:r>
    </w:p>
    <w:p>
      <w:pPr>
        <w:spacing w:after="150"/>
      </w:pPr>
      <w:r>
        <w:rPr>
          <w:b w:val="false"/>
          <w:bCs w:val="false"/>
          <w:i w:val="false"/>
          <w:iCs w:val="false"/>
        </w:rPr>
        <w:t xml:space="preserve">A기업의 당기순이익이 1,000억 원이고, 발행주식수가 2,000만 주라면:</w:t>
      </w:r>
    </w:p>
    <w:p>
      <w:pPr>
        <w:spacing w:after="150"/>
      </w:pPr>
      <w:r>
        <w:rPr>
          <w:b w:val="false"/>
          <w:bCs w:val="false"/>
          <w:i w:val="false"/>
          <w:iCs w:val="false"/>
        </w:rPr>
        <w:t xml:space="preserve">EPS = 1,000억 원 ÷ 2,000만 주 = 5,000원</w:t>
      </w:r>
    </w:p>
    <w:p>
      <w:pPr>
        <w:spacing w:after="150"/>
      </w:pPr>
      <w:r>
        <w:rPr>
          <w:b w:val="false"/>
          <w:bCs w:val="false"/>
          <w:i w:val="false"/>
          <w:iCs w:val="false"/>
        </w:rPr>
        <w:t xml:space="preserve">→ 이 회사 주식 1주는 5,000원어치의 순이익을 창출했다는 의미입니다.</w:t>
      </w:r>
    </w:p>
    <w:p>
      <w:pPr>
        <w:pStyle w:val="Heading3"/>
        <w:spacing w:after="120" w:before="250"/>
      </w:pPr>
      <w:r>
        <w:t xml:space="preserve">주의할 점</w:t>
      </w:r>
    </w:p>
    <w:p>
      <w:pPr>
        <w:pStyle w:val="ListParagraph"/>
        <w:numPr>
          <w:ilvl w:val="0"/>
          <w:numId w:val="1"/>
        </w:numPr>
        <w:spacing w:after="80"/>
      </w:pPr>
      <w:r>
        <w:t xml:space="preserve">희석EPS(Diluted EPS): 전환사채, 스톡옵션 등이 모두 주식으로 전환됐다고 가정할 때의 EPS. 기본EPS보다 항상 같거나 낮음 (분모인 주식수가 늘어나므로)</w:t>
      </w:r>
    </w:p>
    <w:p>
      <w:pPr>
        <w:pStyle w:val="ListParagraph"/>
        <w:numPr>
          <w:ilvl w:val="0"/>
          <w:numId w:val="1"/>
        </w:numPr>
        <w:spacing w:after="80"/>
      </w:pPr>
      <w:r>
        <w:t xml:space="preserve">자사주 매입 효과: 기업이 자사주를 매입해 소각하면 발행주식수가 줄어 순이익 변화 없이도 EPS가 상승 (이 때문에 미국 빅테크들이 자사주 매입을 활발히 하는 이유 중 하나)</w:t>
      </w:r>
    </w:p>
    <w:p>
      <w:pPr>
        <w:pStyle w:val="Heading2"/>
        <w:spacing w:after="150" w:before="300"/>
      </w:pPr>
      <w:r>
        <w:t xml:space="preserve">2. PER (Price Earnings Ratio, 주가수익비율)</w:t>
      </w:r>
    </w:p>
    <w:p>
      <w:pPr>
        <w:spacing w:after="150"/>
      </w:pPr>
      <w:r>
        <w:rPr>
          <w:b w:val="false"/>
          <w:bCs w:val="false"/>
          <w:i w:val="false"/>
          <w:iCs w:val="false"/>
        </w:rPr>
        <w:t xml:space="preserve">정의: 주가가 EPS의 몇 배인지를 나타내는 비율. "이익 대비 주가가 얼마나 비싼가"를 측정</w:t>
      </w:r>
    </w:p>
    <w:p>
      <w:pPr>
        <w:pStyle w:val="Heading3"/>
        <w:spacing w:after="120" w:before="250"/>
      </w:pPr>
      <w:r>
        <w:t xml:space="preserve">계산식</w:t>
      </w:r>
    </w:p>
    <w:p>
      <w:pPr>
        <w:spacing w:after="150"/>
      </w:pPr>
      <w:r>
        <w:rPr>
          <w:b w:val="false"/>
          <w:bCs w:val="false"/>
          <w:i w:val="false"/>
          <w:iCs w:val="false"/>
        </w:rPr>
        <w:t xml:space="preserve">PER = 주가 ÷ EPS</w:t>
      </w:r>
    </w:p>
    <w:p>
      <w:pPr>
        <w:pStyle w:val="Heading3"/>
        <w:spacing w:after="120" w:before="250"/>
      </w:pPr>
      <w:r>
        <w:t xml:space="preserve">예시</w:t>
      </w:r>
    </w:p>
    <w:p>
      <w:pPr>
        <w:spacing w:after="150"/>
      </w:pPr>
      <w:r>
        <w:rPr>
          <w:b w:val="false"/>
          <w:bCs w:val="false"/>
          <w:i w:val="false"/>
          <w:iCs w:val="false"/>
        </w:rPr>
        <w:t xml:space="preserve">A기업 주가가 100,000원이고 EPS가 5,000원이라면:</w:t>
      </w:r>
    </w:p>
    <w:p>
      <w:pPr>
        <w:spacing w:after="150"/>
      </w:pPr>
      <w:r>
        <w:rPr>
          <w:b w:val="false"/>
          <w:bCs w:val="false"/>
          <w:i w:val="false"/>
          <w:iCs w:val="false"/>
        </w:rPr>
        <w:t xml:space="preserve">PER = 100,000원 ÷ 5,000원 = 20배</w:t>
      </w:r>
    </w:p>
    <w:p>
      <w:pPr>
        <w:spacing w:after="150"/>
      </w:pPr>
      <w:r>
        <w:rPr>
          <w:b w:val="false"/>
          <w:bCs w:val="false"/>
          <w:i w:val="false"/>
          <w:iCs w:val="false"/>
        </w:rPr>
        <w:t xml:space="preserve">→ "현재 이익 수준이 유지된다면 투자원금을 회수하는 데 이론적으로 20년이 걸린다"고 해석하거나, "시장이 이 회사 이익의 20배 가치를 인정하고 있다"고 봅니다.</w:t>
      </w:r>
    </w:p>
    <w:p>
      <w:pPr>
        <w:pStyle w:val="Heading3"/>
        <w:spacing w:after="120" w:before="250"/>
      </w:pPr>
      <w:r>
        <w:t xml:space="preserve">동종업계 비교 예시</w:t>
      </w:r>
    </w:p>
    <w:p>
      <w:pPr>
        <w:pStyle w:val="ListParagraph"/>
        <w:numPr>
          <w:ilvl w:val="0"/>
          <w:numId w:val="1"/>
        </w:numPr>
        <w:spacing w:after="80"/>
      </w:pPr>
      <w:r>
        <w:t xml:space="preserve">B기업(경쟁사) PER: 12배 → A기업(20배)보다 상대적으로 저평가되어 보임</w:t>
      </w:r>
    </w:p>
    <w:p>
      <w:pPr>
        <w:pStyle w:val="ListParagraph"/>
        <w:numPr>
          <w:ilvl w:val="0"/>
          <w:numId w:val="1"/>
        </w:numPr>
        <w:spacing w:after="80"/>
      </w:pPr>
      <w:r>
        <w:t xml:space="preserve">단, A기업의 이익성장률이 B기업보다 훨씬 높다면 높은 PER이 정당화될 수 있음 (이때 PEG로 보완: PER 20 ÷ 성장률 20% = PEG 1.0 vs B기업 PER 12 ÷ 성장률 5% = PEG 2.4 → 오히려 A기업이 성장 대비 저평가)</w:t>
      </w:r>
    </w:p>
    <w:p>
      <w:pPr>
        <w:pStyle w:val="Heading2"/>
        <w:spacing w:after="150" w:before="300"/>
      </w:pPr>
      <w:r>
        <w:t xml:space="preserve">3. PBR (Price Book-value Ratio, 주가순자산비율)</w:t>
      </w:r>
    </w:p>
    <w:p>
      <w:pPr>
        <w:spacing w:after="150"/>
      </w:pPr>
      <w:r>
        <w:rPr>
          <w:b w:val="false"/>
          <w:bCs w:val="false"/>
          <w:i w:val="false"/>
          <w:iCs w:val="false"/>
        </w:rPr>
        <w:t xml:space="preserve">정의: 주가가 주당순자산(장부가치)의 몇 배인지 나타내는 비율</w:t>
      </w:r>
    </w:p>
    <w:p>
      <w:pPr>
        <w:pStyle w:val="Heading3"/>
        <w:spacing w:after="120" w:before="250"/>
      </w:pPr>
      <w:r>
        <w:t xml:space="preserve">계산식</w:t>
      </w:r>
    </w:p>
    <w:p>
      <w:pPr>
        <w:spacing w:after="150"/>
      </w:pPr>
      <w:r>
        <w:rPr>
          <w:b w:val="false"/>
          <w:bCs w:val="false"/>
          <w:i w:val="false"/>
          <w:iCs w:val="false"/>
        </w:rPr>
        <w:t xml:space="preserve">PBR = 주가 ÷ BPS(주당순자산) = 시가총액 ÷ 순자산(자본총계)</w:t>
      </w:r>
    </w:p>
    <w:p>
      <w:pPr>
        <w:pStyle w:val="Heading3"/>
        <w:spacing w:after="120" w:before="250"/>
      </w:pPr>
      <w:r>
        <w:t xml:space="preserve">예시</w:t>
      </w:r>
    </w:p>
    <w:p>
      <w:pPr>
        <w:spacing w:after="150"/>
      </w:pPr>
      <w:r>
        <w:rPr>
          <w:b w:val="false"/>
          <w:bCs w:val="false"/>
          <w:i w:val="false"/>
          <w:iCs w:val="false"/>
        </w:rPr>
        <w:t xml:space="preserve">A기업의 자본총계(순자산)가 8,000억 원이고 발행주식수가 2,000만 주라면:</w:t>
      </w:r>
    </w:p>
    <w:p>
      <w:pPr>
        <w:spacing w:after="150"/>
      </w:pPr>
      <w:r>
        <w:rPr>
          <w:b w:val="false"/>
          <w:bCs w:val="false"/>
          <w:i w:val="false"/>
          <w:iCs w:val="false"/>
        </w:rPr>
        <w:t xml:space="preserve">BPS = 8,000억 원 ÷ 2,000만 주 = 40,000원</w:t>
      </w:r>
    </w:p>
    <w:p>
      <w:pPr>
        <w:spacing w:after="150"/>
      </w:pPr>
      <w:r>
        <w:rPr>
          <w:b w:val="false"/>
          <w:bCs w:val="false"/>
          <w:i w:val="false"/>
          <w:iCs w:val="false"/>
        </w:rPr>
        <w:t xml:space="preserve">PBR = 100,000원 ÷ 40,000원 = 2.5배</w:t>
      </w:r>
    </w:p>
    <w:p>
      <w:pPr>
        <w:spacing w:after="150"/>
      </w:pPr>
      <w:r>
        <w:rPr>
          <w:b w:val="false"/>
          <w:bCs w:val="false"/>
          <w:i w:val="false"/>
          <w:iCs w:val="false"/>
        </w:rPr>
        <w:t xml:space="preserve">→ 시장이 이 회사의 장부상 순자산가치보다 2.5배 높게 평가하고 있다는 뜻입니다.</w:t>
      </w:r>
    </w:p>
    <w:p>
      <w:pPr>
        <w:pStyle w:val="Heading3"/>
        <w:spacing w:after="120" w:before="250"/>
      </w:pPr>
      <w:r>
        <w:t xml:space="preserve">PBR 1배 미만의 의미</w:t>
      </w:r>
    </w:p>
    <w:p>
      <w:pPr>
        <w:spacing w:after="150"/>
      </w:pPr>
      <w:r>
        <w:rPr>
          <w:b w:val="false"/>
          <w:bCs w:val="false"/>
          <w:i w:val="false"/>
          <w:iCs w:val="false"/>
        </w:rPr>
        <w:t xml:space="preserve">PBR이 1배 미만이면 이론상 "회사를 청산해서 자산을 나눠 갖는 것이 현재 주가로 사는 것보다 유리하다"는 의미가 되어, 자산가치 대비 저평가 신호로 해석되곤 합니다. 다만 이는 자산의 장부가와 실제 처분가치가 다를 수 있다는 한계가 있습니다. 예를 들어 한국의 은행주나 지주회사들이 PBR 0.3~0.5배 수준에서 거래되는 경우가 많은데, 이는 "코리아 디스카운트"의 대표적 사례로 자주 언급됩니다.</w:t>
      </w:r>
    </w:p>
    <w:p>
      <w:pPr>
        <w:pStyle w:val="Heading3"/>
        <w:spacing w:after="120" w:before="250"/>
      </w:pPr>
      <w:r>
        <w:t xml:space="preserve">PBR이 적합한 업종</w:t>
      </w:r>
    </w:p>
    <w:p>
      <w:pPr>
        <w:spacing w:after="150"/>
      </w:pPr>
      <w:r>
        <w:rPr>
          <w:b w:val="false"/>
          <w:bCs w:val="false"/>
          <w:i w:val="false"/>
          <w:iCs w:val="false"/>
        </w:rPr>
        <w:t xml:space="preserve">자산 규모가 실적에 직결되는 은행, 보험, 지주회사, 부동산 관련 기업</w:t>
      </w:r>
    </w:p>
    <w:p>
      <w:pPr>
        <w:pStyle w:val="Heading2"/>
        <w:spacing w:after="150" w:before="300"/>
      </w:pPr>
      <w:r>
        <w:t xml:space="preserve">4. PSR (Price Sales Ratio, 주가매출비율)</w:t>
      </w:r>
    </w:p>
    <w:p>
      <w:pPr>
        <w:spacing w:after="150"/>
      </w:pPr>
      <w:r>
        <w:rPr>
          <w:b w:val="false"/>
          <w:bCs w:val="false"/>
          <w:i w:val="false"/>
          <w:iCs w:val="false"/>
        </w:rPr>
        <w:t xml:space="preserve">정의: 시가총액을 매출액으로 나눈 값. 이익이 아직 없거나 적자인 성장기업 평가에 활용</w:t>
      </w:r>
    </w:p>
    <w:p>
      <w:pPr>
        <w:pStyle w:val="Heading3"/>
        <w:spacing w:after="120" w:before="250"/>
      </w:pPr>
      <w:r>
        <w:t xml:space="preserve">계산식</w:t>
      </w:r>
    </w:p>
    <w:p>
      <w:pPr>
        <w:spacing w:after="150"/>
      </w:pPr>
      <w:r>
        <w:rPr>
          <w:b w:val="false"/>
          <w:bCs w:val="false"/>
          <w:i w:val="false"/>
          <w:iCs w:val="false"/>
        </w:rPr>
        <w:t xml:space="preserve">PSR = 시가총액 ÷ 매출액</w:t>
      </w:r>
    </w:p>
    <w:p>
      <w:pPr>
        <w:pStyle w:val="Heading3"/>
        <w:spacing w:after="120" w:before="250"/>
      </w:pPr>
      <w:r>
        <w:t xml:space="preserve">예시</w:t>
      </w:r>
    </w:p>
    <w:p>
      <w:pPr>
        <w:spacing w:after="150"/>
      </w:pPr>
      <w:r>
        <w:rPr>
          <w:b w:val="false"/>
          <w:bCs w:val="false"/>
          <w:i w:val="false"/>
          <w:iCs w:val="false"/>
        </w:rPr>
        <w:t xml:space="preserve">C기업(적자 상태의 스타트업 상장사)의 시가총액이 1조 원, 연매출이 2,000억 원이라면:</w:t>
      </w:r>
    </w:p>
    <w:p>
      <w:pPr>
        <w:spacing w:after="150"/>
      </w:pPr>
      <w:r>
        <w:rPr>
          <w:b w:val="false"/>
          <w:bCs w:val="false"/>
          <w:i w:val="false"/>
          <w:iCs w:val="false"/>
        </w:rPr>
        <w:t xml:space="preserve">PSR = 1조 원 ÷ 2,000억 원 = 5배</w:t>
      </w:r>
    </w:p>
    <w:p>
      <w:pPr>
        <w:spacing w:after="150"/>
      </w:pPr>
      <w:r>
        <w:rPr>
          <w:b w:val="false"/>
          <w:bCs w:val="false"/>
          <w:i w:val="false"/>
          <w:iCs w:val="false"/>
        </w:rPr>
        <w:t xml:space="preserve">→ 매출의 5배로 거래되고 있다는 의미. PER은 순이익이 마이너스면 계산 자체가 무의미해지지만(음수 PER은 해석 불가), PSR은 매출만 있으면 계산 가능하다는 장점이 있습니다.</w:t>
      </w:r>
    </w:p>
    <w:p>
      <w:pPr>
        <w:pStyle w:val="Heading3"/>
        <w:spacing w:after="120" w:before="250"/>
      </w:pPr>
      <w:r>
        <w:t xml:space="preserve">활용 예</w:t>
      </w:r>
    </w:p>
    <w:p>
      <w:pPr>
        <w:spacing w:after="150"/>
      </w:pPr>
      <w:r>
        <w:rPr>
          <w:b w:val="false"/>
          <w:bCs w:val="false"/>
          <w:i w:val="false"/>
          <w:iCs w:val="false"/>
        </w:rPr>
        <w:t xml:space="preserve">쿠팡, 테슬라 초기 시절처럼 적자였지만 매출 성장이 빠른 기업을 평가할 때, 또는 SaaS(구독형 소프트웨어) 기업 평가에서 널리 쓰입니다.</w:t>
      </w:r>
    </w:p>
    <w:p>
      <w:pPr>
        <w:pStyle w:val="Heading3"/>
        <w:spacing w:after="120" w:before="250"/>
      </w:pPr>
      <w:r>
        <w:t xml:space="preserve">한계</w:t>
      </w:r>
    </w:p>
    <w:p>
      <w:pPr>
        <w:spacing w:after="150"/>
      </w:pPr>
      <w:r>
        <w:rPr>
          <w:b w:val="false"/>
          <w:bCs w:val="false"/>
          <w:i w:val="false"/>
          <w:iCs w:val="false"/>
        </w:rPr>
        <w:t xml:space="preserve">매출만 보고 수익성(마진)을 반영하지 못하므로, 매출은 크지만 마진이 형편없는 기업도 낮은 PSR로 착시를 줄 수 있음</w:t>
      </w:r>
    </w:p>
    <w:p>
      <w:pPr>
        <w:pStyle w:val="Heading2"/>
        <w:spacing w:after="150" w:before="300"/>
      </w:pPr>
      <w:r>
        <w:t xml:space="preserve">5. EV (Enterprise Value, 기업가치)</w:t>
      </w:r>
    </w:p>
    <w:p>
      <w:pPr>
        <w:spacing w:after="150"/>
      </w:pPr>
      <w:r>
        <w:rPr>
          <w:b w:val="false"/>
          <w:bCs w:val="false"/>
          <w:i w:val="false"/>
          <w:iCs w:val="false"/>
        </w:rPr>
        <w:t xml:space="preserve">정의: 기업 전체를 인수한다고 가정할 때 실질적으로 지불해야 하는 총 가치. 주주 몫(시가총액)뿐 아니라 채권자 몫(순부채)까지 포함</w:t>
      </w:r>
    </w:p>
    <w:p>
      <w:pPr>
        <w:pStyle w:val="Heading3"/>
        <w:spacing w:after="120" w:before="250"/>
      </w:pPr>
      <w:r>
        <w:t xml:space="preserve">계산식</w:t>
      </w:r>
    </w:p>
    <w:p>
      <w:pPr>
        <w:spacing w:after="150"/>
      </w:pPr>
      <w:r>
        <w:rPr>
          <w:b w:val="false"/>
          <w:bCs w:val="false"/>
          <w:i w:val="false"/>
          <w:iCs w:val="false"/>
        </w:rPr>
        <w:t xml:space="preserve">EV = 시가총액 + 총차입금(부채) - 현금 및 현금성자산</w:t>
      </w:r>
    </w:p>
    <w:p>
      <w:pPr>
        <w:pStyle w:val="Heading3"/>
        <w:spacing w:after="120" w:before="250"/>
      </w:pPr>
      <w:r>
        <w:t xml:space="preserve">예시</w:t>
      </w:r>
    </w:p>
    <w:p>
      <w:pPr>
        <w:spacing w:after="150"/>
      </w:pPr>
      <w:r>
        <w:rPr>
          <w:b w:val="false"/>
          <w:bCs w:val="false"/>
          <w:i w:val="false"/>
          <w:iCs w:val="false"/>
        </w:rPr>
        <w:t xml:space="preserve">D기업의 시가총액이 5,000억 원, 총차입금이 2,000억 원, 보유 현금이 500억 원이라면:</w:t>
      </w:r>
    </w:p>
    <w:p>
      <w:pPr>
        <w:spacing w:after="150"/>
      </w:pPr>
      <w:r>
        <w:rPr>
          <w:b w:val="false"/>
          <w:bCs w:val="false"/>
          <w:i w:val="false"/>
          <w:iCs w:val="false"/>
        </w:rPr>
        <w:t xml:space="preserve">EV = 5,000억 원 + 2,000억 원 - 500억 원 = 6,500억 원</w:t>
      </w:r>
    </w:p>
    <w:p>
      <w:pPr>
        <w:spacing w:after="150"/>
      </w:pPr>
      <w:r>
        <w:rPr>
          <w:b w:val="false"/>
          <w:bCs w:val="false"/>
          <w:i w:val="false"/>
          <w:iCs w:val="false"/>
        </w:rPr>
        <w:t xml:space="preserve">→ 이 회사를 통째로 인수하려면 주식을 다 사는 것(5,000억 원) 외에 부채도 떠안아야 하지만(+2,000억 원), 회사가 가진 현금은 인수 후 바로 회수 가능하므로(-500억 원) 실질 인수 비용은 6,500억 원이라는 논리입니다.</w:t>
      </w:r>
    </w:p>
    <w:p>
      <w:pPr>
        <w:pStyle w:val="Heading3"/>
        <w:spacing w:after="120" w:before="250"/>
      </w:pPr>
      <w:r>
        <w:t xml:space="preserve">왜 시가총액만으로는 부족한가</w:t>
      </w:r>
    </w:p>
    <w:p>
      <w:pPr>
        <w:spacing w:after="150"/>
      </w:pPr>
      <w:r>
        <w:rPr>
          <w:b w:val="false"/>
          <w:bCs w:val="false"/>
          <w:i w:val="false"/>
          <w:iCs w:val="false"/>
        </w:rPr>
        <w:t xml:space="preserve">두 회사가 시가총액이 똑같이 5,000억 원이어도, 한 회사는 부채가 전혀 없고 다른 회사는 부채가 3,000억 원이라면 실질적인 기업 규모와 위험도는 전혀 다릅니다. EV는 이 차이를 반영합니다.</w:t>
      </w:r>
    </w:p>
    <w:p>
      <w:pPr>
        <w:pStyle w:val="Heading2"/>
        <w:spacing w:after="150" w:before="300"/>
      </w:pPr>
      <w:r>
        <w:t xml:space="preserve">6. EBITDA (Earnings Before Interest, Taxes, Depreciation and Amortization)</w:t>
      </w:r>
    </w:p>
    <w:p>
      <w:pPr>
        <w:spacing w:after="150"/>
      </w:pPr>
      <w:r>
        <w:rPr>
          <w:b w:val="false"/>
          <w:bCs w:val="false"/>
          <w:i w:val="false"/>
          <w:iCs w:val="false"/>
        </w:rPr>
        <w:t xml:space="preserve">정의: 이자, 세금, 감가상각비를 차감하기 전의 영업이익. 기업의 "현금창출능력"에 가깝게 근사한 지표</w:t>
      </w:r>
    </w:p>
    <w:p>
      <w:pPr>
        <w:pStyle w:val="Heading3"/>
        <w:spacing w:after="120" w:before="250"/>
      </w:pPr>
      <w:r>
        <w:t xml:space="preserve">계산식</w:t>
      </w:r>
    </w:p>
    <w:p>
      <w:pPr>
        <w:spacing w:after="150"/>
      </w:pPr>
      <w:r>
        <w:rPr>
          <w:b w:val="false"/>
          <w:bCs w:val="false"/>
          <w:i w:val="false"/>
          <w:iCs w:val="false"/>
        </w:rPr>
        <w:t xml:space="preserve">EBITDA = 영업이익 + 감가상각비 + 무형자산상각비</w:t>
      </w:r>
    </w:p>
    <w:p>
      <w:pPr>
        <w:pStyle w:val="Heading3"/>
        <w:spacing w:after="120" w:before="250"/>
      </w:pPr>
      <w:r>
        <w:t xml:space="preserve">예시</w:t>
      </w:r>
    </w:p>
    <w:p>
      <w:pPr>
        <w:spacing w:after="150"/>
      </w:pPr>
      <w:r>
        <w:rPr>
          <w:b w:val="false"/>
          <w:bCs w:val="false"/>
          <w:i w:val="false"/>
          <w:iCs w:val="false"/>
        </w:rPr>
        <w:t xml:space="preserve">E기업의 영업이익이 800억 원, 감가상각비가 200억 원이라면:</w:t>
      </w:r>
    </w:p>
    <w:p>
      <w:pPr>
        <w:spacing w:after="150"/>
      </w:pPr>
      <w:r>
        <w:rPr>
          <w:b w:val="false"/>
          <w:bCs w:val="false"/>
          <w:i w:val="false"/>
          <w:iCs w:val="false"/>
        </w:rPr>
        <w:t xml:space="preserve">EBITDA = 800억 원 + 200억 원 = 1,000억 원</w:t>
      </w:r>
    </w:p>
    <w:p>
      <w:pPr>
        <w:pStyle w:val="Heading3"/>
        <w:spacing w:after="120" w:before="250"/>
      </w:pPr>
      <w:r>
        <w:t xml:space="preserve">왜 감가상각을 다시 더하는가</w:t>
      </w:r>
    </w:p>
    <w:p>
      <w:pPr>
        <w:spacing w:after="150"/>
      </w:pPr>
      <w:r>
        <w:rPr>
          <w:b w:val="false"/>
          <w:bCs w:val="false"/>
          <w:i w:val="false"/>
          <w:iCs w:val="false"/>
        </w:rPr>
        <w:t xml:space="preserve">감가상각비는 실제 현금이 나가는 비용이 아니라 과거 설비투자를 회계상 나눠서 비용 처리하는 것이므로, "현금 기준 수익성"을 보려면 다시 더해주는 것입니다. 특히 설비투자가 큰 반도체, 통신, 항공 산업에서 EBITDA가 실적을 더 잘 보여준다고 평가받습니다.</w:t>
      </w:r>
    </w:p>
    <w:p>
      <w:pPr>
        <w:pStyle w:val="Heading2"/>
        <w:spacing w:after="150" w:before="300"/>
      </w:pPr>
      <w:r>
        <w:t xml:space="preserve">7. EV/EBITDA - 종합 예시</w:t>
      </w:r>
    </w:p>
    <w:p>
      <w:pPr>
        <w:pStyle w:val="Heading3"/>
        <w:spacing w:after="120" w:before="250"/>
      </w:pPr>
      <w:r>
        <w:t xml:space="preserve">계산식</w:t>
      </w:r>
    </w:p>
    <w:p>
      <w:pPr>
        <w:spacing w:after="150"/>
      </w:pPr>
      <w:r>
        <w:rPr>
          <w:b w:val="false"/>
          <w:bCs w:val="false"/>
          <w:i w:val="false"/>
          <w:iCs w:val="false"/>
        </w:rPr>
        <w:t xml:space="preserve">EV/EBITDA = 기업가치 ÷ EBITDA</w:t>
      </w:r>
    </w:p>
    <w:p>
      <w:pPr>
        <w:pStyle w:val="Heading3"/>
        <w:spacing w:after="120" w:before="250"/>
      </w:pPr>
      <w:r>
        <w:t xml:space="preserve">예시 (D기업과 E기업이 같은 회사라고 가정, 통합 예시)</w:t>
      </w:r>
    </w:p>
    <w:p>
      <w:pPr>
        <w:pStyle w:val="ListParagraph"/>
        <w:numPr>
          <w:ilvl w:val="0"/>
          <w:numId w:val="1"/>
        </w:numPr>
        <w:spacing w:after="80"/>
      </w:pPr>
      <w:r>
        <w:t xml:space="preserve">EV = 6,500억 원</w:t>
      </w:r>
    </w:p>
    <w:p>
      <w:pPr>
        <w:pStyle w:val="ListParagraph"/>
        <w:numPr>
          <w:ilvl w:val="0"/>
          <w:numId w:val="1"/>
        </w:numPr>
        <w:spacing w:after="80"/>
      </w:pPr>
      <w:r>
        <w:t xml:space="preserve">EBITDA = 1,000억 원</w:t>
      </w:r>
    </w:p>
    <w:p>
      <w:pPr>
        <w:pStyle w:val="ListParagraph"/>
        <w:numPr>
          <w:ilvl w:val="0"/>
          <w:numId w:val="1"/>
        </w:numPr>
        <w:spacing w:after="80"/>
      </w:pPr>
      <w:r>
        <w:t xml:space="preserve">EV/EBITDA = 6.5배</w:t>
      </w:r>
    </w:p>
    <w:p>
      <w:pPr>
        <w:pStyle w:val="Heading3"/>
        <w:spacing w:after="120" w:before="250"/>
      </w:pPr>
      <w:r>
        <w:t xml:space="preserve">PER과 비교했을 때의 장점</w:t>
      </w:r>
    </w:p>
    <w:p>
      <w:pPr>
        <w:spacing w:after="150"/>
      </w:pPr>
      <w:r>
        <w:rPr>
          <w:b w:val="false"/>
          <w:bCs w:val="false"/>
          <w:i w:val="false"/>
          <w:iCs w:val="false"/>
        </w:rPr>
        <w:t xml:space="preserve">두 회사 F(부채 없음)와 G(부채 많음)를 비교한다고 가정합니다.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2F3" w:val="clear"/>
          </w:tcPr>
          <w:p>
            <w:r>
              <w:rPr>
                <w:b/>
                <w:bCs/>
              </w:rPr>
              <w:t xml:space="preserve">구분</w:t>
            </w:r>
          </w:p>
        </w:tc>
        <w:tc>
          <w:tcPr>
            <w:tcW w:type="dxa" w:w="3000"/>
            <w:shd w:fill="D9E2F3" w:val="clear"/>
          </w:tcPr>
          <w:p>
            <w:r>
              <w:rPr>
                <w:b/>
                <w:bCs/>
              </w:rPr>
              <w:t xml:space="preserve">F기업</w:t>
            </w:r>
          </w:p>
        </w:tc>
        <w:tc>
          <w:tcPr>
            <w:tcW w:type="dxa" w:w="3000"/>
            <w:shd w:fill="D9E2F3" w:val="clear"/>
          </w:tcPr>
          <w:p>
            <w:r>
              <w:rPr>
                <w:b/>
                <w:bCs/>
              </w:rPr>
              <w:t xml:space="preserve">G기업</w:t>
            </w:r>
          </w:p>
        </w:tc>
      </w:tr>
      <w:tr>
        <w:tc>
          <w:tcPr>
            <w:tcW w:type="dxa" w:w="3000"/>
          </w:tcPr>
          <w:p>
            <w:r>
              <w:rPr>
                <w:b w:val="false"/>
                <w:bCs w:val="false"/>
              </w:rPr>
              <w:t xml:space="preserve">영업이익</w:t>
            </w:r>
          </w:p>
        </w:tc>
        <w:tc>
          <w:tcPr>
            <w:tcW w:type="dxa" w:w="3000"/>
          </w:tcPr>
          <w:p>
            <w:r>
              <w:rPr>
                <w:b w:val="false"/>
                <w:bCs w:val="false"/>
              </w:rPr>
              <w:t xml:space="preserve">500억 원</w:t>
            </w:r>
          </w:p>
        </w:tc>
        <w:tc>
          <w:tcPr>
            <w:tcW w:type="dxa" w:w="3000"/>
          </w:tcPr>
          <w:p>
            <w:r>
              <w:rPr>
                <w:b w:val="false"/>
                <w:bCs w:val="false"/>
              </w:rPr>
              <w:t xml:space="preserve">500억 원</w:t>
            </w:r>
          </w:p>
        </w:tc>
      </w:tr>
      <w:tr>
        <w:tc>
          <w:tcPr>
            <w:tcW w:type="dxa" w:w="3000"/>
          </w:tcPr>
          <w:p>
            <w:r>
              <w:rPr>
                <w:b w:val="false"/>
                <w:bCs w:val="false"/>
              </w:rPr>
              <w:t xml:space="preserve">이자비용</w:t>
            </w:r>
          </w:p>
        </w:tc>
        <w:tc>
          <w:tcPr>
            <w:tcW w:type="dxa" w:w="3000"/>
          </w:tcPr>
          <w:p>
            <w:r>
              <w:rPr>
                <w:b w:val="false"/>
                <w:bCs w:val="false"/>
              </w:rPr>
              <w:t xml:space="preserve">0원</w:t>
            </w:r>
          </w:p>
        </w:tc>
        <w:tc>
          <w:tcPr>
            <w:tcW w:type="dxa" w:w="3000"/>
          </w:tcPr>
          <w:p>
            <w:r>
              <w:rPr>
                <w:b w:val="false"/>
                <w:bCs w:val="false"/>
              </w:rPr>
              <w:t xml:space="preserve">200억 원</w:t>
            </w:r>
          </w:p>
        </w:tc>
      </w:tr>
      <w:tr>
        <w:tc>
          <w:tcPr>
            <w:tcW w:type="dxa" w:w="3000"/>
          </w:tcPr>
          <w:p>
            <w:r>
              <w:rPr>
                <w:b w:val="false"/>
                <w:bCs w:val="false"/>
              </w:rPr>
              <w:t xml:space="preserve">순이익</w:t>
            </w:r>
          </w:p>
        </w:tc>
        <w:tc>
          <w:tcPr>
            <w:tcW w:type="dxa" w:w="3000"/>
          </w:tcPr>
          <w:p>
            <w:r>
              <w:rPr>
                <w:b w:val="false"/>
                <w:bCs w:val="false"/>
              </w:rPr>
              <w:t xml:space="preserve">400억 원(세율 20%가정)</w:t>
            </w:r>
          </w:p>
        </w:tc>
        <w:tc>
          <w:tcPr>
            <w:tcW w:type="dxa" w:w="3000"/>
          </w:tcPr>
          <w:p>
            <w:r>
              <w:rPr>
                <w:b w:val="false"/>
                <w:bCs w:val="false"/>
              </w:rPr>
              <w:t xml:space="preserve">240억 원</w:t>
            </w:r>
          </w:p>
        </w:tc>
      </w:tr>
      <w:tr>
        <w:tc>
          <w:tcPr>
            <w:tcW w:type="dxa" w:w="3000"/>
          </w:tcPr>
          <w:p>
            <w:r>
              <w:rPr>
                <w:b w:val="false"/>
                <w:bCs w:val="false"/>
              </w:rPr>
              <w:t xml:space="preserve">시가총액</w:t>
            </w:r>
          </w:p>
        </w:tc>
        <w:tc>
          <w:tcPr>
            <w:tcW w:type="dxa" w:w="3000"/>
          </w:tcPr>
          <w:p>
            <w:r>
              <w:rPr>
                <w:b w:val="false"/>
                <w:bCs w:val="false"/>
              </w:rPr>
              <w:t xml:space="preserve">4,000억 원</w:t>
            </w:r>
          </w:p>
        </w:tc>
        <w:tc>
          <w:tcPr>
            <w:tcW w:type="dxa" w:w="3000"/>
          </w:tcPr>
          <w:p>
            <w:r>
              <w:rPr>
                <w:b w:val="false"/>
                <w:bCs w:val="false"/>
              </w:rPr>
              <w:t xml:space="preserve">4,000억 원</w:t>
            </w:r>
          </w:p>
        </w:tc>
      </w:tr>
      <w:tr>
        <w:tc>
          <w:tcPr>
            <w:tcW w:type="dxa" w:w="3000"/>
          </w:tcPr>
          <w:p>
            <w:r>
              <w:rPr>
                <w:b w:val="false"/>
                <w:bCs w:val="false"/>
              </w:rPr>
              <w:t xml:space="preserve">PER</w:t>
            </w:r>
          </w:p>
        </w:tc>
        <w:tc>
          <w:tcPr>
            <w:tcW w:type="dxa" w:w="3000"/>
          </w:tcPr>
          <w:p>
            <w:r>
              <w:rPr>
                <w:b w:val="false"/>
                <w:bCs w:val="false"/>
              </w:rPr>
              <w:t xml:space="preserve">10배</w:t>
            </w:r>
          </w:p>
        </w:tc>
        <w:tc>
          <w:tcPr>
            <w:tcW w:type="dxa" w:w="3000"/>
          </w:tcPr>
          <w:p>
            <w:r>
              <w:rPr>
                <w:b w:val="false"/>
                <w:bCs w:val="false"/>
              </w:rPr>
              <w:t xml:space="preserve">16.7배</w:t>
            </w:r>
          </w:p>
        </w:tc>
      </w:tr>
      <w:tr>
        <w:tc>
          <w:tcPr>
            <w:tcW w:type="dxa" w:w="3000"/>
          </w:tcPr>
          <w:p>
            <w:r>
              <w:rPr>
                <w:b w:val="false"/>
                <w:bCs w:val="false"/>
              </w:rPr>
              <w:t xml:space="preserve">EV(부채 포함)</w:t>
            </w:r>
          </w:p>
        </w:tc>
        <w:tc>
          <w:tcPr>
            <w:tcW w:type="dxa" w:w="3000"/>
          </w:tcPr>
          <w:p>
            <w:r>
              <w:rPr>
                <w:b w:val="false"/>
                <w:bCs w:val="false"/>
              </w:rPr>
              <w:t xml:space="preserve">4,000억 원</w:t>
            </w:r>
          </w:p>
        </w:tc>
        <w:tc>
          <w:tcPr>
            <w:tcW w:type="dxa" w:w="3000"/>
          </w:tcPr>
          <w:p>
            <w:r>
              <w:rPr>
                <w:b w:val="false"/>
                <w:bCs w:val="false"/>
              </w:rPr>
              <w:t xml:space="preserve">6,000억 원</w:t>
            </w:r>
          </w:p>
        </w:tc>
      </w:tr>
      <w:tr>
        <w:tc>
          <w:tcPr>
            <w:tcW w:type="dxa" w:w="3000"/>
          </w:tcPr>
          <w:p>
            <w:r>
              <w:rPr>
                <w:b w:val="false"/>
                <w:bCs w:val="false"/>
              </w:rPr>
              <w:t xml:space="preserve">EBITDA</w:t>
            </w:r>
          </w:p>
        </w:tc>
        <w:tc>
          <w:tcPr>
            <w:tcW w:type="dxa" w:w="3000"/>
          </w:tcPr>
          <w:p>
            <w:r>
              <w:rPr>
                <w:b w:val="false"/>
                <w:bCs w:val="false"/>
              </w:rPr>
              <w:t xml:space="preserve">600억 원</w:t>
            </w:r>
          </w:p>
        </w:tc>
        <w:tc>
          <w:tcPr>
            <w:tcW w:type="dxa" w:w="3000"/>
          </w:tcPr>
          <w:p>
            <w:r>
              <w:rPr>
                <w:b w:val="false"/>
                <w:bCs w:val="false"/>
              </w:rPr>
              <w:t xml:space="preserve">600억 원</w:t>
            </w:r>
          </w:p>
        </w:tc>
      </w:tr>
      <w:tr>
        <w:tc>
          <w:tcPr>
            <w:tcW w:type="dxa" w:w="3000"/>
          </w:tcPr>
          <w:p>
            <w:r>
              <w:rPr>
                <w:b w:val="false"/>
                <w:bCs w:val="false"/>
              </w:rPr>
              <w:t xml:space="preserve">EV/EBITDA</w:t>
            </w:r>
          </w:p>
        </w:tc>
        <w:tc>
          <w:tcPr>
            <w:tcW w:type="dxa" w:w="3000"/>
          </w:tcPr>
          <w:p>
            <w:r>
              <w:rPr>
                <w:b w:val="false"/>
                <w:bCs w:val="false"/>
              </w:rPr>
              <w:t xml:space="preserve">6.7배</w:t>
            </w:r>
          </w:p>
        </w:tc>
        <w:tc>
          <w:tcPr>
            <w:tcW w:type="dxa" w:w="3000"/>
          </w:tcPr>
          <w:p>
            <w:r>
              <w:rPr>
                <w:b w:val="false"/>
                <w:bCs w:val="false"/>
              </w:rPr>
              <w:t xml:space="preserve">10배</w:t>
            </w:r>
          </w:p>
        </w:tc>
      </w:tr>
    </w:tbl>
    <w:p>
      <w:pPr>
        <w:spacing w:after="150"/>
      </w:pPr>
    </w:p>
    <w:p>
      <w:pPr>
        <w:spacing w:after="150"/>
      </w:pPr>
      <w:r>
        <w:rPr>
          <w:b w:val="false"/>
          <w:bCs w:val="false"/>
          <w:i w:val="false"/>
          <w:iCs w:val="false"/>
        </w:rPr>
        <w:t xml:space="preserve">→ PER만 보면 G기업이 훨씬 비싸 보이지만, 이는 이자비용 때문에 순이익이 줄어든 영향일 뿐입니다. EV/EBITDA로 보면 두 기업의 "영업 자체의 상대적 밸류에이션 격차"가 좀 더 조정되어 나타나며, 부채 구조 차이의 영향을 줄여서 비교할 수 있습니다.</w:t>
      </w:r>
    </w:p>
    <w:p>
      <w:pPr>
        <w:pStyle w:val="Heading2"/>
        <w:spacing w:after="150" w:before="300"/>
      </w:pPr>
      <w:r>
        <w:t xml:space="preserve">전체 요약 흐름</w:t>
      </w:r>
    </w:p>
    <w:p>
      <w:pPr>
        <w:spacing w:after="150"/>
      </w:pPr>
      <w:r>
        <w:rPr>
          <w:b w:val="false"/>
          <w:bCs w:val="false"/>
          <w:i w:val="false"/>
          <w:iCs w:val="false"/>
        </w:rPr>
        <w:t xml:space="preserve">EPS(주당이익) → PER(이익 대비 주가)</w:t>
      </w:r>
    </w:p>
    <w:p>
      <w:pPr>
        <w:spacing w:after="150"/>
      </w:pPr>
      <w:r>
        <w:rPr>
          <w:b w:val="false"/>
          <w:bCs w:val="false"/>
          <w:i w:val="false"/>
          <w:iCs w:val="false"/>
        </w:rPr>
        <w:t xml:space="preserve">BPS(주당순자산) → PBR(자산 대비 주가)</w:t>
      </w:r>
    </w:p>
    <w:p>
      <w:pPr>
        <w:spacing w:after="150"/>
      </w:pPr>
      <w:r>
        <w:rPr>
          <w:b w:val="false"/>
          <w:bCs w:val="false"/>
          <w:i w:val="false"/>
          <w:iCs w:val="false"/>
        </w:rPr>
        <w:t xml:space="preserve">매출액 → PSR(매출 대비 시총)</w:t>
      </w:r>
    </w:p>
    <w:p>
      <w:pPr>
        <w:spacing w:after="150"/>
      </w:pPr>
      <w:r>
        <w:rPr>
          <w:b w:val="false"/>
          <w:bCs w:val="false"/>
          <w:i w:val="false"/>
          <w:iCs w:val="false"/>
        </w:rPr>
        <w:t xml:space="preserve">EV(기업 전체가치) + EBITDA(현금창출력) → EV/EBITDA(부채구조 영향을 제거한 비교)</w:t>
      </w:r>
    </w:p>
    <w:p>
      <w:pPr>
        <w:spacing w:after="150"/>
      </w:pPr>
      <w:r>
        <w:rPr>
          <w:b w:val="false"/>
          <w:bCs w:val="false"/>
          <w:i w:val="false"/>
          <w:iCs w:val="false"/>
        </w:rPr>
        <w:t xml:space="preserve">궁금하신 특정 업종(반도체, 은행, 바이오 등)에 이 지표들을 실제로 적용하는 방법을 더 살펴보고 싶으시면 말씀해 주세요.</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2026-07-25T23:42:39.924Z</dcterms:created>
  <dcterms:modified xsi:type="dcterms:W3CDTF">2026-07-25T23:42:39.939Z</dcterms:modified>
</cp:coreProperties>
</file>

<file path=docProps/custom.xml><?xml version="1.0" encoding="utf-8"?>
<Properties xmlns="http://schemas.openxmlformats.org/officeDocument/2006/custom-properties" xmlns:vt="http://schemas.openxmlformats.org/officeDocument/2006/docPropsVTypes"/>
</file>