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ind w:left="1200"/>
        <w:jc w:val="left"/>
      </w:pPr>
      <w:r>
        <w:rPr>
          <w:rFonts w:ascii="Calibri" w:cs="Calibri" w:eastAsia="Calibri" w:hAnsi="Calibri"/>
          <w:color w:val="CE1126"/>
          <w:spacing w:val="80"/>
          <w:sz w:val="20"/>
          <w:szCs w:val="20"/>
        </w:rPr>
        <w:t xml:space="preserve">CAHIER DES CHARGES · SPÉCIFICATION TECHNIQUE</w:t>
      </w:r>
    </w:p>
    <w:p>
      <w:pPr>
        <w:spacing w:before="400"/>
      </w:pPr>
    </w:p>
    <w:p>
      <w:pPr>
        <w:ind w:left="1200"/>
        <w:jc w:val="left"/>
      </w:pPr>
      <w:r>
        <w:rPr>
          <w:rFonts w:ascii="Calibri" w:cs="Calibri" w:eastAsia="Calibri" w:hAnsi="Calibri"/>
          <w:b/>
          <w:bCs/>
          <w:color w:val="1A2332"/>
          <w:sz w:val="72"/>
          <w:szCs w:val="72"/>
        </w:rPr>
        <w:t xml:space="preserve">CodeRoute</w:t>
      </w:r>
    </w:p>
    <w:p>
      <w:pPr>
        <w:ind w:left="1200"/>
        <w:jc w:val="left"/>
      </w:pPr>
      <w:r>
        <w:rPr>
          <w:rFonts w:ascii="Calibri" w:cs="Calibri" w:eastAsia="Calibri" w:hAnsi="Calibri"/>
          <w:b/>
          <w:bCs/>
          <w:color w:val="009460"/>
          <w:sz w:val="80"/>
          <w:szCs w:val="80"/>
        </w:rPr>
        <w:t xml:space="preserve">Guinée</w:t>
      </w:r>
    </w:p>
    <w:p>
      <w:pPr>
        <w:spacing w:before="400"/>
      </w:pPr>
    </w:p>
    <w:p>
      <w:pPr>
        <w:ind w:left="1200"/>
        <w:jc w:val="left"/>
      </w:pPr>
      <w:r>
        <w:rPr>
          <w:rFonts w:ascii="Calibri" w:cs="Calibri" w:eastAsia="Calibri" w:hAnsi="Calibri"/>
          <w:color w:val="5A6270"/>
          <w:sz w:val="22"/>
          <w:szCs w:val="22"/>
        </w:rPr>
        <w:t xml:space="preserve">Plateforme numérique nationale pour l’examen théorique du code de la route.</w:t>
      </w:r>
    </w:p>
    <w:p>
      <w:pPr>
        <w:ind w:left="1200"/>
        <w:jc w:val="left"/>
      </w:pPr>
      <w:r>
        <w:rPr>
          <w:rFonts w:ascii="Calibri" w:cs="Calibri" w:eastAsia="Calibri" w:hAnsi="Calibri"/>
          <w:color w:val="5A6270"/>
          <w:sz w:val="22"/>
          <w:szCs w:val="22"/>
        </w:rPr>
        <w:t xml:space="preserve">Système sécurisé, traçable et connecté aux autorités.</w:t>
      </w:r>
    </w:p>
    <w:p>
      <w:pPr>
        <w:spacing w:before="800"/>
      </w:pPr>
    </w:p>
    <w:p>
      <w:pPr>
        <w:ind w:left="1200"/>
        <w:jc w:val="left"/>
      </w:pPr>
      <w:r>
        <w:rPr>
          <w:rFonts w:ascii="Calibri" w:cs="Calibri" w:eastAsia="Calibri" w:hAnsi="Calibri"/>
          <w:b/>
          <w:bCs/>
          <w:color w:val="1A2332"/>
          <w:sz w:val="20"/>
          <w:szCs w:val="20"/>
        </w:rPr>
        <w:t xml:space="preserve">Projet : </w:t>
      </w:r>
      <w:r>
        <w:rPr>
          <w:rFonts w:ascii="Calibri" w:cs="Calibri" w:eastAsia="Calibri" w:hAnsi="Calibri"/>
          <w:color w:val="1A2332"/>
          <w:sz w:val="20"/>
          <w:szCs w:val="20"/>
        </w:rPr>
        <w:t xml:space="preserve">CodeRoute Guinée</w:t>
      </w:r>
    </w:p>
    <w:p>
      <w:pPr>
        <w:ind w:left="1200"/>
        <w:jc w:val="left"/>
      </w:pPr>
      <w:r>
        <w:rPr>
          <w:rFonts w:ascii="Calibri" w:cs="Calibri" w:eastAsia="Calibri" w:hAnsi="Calibri"/>
          <w:b/>
          <w:bCs/>
          <w:color w:val="1A2332"/>
          <w:sz w:val="20"/>
          <w:szCs w:val="20"/>
        </w:rPr>
        <w:t xml:space="preserve">Version : </w:t>
      </w:r>
      <w:r>
        <w:rPr>
          <w:rFonts w:ascii="Calibri" w:cs="Calibri" w:eastAsia="Calibri" w:hAnsi="Calibri"/>
          <w:color w:val="1A2332"/>
          <w:sz w:val="20"/>
          <w:szCs w:val="20"/>
        </w:rPr>
        <w:t xml:space="preserve">1.0</w:t>
      </w:r>
    </w:p>
    <w:p>
      <w:pPr>
        <w:ind w:left="1200"/>
        <w:jc w:val="left"/>
      </w:pPr>
      <w:r>
        <w:rPr>
          <w:rFonts w:ascii="Calibri" w:cs="Calibri" w:eastAsia="Calibri" w:hAnsi="Calibri"/>
          <w:b/>
          <w:bCs/>
          <w:color w:val="1A2332"/>
          <w:sz w:val="20"/>
          <w:szCs w:val="20"/>
        </w:rPr>
        <w:t xml:space="preserve">Date : </w:t>
      </w:r>
      <w:r>
        <w:rPr>
          <w:rFonts w:ascii="Calibri" w:cs="Calibri" w:eastAsia="Calibri" w:hAnsi="Calibri"/>
          <w:color w:val="1A2332"/>
          <w:sz w:val="20"/>
          <w:szCs w:val="20"/>
        </w:rPr>
        <w:t xml:space="preserve">Juin 2026</w:t>
      </w:r>
    </w:p>
    <w:p>
      <w:pPr>
        <w:ind w:left="1200"/>
        <w:jc w:val="left"/>
      </w:pPr>
      <w:r>
        <w:rPr>
          <w:rFonts w:ascii="Calibri" w:cs="Calibri" w:eastAsia="Calibri" w:hAnsi="Calibri"/>
          <w:b/>
          <w:bCs/>
          <w:color w:val="1A2332"/>
          <w:sz w:val="20"/>
          <w:szCs w:val="20"/>
        </w:rPr>
        <w:t xml:space="preserve">Statut : </w:t>
      </w:r>
      <w:r>
        <w:rPr>
          <w:rFonts w:ascii="Calibri" w:cs="Calibri" w:eastAsia="Calibri" w:hAnsi="Calibri"/>
          <w:color w:val="1A2332"/>
          <w:sz w:val="20"/>
          <w:szCs w:val="20"/>
        </w:rPr>
        <w:t xml:space="preserve">Brouillon pour validation</w:t>
      </w:r>
    </w:p>
    <w:p>
      <w:pPr>
        <w:spacing w:before="1600"/>
      </w:pPr>
    </w:p>
    <w:p>
      <w:pPr>
        <w:ind w:left="1200"/>
        <w:jc w:val="left"/>
      </w:pPr>
      <w:r>
        <w:rPr>
          <w:rFonts w:ascii="Calibri" w:cs="Calibri" w:eastAsia="Calibri" w:hAnsi="Calibri"/>
          <w:b/>
          <w:bCs/>
          <w:color w:val="1A2332"/>
          <w:sz w:val="20"/>
          <w:szCs w:val="20"/>
        </w:rPr>
        <w:t xml:space="preserve">République de Guinée</w:t>
      </w:r>
    </w:p>
    <w:p>
      <w:pPr>
        <w:ind w:left="1200"/>
        <w:jc w:val="left"/>
      </w:pPr>
      <w:r>
        <w:rPr>
          <w:rFonts w:ascii="Calibri" w:cs="Calibri" w:eastAsia="Calibri" w:hAnsi="Calibri"/>
          <w:color w:val="5A6270"/>
          <w:sz w:val="18"/>
          <w:szCs w:val="18"/>
        </w:rPr>
        <w:t xml:space="preserve">Ministère des Transports · Direction Générale de la Sécurité Routière</w:t>
      </w:r>
    </w:p>
    <w:p>
      <w:r>
        <w:br w:type="page"/>
      </w:r>
    </w:p>
    <w:p>
      <w:pPr>
        <w:sectPr>
          <w:pgSz w:w="11906" w:h="16838" w:orient="portrait"/>
          <w:pgMar w:top="0" w:right="0" w:bottom="0" w:left="0" w:header="708" w:footer="708" w:gutter="0"/>
          <w:pgNumType/>
          <w:docGrid w:linePitch="360"/>
        </w:sectPr>
      </w:pPr>
    </w:p>
    <w:p>
      <w:pPr>
        <w:spacing w:after="200"/>
      </w:pPr>
      <w:r>
        <w:rPr>
          <w:rFonts w:ascii="Calibri" w:cs="Calibri" w:eastAsia="Calibri" w:hAnsi="Calibri"/>
          <w:b/>
          <w:bCs/>
          <w:color w:val="1A2332"/>
          <w:sz w:val="32"/>
          <w:szCs w:val="32"/>
        </w:rPr>
        <w:t xml:space="preserve">Table des matières</w:t>
      </w:r>
    </w:p>
    <w:sdt>
      <w:sdtPr>
        <w:alias w:val="Table des matière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Résumé exécutif</w:t>
            </w:r>
            <w:r>
              <w:tab/>
            </w:r>
            <w:r>
              <w:fldChar w:fldCharType="begin"/>
            </w:r>
            <w:r>
              <w:instrText xml:space="preserve"> PAGEREF _Toc100000 \h </w:instrText>
            </w:r>
            <w:r>
              <w:fldChar w:fldCharType="separate"/>
            </w:r>
            <w:r>
              <w:t>3</w:t>
            </w:r>
            <w:r>
              <w:fldChar w:fldCharType="end"/>
            </w:r>
          </w:hyperlink>
        </w:p>
        <w:p>
          <w:pPr>
            <w:pStyle w:val="12"/>
            <w:ind w:left="720"/>
            <w:tabs>
              <w:tab w:val="right" w:leader="dot" w:pos="9026"/>
            </w:tabs>
            <w:spacing w:before="120" w:after="60"/>
          </w:pPr>
          <w:hyperlink w:anchor="_Toc100001" w:history="1">
            <w:r>
              <w:rPr>
                <w:rStyle w:val="Hyperlink"/>
              </w:rPr>
              <w:t>Chiffres clés estimés</w:t>
            </w:r>
            <w:r>
              <w:tab/>
            </w:r>
            <w:r>
              <w:fldChar w:fldCharType="begin"/>
            </w:r>
            <w:r>
              <w:instrText xml:space="preserve"> PAGEREF _Toc100001 \h </w:instrText>
            </w:r>
            <w:r>
              <w:fldChar w:fldCharType="separate"/>
            </w:r>
            <w:r>
              <w:t>4</w:t>
            </w:r>
            <w:r>
              <w:fldChar w:fldCharType="end"/>
            </w:r>
          </w:hyperlink>
        </w:p>
        <w:p>
          <w:pPr>
            <w:pStyle w:val="9"/>
            <w:tabs>
              <w:tab w:val="right" w:leader="dot" w:pos="9026"/>
            </w:tabs>
            <w:spacing w:before="120" w:after="60"/>
          </w:pPr>
          <w:hyperlink w:anchor="_Toc100002" w:history="1">
            <w:r>
              <w:rPr>
                <w:rStyle w:val="Hyperlink"/>
              </w:rPr>
              <w:t>2. Contexte et problématique</w:t>
            </w:r>
            <w:r>
              <w:tab/>
            </w:r>
            <w:r>
              <w:fldChar w:fldCharType="begin"/>
            </w:r>
            <w:r>
              <w:instrText xml:space="preserve"> PAGEREF _Toc100002 \h </w:instrText>
            </w:r>
            <w:r>
              <w:fldChar w:fldCharType="separate"/>
            </w:r>
            <w:r>
              <w:t>4</w:t>
            </w:r>
            <w:r>
              <w:fldChar w:fldCharType="end"/>
            </w:r>
          </w:hyperlink>
        </w:p>
        <w:p>
          <w:pPr>
            <w:pStyle w:val="11"/>
            <w:ind w:left="360"/>
            <w:tabs>
              <w:tab w:val="right" w:leader="dot" w:pos="9026"/>
            </w:tabs>
            <w:spacing w:before="120" w:after="60"/>
          </w:pPr>
          <w:hyperlink w:anchor="_Toc100003" w:history="1">
            <w:r>
              <w:rPr>
                <w:rStyle w:val="Hyperlink"/>
              </w:rPr>
              <w:t>2.1 Problèmes identifiés</w:t>
            </w:r>
            <w:r>
              <w:tab/>
            </w:r>
            <w:r>
              <w:fldChar w:fldCharType="begin"/>
            </w:r>
            <w:r>
              <w:instrText xml:space="preserve"> PAGEREF _Toc100003 \h </w:instrText>
            </w:r>
            <w:r>
              <w:fldChar w:fldCharType="separate"/>
            </w:r>
            <w:r>
              <w:t>4</w:t>
            </w:r>
            <w:r>
              <w:fldChar w:fldCharType="end"/>
            </w:r>
          </w:hyperlink>
        </w:p>
        <w:p>
          <w:pPr>
            <w:pStyle w:val="12"/>
            <w:ind w:left="720"/>
            <w:tabs>
              <w:tab w:val="right" w:leader="dot" w:pos="9026"/>
            </w:tabs>
            <w:spacing w:before="120" w:after="60"/>
          </w:pPr>
          <w:hyperlink w:anchor="_Toc100004" w:history="1">
            <w:r>
              <w:rPr>
                <w:rStyle w:val="Hyperlink"/>
              </w:rPr>
              <w:t>Fraude et faux permis</w:t>
            </w:r>
            <w:r>
              <w:tab/>
            </w:r>
            <w:r>
              <w:fldChar w:fldCharType="begin"/>
            </w:r>
            <w:r>
              <w:instrText xml:space="preserve"> PAGEREF _Toc100004 \h </w:instrText>
            </w:r>
            <w:r>
              <w:fldChar w:fldCharType="separate"/>
            </w:r>
            <w:r>
              <w:t>5</w:t>
            </w:r>
            <w:r>
              <w:fldChar w:fldCharType="end"/>
            </w:r>
          </w:hyperlink>
        </w:p>
        <w:p>
          <w:pPr>
            <w:pStyle w:val="12"/>
            <w:ind w:left="720"/>
            <w:tabs>
              <w:tab w:val="right" w:leader="dot" w:pos="9026"/>
            </w:tabs>
            <w:spacing w:before="120" w:after="60"/>
          </w:pPr>
          <w:hyperlink w:anchor="_Toc100005" w:history="1">
            <w:r>
              <w:rPr>
                <w:rStyle w:val="Hyperlink"/>
              </w:rPr>
              <w:t>Examens non tracés</w:t>
            </w:r>
            <w:r>
              <w:tab/>
            </w:r>
            <w:r>
              <w:fldChar w:fldCharType="begin"/>
            </w:r>
            <w:r>
              <w:instrText xml:space="preserve"> PAGEREF _Toc100005 \h </w:instrText>
            </w:r>
            <w:r>
              <w:fldChar w:fldCharType="separate"/>
            </w:r>
            <w:r>
              <w:t>5</w:t>
            </w:r>
            <w:r>
              <w:fldChar w:fldCharType="end"/>
            </w:r>
          </w:hyperlink>
        </w:p>
        <w:p>
          <w:pPr>
            <w:pStyle w:val="12"/>
            <w:ind w:left="720"/>
            <w:tabs>
              <w:tab w:val="right" w:leader="dot" w:pos="9026"/>
            </w:tabs>
            <w:spacing w:before="120" w:after="60"/>
          </w:pPr>
          <w:hyperlink w:anchor="_Toc100006" w:history="1">
            <w:r>
              <w:rPr>
                <w:rStyle w:val="Hyperlink"/>
              </w:rPr>
              <w:t>Lenteurs administratives</w:t>
            </w:r>
            <w:r>
              <w:tab/>
            </w:r>
            <w:r>
              <w:fldChar w:fldCharType="begin"/>
            </w:r>
            <w:r>
              <w:instrText xml:space="preserve"> PAGEREF _Toc100006 \h </w:instrText>
            </w:r>
            <w:r>
              <w:fldChar w:fldCharType="separate"/>
            </w:r>
            <w:r>
              <w:t>5</w:t>
            </w:r>
            <w:r>
              <w:fldChar w:fldCharType="end"/>
            </w:r>
          </w:hyperlink>
        </w:p>
        <w:p>
          <w:pPr>
            <w:pStyle w:val="12"/>
            <w:ind w:left="720"/>
            <w:tabs>
              <w:tab w:val="right" w:leader="dot" w:pos="9026"/>
            </w:tabs>
            <w:spacing w:before="120" w:after="60"/>
          </w:pPr>
          <w:hyperlink w:anchor="_Toc100007" w:history="1">
            <w:r>
              <w:rPr>
                <w:rStyle w:val="Hyperlink"/>
              </w:rPr>
              <w:t>Déplacements inutiles</w:t>
            </w:r>
            <w:r>
              <w:tab/>
            </w:r>
            <w:r>
              <w:fldChar w:fldCharType="begin"/>
            </w:r>
            <w:r>
              <w:instrText xml:space="preserve"> PAGEREF _Toc100007 \h </w:instrText>
            </w:r>
            <w:r>
              <w:fldChar w:fldCharType="separate"/>
            </w:r>
            <w:r>
              <w:t>5</w:t>
            </w:r>
            <w:r>
              <w:fldChar w:fldCharType="end"/>
            </w:r>
          </w:hyperlink>
        </w:p>
        <w:p>
          <w:pPr>
            <w:pStyle w:val="12"/>
            <w:ind w:left="720"/>
            <w:tabs>
              <w:tab w:val="right" w:leader="dot" w:pos="9026"/>
            </w:tabs>
            <w:spacing w:before="120" w:after="60"/>
          </w:pPr>
          <w:hyperlink w:anchor="_Toc100008" w:history="1">
            <w:r>
              <w:rPr>
                <w:rStyle w:val="Hyperlink"/>
              </w:rPr>
              <w:t>Absence de statistiques nationales</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2.2 Justification de la digitalisation</w:t>
            </w:r>
            <w:r>
              <w:tab/>
            </w:r>
            <w:r>
              <w:fldChar w:fldCharType="begin"/>
            </w:r>
            <w:r>
              <w:instrText xml:space="preserve"> PAGEREF _Toc100009 \h </w:instrText>
            </w:r>
            <w:r>
              <w:fldChar w:fldCharType="separate"/>
            </w:r>
            <w:r>
              <w:t>6</w:t>
            </w:r>
            <w:r>
              <w:fldChar w:fldCharType="end"/>
            </w:r>
          </w:hyperlink>
        </w:p>
        <w:p>
          <w:pPr>
            <w:pStyle w:val="9"/>
            <w:tabs>
              <w:tab w:val="right" w:leader="dot" w:pos="9026"/>
            </w:tabs>
            <w:spacing w:before="120" w:after="60"/>
          </w:pPr>
          <w:hyperlink w:anchor="_Toc100010" w:history="1">
            <w:r>
              <w:rPr>
                <w:rStyle w:val="Hyperlink"/>
              </w:rPr>
              <w:t>3. Objectifs du projet</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3.1 Objectifs primaires</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3.2 Objectifs secondaires</w:t>
            </w:r>
            <w:r>
              <w:tab/>
            </w:r>
            <w:r>
              <w:fldChar w:fldCharType="begin"/>
            </w:r>
            <w:r>
              <w:instrText xml:space="preserve"> PAGEREF _Toc100012 \h </w:instrText>
            </w:r>
            <w:r>
              <w:fldChar w:fldCharType="separate"/>
            </w:r>
            <w:r>
              <w:t>7</w:t>
            </w:r>
            <w:r>
              <w:fldChar w:fldCharType="end"/>
            </w:r>
          </w:hyperlink>
        </w:p>
        <w:p>
          <w:pPr>
            <w:pStyle w:val="9"/>
            <w:tabs>
              <w:tab w:val="right" w:leader="dot" w:pos="9026"/>
            </w:tabs>
            <w:spacing w:before="120" w:after="60"/>
          </w:pPr>
          <w:hyperlink w:anchor="_Toc100013" w:history="1">
            <w:r>
              <w:rPr>
                <w:rStyle w:val="Hyperlink"/>
              </w:rPr>
              <w:t>4. Acteurs du système</w:t>
            </w:r>
            <w:r>
              <w:tab/>
            </w:r>
            <w:r>
              <w:fldChar w:fldCharType="begin"/>
            </w:r>
            <w:r>
              <w:instrText xml:space="preserve"> PAGEREF _Toc100013 \h </w:instrText>
            </w:r>
            <w:r>
              <w:fldChar w:fldCharType="separate"/>
            </w:r>
            <w:r>
              <w:t>8</w:t>
            </w:r>
            <w:r>
              <w:fldChar w:fldCharType="end"/>
            </w:r>
          </w:hyperlink>
        </w:p>
        <w:p>
          <w:pPr>
            <w:pStyle w:val="11"/>
            <w:ind w:left="360"/>
            <w:tabs>
              <w:tab w:val="right" w:leader="dot" w:pos="9026"/>
            </w:tabs>
            <w:spacing w:before="120" w:after="60"/>
          </w:pPr>
          <w:hyperlink w:anchor="_Toc100014" w:history="1">
            <w:r>
              <w:rPr>
                <w:rStyle w:val="Hyperlink"/>
              </w:rPr>
              <w:t>4.1 Candidat</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4.2 Auto-école</w:t>
            </w:r>
            <w:r>
              <w:tab/>
            </w:r>
            <w:r>
              <w:fldChar w:fldCharType="begin"/>
            </w:r>
            <w:r>
              <w:instrText xml:space="preserve"> PAGEREF _Toc100015 \h </w:instrText>
            </w:r>
            <w:r>
              <w:fldChar w:fldCharType="separate"/>
            </w:r>
            <w:r>
              <w:t>9</w:t>
            </w:r>
            <w:r>
              <w:fldChar w:fldCharType="end"/>
            </w:r>
          </w:hyperlink>
        </w:p>
        <w:p>
          <w:pPr>
            <w:pStyle w:val="11"/>
            <w:ind w:left="360"/>
            <w:tabs>
              <w:tab w:val="right" w:leader="dot" w:pos="9026"/>
            </w:tabs>
            <w:spacing w:before="120" w:after="60"/>
          </w:pPr>
          <w:hyperlink w:anchor="_Toc100016" w:history="1">
            <w:r>
              <w:rPr>
                <w:rStyle w:val="Hyperlink"/>
              </w:rPr>
              <w:t>4.3 Centre agréé</w:t>
            </w:r>
            <w:r>
              <w:tab/>
            </w:r>
            <w:r>
              <w:fldChar w:fldCharType="begin"/>
            </w:r>
            <w:r>
              <w:instrText xml:space="preserve"> PAGEREF _Toc100016 \h </w:instrText>
            </w:r>
            <w:r>
              <w:fldChar w:fldCharType="separate"/>
            </w:r>
            <w:r>
              <w:t>10</w:t>
            </w:r>
            <w:r>
              <w:fldChar w:fldCharType="end"/>
            </w:r>
          </w:hyperlink>
        </w:p>
        <w:p>
          <w:pPr>
            <w:pStyle w:val="11"/>
            <w:ind w:left="360"/>
            <w:tabs>
              <w:tab w:val="right" w:leader="dot" w:pos="9026"/>
            </w:tabs>
            <w:spacing w:before="120" w:after="60"/>
          </w:pPr>
          <w:hyperlink w:anchor="_Toc100017" w:history="1">
            <w:r>
              <w:rPr>
                <w:rStyle w:val="Hyperlink"/>
              </w:rPr>
              <w:t>4.4 Autorité nationale</w:t>
            </w:r>
            <w:r>
              <w:tab/>
            </w:r>
            <w:r>
              <w:fldChar w:fldCharType="begin"/>
            </w:r>
            <w:r>
              <w:instrText xml:space="preserve"> PAGEREF _Toc100017 \h </w:instrText>
            </w:r>
            <w:r>
              <w:fldChar w:fldCharType="separate"/>
            </w:r>
            <w:r>
              <w:t>10</w:t>
            </w:r>
            <w:r>
              <w:fldChar w:fldCharType="end"/>
            </w:r>
          </w:hyperlink>
        </w:p>
        <w:p>
          <w:pPr>
            <w:pStyle w:val="11"/>
            <w:ind w:left="360"/>
            <w:tabs>
              <w:tab w:val="right" w:leader="dot" w:pos="9026"/>
            </w:tabs>
            <w:spacing w:before="120" w:after="60"/>
          </w:pPr>
          <w:hyperlink w:anchor="_Toc100018" w:history="1">
            <w:r>
              <w:rPr>
                <w:rStyle w:val="Hyperlink"/>
              </w:rPr>
              <w:t>4.5 Super administrateur</w:t>
            </w:r>
            <w:r>
              <w:tab/>
            </w:r>
            <w:r>
              <w:fldChar w:fldCharType="begin"/>
            </w:r>
            <w:r>
              <w:instrText xml:space="preserve"> PAGEREF _Toc100018 \h </w:instrText>
            </w:r>
            <w:r>
              <w:fldChar w:fldCharType="separate"/>
            </w:r>
            <w:r>
              <w:t>11</w:t>
            </w:r>
            <w:r>
              <w:fldChar w:fldCharType="end"/>
            </w:r>
          </w:hyperlink>
        </w:p>
        <w:p>
          <w:pPr>
            <w:pStyle w:val="9"/>
            <w:tabs>
              <w:tab w:val="right" w:leader="dot" w:pos="9026"/>
            </w:tabs>
            <w:spacing w:before="120" w:after="60"/>
          </w:pPr>
          <w:hyperlink w:anchor="_Toc100019" w:history="1">
            <w:r>
              <w:rPr>
                <w:rStyle w:val="Hyperlink"/>
              </w:rPr>
              <w:t>5. Parcours candidat complet</w:t>
            </w:r>
            <w:r>
              <w:tab/>
            </w:r>
            <w:r>
              <w:fldChar w:fldCharType="begin"/>
            </w:r>
            <w:r>
              <w:instrText xml:space="preserve"> PAGEREF _Toc100019 \h </w:instrText>
            </w:r>
            <w:r>
              <w:fldChar w:fldCharType="separate"/>
            </w:r>
            <w:r>
              <w:t>11</w:t>
            </w:r>
            <w:r>
              <w:fldChar w:fldCharType="end"/>
            </w:r>
          </w:hyperlink>
        </w:p>
        <w:p>
          <w:pPr>
            <w:pStyle w:val="11"/>
            <w:ind w:left="360"/>
            <w:tabs>
              <w:tab w:val="right" w:leader="dot" w:pos="9026"/>
            </w:tabs>
            <w:spacing w:before="120" w:after="60"/>
          </w:pPr>
          <w:hyperlink w:anchor="_Toc100020" w:history="1">
            <w:r>
              <w:rPr>
                <w:rStyle w:val="Hyperlink"/>
              </w:rPr>
              <w:t>Étape 1 : Inscription</w:t>
            </w:r>
            <w:r>
              <w:tab/>
            </w:r>
            <w:r>
              <w:fldChar w:fldCharType="begin"/>
            </w:r>
            <w:r>
              <w:instrText xml:space="preserve"> PAGEREF _Toc100020 \h </w:instrText>
            </w:r>
            <w:r>
              <w:fldChar w:fldCharType="separate"/>
            </w:r>
            <w:r>
              <w:t>12</w:t>
            </w:r>
            <w:r>
              <w:fldChar w:fldCharType="end"/>
            </w:r>
          </w:hyperlink>
        </w:p>
        <w:p>
          <w:pPr>
            <w:pStyle w:val="11"/>
            <w:ind w:left="360"/>
            <w:tabs>
              <w:tab w:val="right" w:leader="dot" w:pos="9026"/>
            </w:tabs>
            <w:spacing w:before="120" w:after="60"/>
          </w:pPr>
          <w:hyperlink w:anchor="_Toc100021" w:history="1">
            <w:r>
              <w:rPr>
                <w:rStyle w:val="Hyperlink"/>
              </w:rPr>
              <w:t>Étape 2 : Vérification</w:t>
            </w:r>
            <w:r>
              <w:tab/>
            </w:r>
            <w:r>
              <w:fldChar w:fldCharType="begin"/>
            </w:r>
            <w:r>
              <w:instrText xml:space="preserve"> PAGEREF _Toc100021 \h </w:instrText>
            </w:r>
            <w:r>
              <w:fldChar w:fldCharType="separate"/>
            </w:r>
            <w:r>
              <w:t>12</w:t>
            </w:r>
            <w:r>
              <w:fldChar w:fldCharType="end"/>
            </w:r>
          </w:hyperlink>
        </w:p>
        <w:p>
          <w:pPr>
            <w:pStyle w:val="11"/>
            <w:ind w:left="360"/>
            <w:tabs>
              <w:tab w:val="right" w:leader="dot" w:pos="9026"/>
            </w:tabs>
            <w:spacing w:before="120" w:after="60"/>
          </w:pPr>
          <w:hyperlink w:anchor="_Toc100022" w:history="1">
            <w:r>
              <w:rPr>
                <w:rStyle w:val="Hyperlink"/>
              </w:rPr>
              <w:t>Étape 3 : Choix du centre</w:t>
            </w:r>
            <w:r>
              <w:tab/>
            </w:r>
            <w:r>
              <w:fldChar w:fldCharType="begin"/>
            </w:r>
            <w:r>
              <w:instrText xml:space="preserve"> PAGEREF _Toc100022 \h </w:instrText>
            </w:r>
            <w:r>
              <w:fldChar w:fldCharType="separate"/>
            </w:r>
            <w:r>
              <w:t>12</w:t>
            </w:r>
            <w:r>
              <w:fldChar w:fldCharType="end"/>
            </w:r>
          </w:hyperlink>
        </w:p>
        <w:p>
          <w:pPr>
            <w:pStyle w:val="11"/>
            <w:ind w:left="360"/>
            <w:tabs>
              <w:tab w:val="right" w:leader="dot" w:pos="9026"/>
            </w:tabs>
            <w:spacing w:before="120" w:after="60"/>
          </w:pPr>
          <w:hyperlink w:anchor="_Toc100023" w:history="1">
            <w:r>
              <w:rPr>
                <w:rStyle w:val="Hyperlink"/>
              </w:rPr>
              <w:t>Étape 4 : Paiement</w:t>
            </w:r>
            <w:r>
              <w:tab/>
            </w:r>
            <w:r>
              <w:fldChar w:fldCharType="begin"/>
            </w:r>
            <w:r>
              <w:instrText xml:space="preserve"> PAGEREF _Toc100023 \h </w:instrText>
            </w:r>
            <w:r>
              <w:fldChar w:fldCharType="separate"/>
            </w:r>
            <w:r>
              <w:t>12</w:t>
            </w:r>
            <w:r>
              <w:fldChar w:fldCharType="end"/>
            </w:r>
          </w:hyperlink>
        </w:p>
        <w:p>
          <w:pPr>
            <w:pStyle w:val="11"/>
            <w:ind w:left="360"/>
            <w:tabs>
              <w:tab w:val="right" w:leader="dot" w:pos="9026"/>
            </w:tabs>
            <w:spacing w:before="120" w:after="60"/>
          </w:pPr>
          <w:hyperlink w:anchor="_Toc100024" w:history="1">
            <w:r>
              <w:rPr>
                <w:rStyle w:val="Hyperlink"/>
              </w:rPr>
              <w:t>Étape 5 : Convocation</w:t>
            </w:r>
            <w:r>
              <w:tab/>
            </w:r>
            <w:r>
              <w:fldChar w:fldCharType="begin"/>
            </w:r>
            <w:r>
              <w:instrText xml:space="preserve"> PAGEREF _Toc100024 \h </w:instrText>
            </w:r>
            <w:r>
              <w:fldChar w:fldCharType="separate"/>
            </w:r>
            <w:r>
              <w:t>13</w:t>
            </w:r>
            <w:r>
              <w:fldChar w:fldCharType="end"/>
            </w:r>
          </w:hyperlink>
        </w:p>
        <w:p>
          <w:pPr>
            <w:pStyle w:val="11"/>
            <w:ind w:left="360"/>
            <w:tabs>
              <w:tab w:val="right" w:leader="dot" w:pos="9026"/>
            </w:tabs>
            <w:spacing w:before="120" w:after="60"/>
          </w:pPr>
          <w:hyperlink w:anchor="_Toc100025" w:history="1">
            <w:r>
              <w:rPr>
                <w:rStyle w:val="Hyperlink"/>
              </w:rPr>
              <w:t>Étape 6 : Passage de l’examen</w:t>
            </w:r>
            <w:r>
              <w:tab/>
            </w:r>
            <w:r>
              <w:fldChar w:fldCharType="begin"/>
            </w:r>
            <w:r>
              <w:instrText xml:space="preserve"> PAGEREF _Toc100025 \h </w:instrText>
            </w:r>
            <w:r>
              <w:fldChar w:fldCharType="separate"/>
            </w:r>
            <w:r>
              <w:t>13</w:t>
            </w:r>
            <w:r>
              <w:fldChar w:fldCharType="end"/>
            </w:r>
          </w:hyperlink>
        </w:p>
        <w:p>
          <w:pPr>
            <w:pStyle w:val="11"/>
            <w:ind w:left="360"/>
            <w:tabs>
              <w:tab w:val="right" w:leader="dot" w:pos="9026"/>
            </w:tabs>
            <w:spacing w:before="120" w:after="60"/>
          </w:pPr>
          <w:hyperlink w:anchor="_Toc100026" w:history="1">
            <w:r>
              <w:rPr>
                <w:rStyle w:val="Hyperlink"/>
              </w:rPr>
              <w:t>Étape 7 : Résultat</w:t>
            </w:r>
            <w:r>
              <w:tab/>
            </w:r>
            <w:r>
              <w:fldChar w:fldCharType="begin"/>
            </w:r>
            <w:r>
              <w:instrText xml:space="preserve"> PAGEREF _Toc100026 \h </w:instrText>
            </w:r>
            <w:r>
              <w:fldChar w:fldCharType="separate"/>
            </w:r>
            <w:r>
              <w:t>13</w:t>
            </w:r>
            <w:r>
              <w:fldChar w:fldCharType="end"/>
            </w:r>
          </w:hyperlink>
        </w:p>
        <w:p>
          <w:pPr>
            <w:pStyle w:val="11"/>
            <w:ind w:left="360"/>
            <w:tabs>
              <w:tab w:val="right" w:leader="dot" w:pos="9026"/>
            </w:tabs>
            <w:spacing w:before="120" w:after="60"/>
          </w:pPr>
          <w:hyperlink w:anchor="_Toc100027" w:history="1">
            <w:r>
              <w:rPr>
                <w:rStyle w:val="Hyperlink"/>
              </w:rPr>
              <w:t>Étape 8 : Transmission au permis</w:t>
            </w:r>
            <w:r>
              <w:tab/>
            </w:r>
            <w:r>
              <w:fldChar w:fldCharType="begin"/>
            </w:r>
            <w:r>
              <w:instrText xml:space="preserve"> PAGEREF _Toc100027 \h </w:instrText>
            </w:r>
            <w:r>
              <w:fldChar w:fldCharType="separate"/>
            </w:r>
            <w:r>
              <w:t>13</w:t>
            </w:r>
            <w:r>
              <w:fldChar w:fldCharType="end"/>
            </w:r>
          </w:hyperlink>
        </w:p>
        <w:p>
          <w:pPr>
            <w:pStyle w:val="9"/>
            <w:tabs>
              <w:tab w:val="right" w:leader="dot" w:pos="9026"/>
            </w:tabs>
            <w:spacing w:before="120" w:after="60"/>
          </w:pPr>
          <w:hyperlink w:anchor="_Toc100028" w:history="1">
            <w:r>
              <w:rPr>
                <w:rStyle w:val="Hyperlink"/>
              </w:rPr>
              <w:t>6. Fonctionnalités principales</w:t>
            </w:r>
            <w:r>
              <w:tab/>
            </w:r>
            <w:r>
              <w:fldChar w:fldCharType="begin"/>
            </w:r>
            <w:r>
              <w:instrText xml:space="preserve"> PAGEREF _Toc100028 \h </w:instrText>
            </w:r>
            <w:r>
              <w:fldChar w:fldCharType="separate"/>
            </w:r>
            <w:r>
              <w:t>14</w:t>
            </w:r>
            <w:r>
              <w:fldChar w:fldCharType="end"/>
            </w:r>
          </w:hyperlink>
        </w:p>
        <w:p>
          <w:pPr>
            <w:pStyle w:val="11"/>
            <w:ind w:left="360"/>
            <w:tabs>
              <w:tab w:val="right" w:leader="dot" w:pos="9026"/>
            </w:tabs>
            <w:spacing w:before="120" w:after="60"/>
          </w:pPr>
          <w:hyperlink w:anchor="_Toc100029" w:history="1">
            <w:r>
              <w:rPr>
                <w:rStyle w:val="Hyperlink"/>
              </w:rPr>
              <w:t>6.1 Module Candidat</w:t>
            </w:r>
            <w:r>
              <w:tab/>
            </w:r>
            <w:r>
              <w:fldChar w:fldCharType="begin"/>
            </w:r>
            <w:r>
              <w:instrText xml:space="preserve"> PAGEREF _Toc100029 \h </w:instrText>
            </w:r>
            <w:r>
              <w:fldChar w:fldCharType="separate"/>
            </w:r>
            <w:r>
              <w:t>14</w:t>
            </w:r>
            <w:r>
              <w:fldChar w:fldCharType="end"/>
            </w:r>
          </w:hyperlink>
        </w:p>
        <w:p>
          <w:pPr>
            <w:pStyle w:val="11"/>
            <w:ind w:left="360"/>
            <w:tabs>
              <w:tab w:val="right" w:leader="dot" w:pos="9026"/>
            </w:tabs>
            <w:spacing w:before="120" w:after="60"/>
          </w:pPr>
          <w:hyperlink w:anchor="_Toc100030" w:history="1">
            <w:r>
              <w:rPr>
                <w:rStyle w:val="Hyperlink"/>
              </w:rPr>
              <w:t>6.2 Module Examen</w:t>
            </w:r>
            <w:r>
              <w:tab/>
            </w:r>
            <w:r>
              <w:fldChar w:fldCharType="begin"/>
            </w:r>
            <w:r>
              <w:instrText xml:space="preserve"> PAGEREF _Toc100030 \h </w:instrText>
            </w:r>
            <w:r>
              <w:fldChar w:fldCharType="separate"/>
            </w:r>
            <w:r>
              <w:t>15</w:t>
            </w:r>
            <w:r>
              <w:fldChar w:fldCharType="end"/>
            </w:r>
          </w:hyperlink>
        </w:p>
        <w:p>
          <w:pPr>
            <w:pStyle w:val="11"/>
            <w:ind w:left="360"/>
            <w:tabs>
              <w:tab w:val="right" w:leader="dot" w:pos="9026"/>
            </w:tabs>
            <w:spacing w:before="120" w:after="60"/>
          </w:pPr>
          <w:hyperlink w:anchor="_Toc100031" w:history="1">
            <w:r>
              <w:rPr>
                <w:rStyle w:val="Hyperlink"/>
              </w:rPr>
              <w:t>6.3 Module Centre agréé</w:t>
            </w:r>
            <w:r>
              <w:tab/>
            </w:r>
            <w:r>
              <w:fldChar w:fldCharType="begin"/>
            </w:r>
            <w:r>
              <w:instrText xml:space="preserve"> PAGEREF _Toc100031 \h </w:instrText>
            </w:r>
            <w:r>
              <w:fldChar w:fldCharType="separate"/>
            </w:r>
            <w:r>
              <w:t>16</w:t>
            </w:r>
            <w:r>
              <w:fldChar w:fldCharType="end"/>
            </w:r>
          </w:hyperlink>
        </w:p>
        <w:p>
          <w:pPr>
            <w:pStyle w:val="11"/>
            <w:ind w:left="360"/>
            <w:tabs>
              <w:tab w:val="right" w:leader="dot" w:pos="9026"/>
            </w:tabs>
            <w:spacing w:before="120" w:after="60"/>
          </w:pPr>
          <w:hyperlink w:anchor="_Toc100032" w:history="1">
            <w:r>
              <w:rPr>
                <w:rStyle w:val="Hyperlink"/>
              </w:rPr>
              <w:t>6.4 Module Auto-école</w:t>
            </w:r>
            <w:r>
              <w:tab/>
            </w:r>
            <w:r>
              <w:fldChar w:fldCharType="begin"/>
            </w:r>
            <w:r>
              <w:instrText xml:space="preserve"> PAGEREF _Toc100032 \h </w:instrText>
            </w:r>
            <w:r>
              <w:fldChar w:fldCharType="separate"/>
            </w:r>
            <w:r>
              <w:t>16</w:t>
            </w:r>
            <w:r>
              <w:fldChar w:fldCharType="end"/>
            </w:r>
          </w:hyperlink>
        </w:p>
        <w:p>
          <w:pPr>
            <w:pStyle w:val="11"/>
            <w:ind w:left="360"/>
            <w:tabs>
              <w:tab w:val="right" w:leader="dot" w:pos="9026"/>
            </w:tabs>
            <w:spacing w:before="120" w:after="60"/>
          </w:pPr>
          <w:hyperlink w:anchor="_Toc100033" w:history="1">
            <w:r>
              <w:rPr>
                <w:rStyle w:val="Hyperlink"/>
              </w:rPr>
              <w:t>6.5 Module Administration</w:t>
            </w:r>
            <w:r>
              <w:tab/>
            </w:r>
            <w:r>
              <w:fldChar w:fldCharType="begin"/>
            </w:r>
            <w:r>
              <w:instrText xml:space="preserve"> PAGEREF _Toc100033 \h </w:instrText>
            </w:r>
            <w:r>
              <w:fldChar w:fldCharType="separate"/>
            </w:r>
            <w:r>
              <w:t>16</w:t>
            </w:r>
            <w:r>
              <w:fldChar w:fldCharType="end"/>
            </w:r>
          </w:hyperlink>
        </w:p>
        <w:p>
          <w:pPr>
            <w:pStyle w:val="11"/>
            <w:ind w:left="360"/>
            <w:tabs>
              <w:tab w:val="right" w:leader="dot" w:pos="9026"/>
            </w:tabs>
            <w:spacing w:before="120" w:after="60"/>
          </w:pPr>
          <w:hyperlink w:anchor="_Toc100034" w:history="1">
            <w:r>
              <w:rPr>
                <w:rStyle w:val="Hyperlink"/>
              </w:rPr>
              <w:t>6.6 Module Paiement</w:t>
            </w:r>
            <w:r>
              <w:tab/>
            </w:r>
            <w:r>
              <w:fldChar w:fldCharType="begin"/>
            </w:r>
            <w:r>
              <w:instrText xml:space="preserve"> PAGEREF _Toc100034 \h </w:instrText>
            </w:r>
            <w:r>
              <w:fldChar w:fldCharType="separate"/>
            </w:r>
            <w:r>
              <w:t>17</w:t>
            </w:r>
            <w:r>
              <w:fldChar w:fldCharType="end"/>
            </w:r>
          </w:hyperlink>
        </w:p>
        <w:p>
          <w:pPr>
            <w:pStyle w:val="9"/>
            <w:tabs>
              <w:tab w:val="right" w:leader="dot" w:pos="9026"/>
            </w:tabs>
            <w:spacing w:before="120" w:after="60"/>
          </w:pPr>
          <w:hyperlink w:anchor="_Toc100035" w:history="1">
            <w:r>
              <w:rPr>
                <w:rStyle w:val="Hyperlink"/>
              </w:rPr>
              <w:t>7. Module anti-fraude</w:t>
            </w:r>
            <w:r>
              <w:tab/>
            </w:r>
            <w:r>
              <w:fldChar w:fldCharType="begin"/>
            </w:r>
            <w:r>
              <w:instrText xml:space="preserve"> PAGEREF _Toc100035 \h </w:instrText>
            </w:r>
            <w:r>
              <w:fldChar w:fldCharType="separate"/>
            </w:r>
            <w:r>
              <w:t>17</w:t>
            </w:r>
            <w:r>
              <w:fldChar w:fldCharType="end"/>
            </w:r>
          </w:hyperlink>
        </w:p>
        <w:p>
          <w:pPr>
            <w:pStyle w:val="11"/>
            <w:ind w:left="360"/>
            <w:tabs>
              <w:tab w:val="right" w:leader="dot" w:pos="9026"/>
            </w:tabs>
            <w:spacing w:before="120" w:after="60"/>
          </w:pPr>
          <w:hyperlink w:anchor="_Toc100036" w:history="1">
            <w:r>
              <w:rPr>
                <w:rStyle w:val="Hyperlink"/>
              </w:rPr>
              <w:t>7.1 Mesures techniques</w:t>
            </w:r>
            <w:r>
              <w:tab/>
            </w:r>
            <w:r>
              <w:fldChar w:fldCharType="begin"/>
            </w:r>
            <w:r>
              <w:instrText xml:space="preserve"> PAGEREF _Toc100036 \h </w:instrText>
            </w:r>
            <w:r>
              <w:fldChar w:fldCharType="separate"/>
            </w:r>
            <w:r>
              <w:t>18</w:t>
            </w:r>
            <w:r>
              <w:fldChar w:fldCharType="end"/>
            </w:r>
          </w:hyperlink>
        </w:p>
        <w:p>
          <w:pPr>
            <w:pStyle w:val="12"/>
            <w:ind w:left="720"/>
            <w:tabs>
              <w:tab w:val="right" w:leader="dot" w:pos="9026"/>
            </w:tabs>
            <w:spacing w:before="120" w:after="60"/>
          </w:pPr>
          <w:hyperlink w:anchor="_Toc100037" w:history="1">
            <w:r>
              <w:rPr>
                <w:rStyle w:val="Hyperlink"/>
              </w:rPr>
              <w:t>Scan QR code obligatoire</w:t>
            </w:r>
            <w:r>
              <w:tab/>
            </w:r>
            <w:r>
              <w:fldChar w:fldCharType="begin"/>
            </w:r>
            <w:r>
              <w:instrText xml:space="preserve"> PAGEREF _Toc100037 \h </w:instrText>
            </w:r>
            <w:r>
              <w:fldChar w:fldCharType="separate"/>
            </w:r>
            <w:r>
              <w:t>18</w:t>
            </w:r>
            <w:r>
              <w:fldChar w:fldCharType="end"/>
            </w:r>
          </w:hyperlink>
        </w:p>
        <w:p>
          <w:pPr>
            <w:pStyle w:val="12"/>
            <w:ind w:left="720"/>
            <w:tabs>
              <w:tab w:val="right" w:leader="dot" w:pos="9026"/>
            </w:tabs>
            <w:spacing w:before="120" w:after="60"/>
          </w:pPr>
          <w:hyperlink w:anchor="_Toc100038" w:history="1">
            <w:r>
              <w:rPr>
                <w:rStyle w:val="Hyperlink"/>
              </w:rPr>
              <w:t>Photographie le jour de l’examen</w:t>
            </w:r>
            <w:r>
              <w:tab/>
            </w:r>
            <w:r>
              <w:fldChar w:fldCharType="begin"/>
            </w:r>
            <w:r>
              <w:instrText xml:space="preserve"> PAGEREF _Toc100038 \h </w:instrText>
            </w:r>
            <w:r>
              <w:fldChar w:fldCharType="separate"/>
            </w:r>
            <w:r>
              <w:t>18</w:t>
            </w:r>
            <w:r>
              <w:fldChar w:fldCharType="end"/>
            </w:r>
          </w:hyperlink>
        </w:p>
        <w:p>
          <w:pPr>
            <w:pStyle w:val="12"/>
            <w:ind w:left="720"/>
            <w:tabs>
              <w:tab w:val="right" w:leader="dot" w:pos="9026"/>
            </w:tabs>
            <w:spacing w:before="120" w:after="60"/>
          </w:pPr>
          <w:hyperlink w:anchor="_Toc100039" w:history="1">
            <w:r>
              <w:rPr>
                <w:rStyle w:val="Hyperlink"/>
              </w:rPr>
              <w:t>Surveillance webcam</w:t>
            </w:r>
            <w:r>
              <w:tab/>
            </w:r>
            <w:r>
              <w:fldChar w:fldCharType="begin"/>
            </w:r>
            <w:r>
              <w:instrText xml:space="preserve"> PAGEREF _Toc100039 \h </w:instrText>
            </w:r>
            <w:r>
              <w:fldChar w:fldCharType="separate"/>
            </w:r>
            <w:r>
              <w:t>18</w:t>
            </w:r>
            <w:r>
              <w:fldChar w:fldCharType="end"/>
            </w:r>
          </w:hyperlink>
        </w:p>
        <w:p>
          <w:pPr>
            <w:pStyle w:val="12"/>
            <w:ind w:left="720"/>
            <w:tabs>
              <w:tab w:val="right" w:leader="dot" w:pos="9026"/>
            </w:tabs>
            <w:spacing w:before="120" w:after="60"/>
          </w:pPr>
          <w:hyperlink w:anchor="_Toc100040" w:history="1">
            <w:r>
              <w:rPr>
                <w:rStyle w:val="Hyperlink"/>
              </w:rPr>
              <w:t>Verrouillage du navigateur</w:t>
            </w:r>
            <w:r>
              <w:tab/>
            </w:r>
            <w:r>
              <w:fldChar w:fldCharType="begin"/>
            </w:r>
            <w:r>
              <w:instrText xml:space="preserve"> PAGEREF _Toc100040 \h </w:instrText>
            </w:r>
            <w:r>
              <w:fldChar w:fldCharType="separate"/>
            </w:r>
            <w:r>
              <w:t>19</w:t>
            </w:r>
            <w:r>
              <w:fldChar w:fldCharType="end"/>
            </w:r>
          </w:hyperlink>
        </w:p>
        <w:p>
          <w:pPr>
            <w:pStyle w:val="12"/>
            <w:ind w:left="720"/>
            <w:tabs>
              <w:tab w:val="right" w:leader="dot" w:pos="9026"/>
            </w:tabs>
            <w:spacing w:before="120" w:after="60"/>
          </w:pPr>
          <w:hyperlink w:anchor="_Toc100041" w:history="1">
            <w:r>
              <w:rPr>
                <w:rStyle w:val="Hyperlink"/>
              </w:rPr>
              <w:t>Tirage aléatoire et ordre mélangé</w:t>
            </w:r>
            <w:r>
              <w:tab/>
            </w:r>
            <w:r>
              <w:fldChar w:fldCharType="begin"/>
            </w:r>
            <w:r>
              <w:instrText xml:space="preserve"> PAGEREF _Toc100041 \h </w:instrText>
            </w:r>
            <w:r>
              <w:fldChar w:fldCharType="separate"/>
            </w:r>
            <w:r>
              <w:t>19</w:t>
            </w:r>
            <w:r>
              <w:fldChar w:fldCharType="end"/>
            </w:r>
          </w:hyperlink>
        </w:p>
        <w:p>
          <w:pPr>
            <w:pStyle w:val="11"/>
            <w:ind w:left="360"/>
            <w:tabs>
              <w:tab w:val="right" w:leader="dot" w:pos="9026"/>
            </w:tabs>
            <w:spacing w:before="120" w:after="60"/>
          </w:pPr>
          <w:hyperlink w:anchor="_Toc100042" w:history="1">
            <w:r>
              <w:rPr>
                <w:rStyle w:val="Hyperlink"/>
              </w:rPr>
              <w:t>7.2 Mesures statistiques et détection</w:t>
            </w:r>
            <w:r>
              <w:tab/>
            </w:r>
            <w:r>
              <w:fldChar w:fldCharType="begin"/>
            </w:r>
            <w:r>
              <w:instrText xml:space="preserve"> PAGEREF _Toc100042 \h </w:instrText>
            </w:r>
            <w:r>
              <w:fldChar w:fldCharType="separate"/>
            </w:r>
            <w:r>
              <w:t>19</w:t>
            </w:r>
            <w:r>
              <w:fldChar w:fldCharType="end"/>
            </w:r>
          </w:hyperlink>
        </w:p>
        <w:p>
          <w:pPr>
            <w:pStyle w:val="11"/>
            <w:ind w:left="360"/>
            <w:tabs>
              <w:tab w:val="right" w:leader="dot" w:pos="9026"/>
            </w:tabs>
            <w:spacing w:before="120" w:after="60"/>
          </w:pPr>
          <w:hyperlink w:anchor="_Toc100043" w:history="1">
            <w:r>
              <w:rPr>
                <w:rStyle w:val="Hyperlink"/>
              </w:rPr>
              <w:t>7.3 Sanctions et traçabilité</w:t>
            </w:r>
            <w:r>
              <w:tab/>
            </w:r>
            <w:r>
              <w:fldChar w:fldCharType="begin"/>
            </w:r>
            <w:r>
              <w:instrText xml:space="preserve"> PAGEREF _Toc100043 \h </w:instrText>
            </w:r>
            <w:r>
              <w:fldChar w:fldCharType="separate"/>
            </w:r>
            <w:r>
              <w:t>20</w:t>
            </w:r>
            <w:r>
              <w:fldChar w:fldCharType="end"/>
            </w:r>
          </w:hyperlink>
        </w:p>
        <w:p>
          <w:pPr>
            <w:pStyle w:val="9"/>
            <w:tabs>
              <w:tab w:val="right" w:leader="dot" w:pos="9026"/>
            </w:tabs>
            <w:spacing w:before="120" w:after="60"/>
          </w:pPr>
          <w:hyperlink w:anchor="_Toc100044" w:history="1">
            <w:r>
              <w:rPr>
                <w:rStyle w:val="Hyperlink"/>
              </w:rPr>
              <w:t>8. Architecture technique</w:t>
            </w:r>
            <w:r>
              <w:tab/>
            </w:r>
            <w:r>
              <w:fldChar w:fldCharType="begin"/>
            </w:r>
            <w:r>
              <w:instrText xml:space="preserve"> PAGEREF _Toc100044 \h </w:instrText>
            </w:r>
            <w:r>
              <w:fldChar w:fldCharType="separate"/>
            </w:r>
            <w:r>
              <w:t>21</w:t>
            </w:r>
            <w:r>
              <w:fldChar w:fldCharType="end"/>
            </w:r>
          </w:hyperlink>
        </w:p>
        <w:p>
          <w:pPr>
            <w:pStyle w:val="11"/>
            <w:ind w:left="360"/>
            <w:tabs>
              <w:tab w:val="right" w:leader="dot" w:pos="9026"/>
            </w:tabs>
            <w:spacing w:before="120" w:after="60"/>
          </w:pPr>
          <w:hyperlink w:anchor="_Toc100045" w:history="1">
            <w:r>
              <w:rPr>
                <w:rStyle w:val="Hyperlink"/>
              </w:rPr>
              <w:t>8.1 Frontend</w:t>
            </w:r>
            <w:r>
              <w:tab/>
            </w:r>
            <w:r>
              <w:fldChar w:fldCharType="begin"/>
            </w:r>
            <w:r>
              <w:instrText xml:space="preserve"> PAGEREF _Toc100045 \h </w:instrText>
            </w:r>
            <w:r>
              <w:fldChar w:fldCharType="separate"/>
            </w:r>
            <w:r>
              <w:t>21</w:t>
            </w:r>
            <w:r>
              <w:fldChar w:fldCharType="end"/>
            </w:r>
          </w:hyperlink>
        </w:p>
        <w:p>
          <w:pPr>
            <w:pStyle w:val="11"/>
            <w:ind w:left="360"/>
            <w:tabs>
              <w:tab w:val="right" w:leader="dot" w:pos="9026"/>
            </w:tabs>
            <w:spacing w:before="120" w:after="60"/>
          </w:pPr>
          <w:hyperlink w:anchor="_Toc100046" w:history="1">
            <w:r>
              <w:rPr>
                <w:rStyle w:val="Hyperlink"/>
              </w:rPr>
              <w:t>8.2 Backend</w:t>
            </w:r>
            <w:r>
              <w:tab/>
            </w:r>
            <w:r>
              <w:fldChar w:fldCharType="begin"/>
            </w:r>
            <w:r>
              <w:instrText xml:space="preserve"> PAGEREF _Toc100046 \h </w:instrText>
            </w:r>
            <w:r>
              <w:fldChar w:fldCharType="separate"/>
            </w:r>
            <w:r>
              <w:t>21</w:t>
            </w:r>
            <w:r>
              <w:fldChar w:fldCharType="end"/>
            </w:r>
          </w:hyperlink>
        </w:p>
        <w:p>
          <w:pPr>
            <w:pStyle w:val="11"/>
            <w:ind w:left="360"/>
            <w:tabs>
              <w:tab w:val="right" w:leader="dot" w:pos="9026"/>
            </w:tabs>
            <w:spacing w:before="120" w:after="60"/>
          </w:pPr>
          <w:hyperlink w:anchor="_Toc100047" w:history="1">
            <w:r>
              <w:rPr>
                <w:rStyle w:val="Hyperlink"/>
              </w:rPr>
              <w:t>8.3 Base de données</w:t>
            </w:r>
            <w:r>
              <w:tab/>
            </w:r>
            <w:r>
              <w:fldChar w:fldCharType="begin"/>
            </w:r>
            <w:r>
              <w:instrText xml:space="preserve"> PAGEREF _Toc100047 \h </w:instrText>
            </w:r>
            <w:r>
              <w:fldChar w:fldCharType="separate"/>
            </w:r>
            <w:r>
              <w:t>21</w:t>
            </w:r>
            <w:r>
              <w:fldChar w:fldCharType="end"/>
            </w:r>
          </w:hyperlink>
        </w:p>
        <w:p>
          <w:pPr>
            <w:pStyle w:val="11"/>
            <w:ind w:left="360"/>
            <w:tabs>
              <w:tab w:val="right" w:leader="dot" w:pos="9026"/>
            </w:tabs>
            <w:spacing w:before="120" w:after="60"/>
          </w:pPr>
          <w:hyperlink w:anchor="_Toc100048" w:history="1">
            <w:r>
              <w:rPr>
                <w:rStyle w:val="Hyperlink"/>
              </w:rPr>
              <w:t>8.4 Sécurité</w:t>
            </w:r>
            <w:r>
              <w:tab/>
            </w:r>
            <w:r>
              <w:fldChar w:fldCharType="begin"/>
            </w:r>
            <w:r>
              <w:instrText xml:space="preserve"> PAGEREF _Toc100048 \h </w:instrText>
            </w:r>
            <w:r>
              <w:fldChar w:fldCharType="separate"/>
            </w:r>
            <w:r>
              <w:t>21</w:t>
            </w:r>
            <w:r>
              <w:fldChar w:fldCharType="end"/>
            </w:r>
          </w:hyperlink>
        </w:p>
        <w:p>
          <w:pPr>
            <w:pStyle w:val="11"/>
            <w:ind w:left="360"/>
            <w:tabs>
              <w:tab w:val="right" w:leader="dot" w:pos="9026"/>
            </w:tabs>
            <w:spacing w:before="120" w:after="60"/>
          </w:pPr>
          <w:hyperlink w:anchor="_Toc100049" w:history="1">
            <w:r>
              <w:rPr>
                <w:rStyle w:val="Hyperlink"/>
              </w:rPr>
              <w:t>8.5 Hébergement</w:t>
            </w:r>
            <w:r>
              <w:tab/>
            </w:r>
            <w:r>
              <w:fldChar w:fldCharType="begin"/>
            </w:r>
            <w:r>
              <w:instrText xml:space="preserve"> PAGEREF _Toc100049 \h </w:instrText>
            </w:r>
            <w:r>
              <w:fldChar w:fldCharType="separate"/>
            </w:r>
            <w:r>
              <w:t>22</w:t>
            </w:r>
            <w:r>
              <w:fldChar w:fldCharType="end"/>
            </w:r>
          </w:hyperlink>
        </w:p>
        <w:p>
          <w:pPr>
            <w:pStyle w:val="9"/>
            <w:tabs>
              <w:tab w:val="right" w:leader="dot" w:pos="9026"/>
            </w:tabs>
            <w:spacing w:before="120" w:after="60"/>
          </w:pPr>
          <w:hyperlink w:anchor="_Toc100050" w:history="1">
            <w:r>
              <w:rPr>
                <w:rStyle w:val="Hyperlink"/>
              </w:rPr>
              <w:t>9. Diagrammes d’architecture</w:t>
            </w:r>
            <w:r>
              <w:tab/>
            </w:r>
            <w:r>
              <w:fldChar w:fldCharType="begin"/>
            </w:r>
            <w:r>
              <w:instrText xml:space="preserve"> PAGEREF _Toc100050 \h </w:instrText>
            </w:r>
            <w:r>
              <w:fldChar w:fldCharType="separate"/>
            </w:r>
            <w:r>
              <w:t>23</w:t>
            </w:r>
            <w:r>
              <w:fldChar w:fldCharType="end"/>
            </w:r>
          </w:hyperlink>
        </w:p>
        <w:p>
          <w:pPr>
            <w:pStyle w:val="9"/>
            <w:tabs>
              <w:tab w:val="right" w:leader="dot" w:pos="9026"/>
            </w:tabs>
            <w:spacing w:before="120" w:after="60"/>
          </w:pPr>
          <w:hyperlink w:anchor="_Toc100051" w:history="1">
            <w:r>
              <w:rPr>
                <w:rStyle w:val="Hyperlink"/>
              </w:rPr>
              <w:t>10. Modèle de données</w:t>
            </w:r>
            <w:r>
              <w:tab/>
            </w:r>
            <w:r>
              <w:fldChar w:fldCharType="begin"/>
            </w:r>
            <w:r>
              <w:instrText xml:space="preserve"> PAGEREF _Toc100051 \h </w:instrText>
            </w:r>
            <w:r>
              <w:fldChar w:fldCharType="separate"/>
            </w:r>
            <w:r>
              <w:t>23</w:t>
            </w:r>
            <w:r>
              <w:fldChar w:fldCharType="end"/>
            </w:r>
          </w:hyperlink>
        </w:p>
        <w:p>
          <w:pPr>
            <w:pStyle w:val="11"/>
            <w:ind w:left="360"/>
            <w:tabs>
              <w:tab w:val="right" w:leader="dot" w:pos="9026"/>
            </w:tabs>
            <w:spacing w:before="120" w:after="60"/>
          </w:pPr>
          <w:hyperlink w:anchor="_Toc100052" w:history="1">
            <w:r>
              <w:rPr>
                <w:rStyle w:val="Hyperlink"/>
              </w:rPr>
              <w:t>10.1 Schéma identity</w:t>
            </w:r>
            <w:r>
              <w:tab/>
            </w:r>
            <w:r>
              <w:fldChar w:fldCharType="begin"/>
            </w:r>
            <w:r>
              <w:instrText xml:space="preserve"> PAGEREF _Toc100052 \h </w:instrText>
            </w:r>
            <w:r>
              <w:fldChar w:fldCharType="separate"/>
            </w:r>
            <w:r>
              <w:t>24</w:t>
            </w:r>
            <w:r>
              <w:fldChar w:fldCharType="end"/>
            </w:r>
          </w:hyperlink>
        </w:p>
        <w:p>
          <w:pPr>
            <w:pStyle w:val="11"/>
            <w:ind w:left="360"/>
            <w:tabs>
              <w:tab w:val="right" w:leader="dot" w:pos="9026"/>
            </w:tabs>
            <w:spacing w:before="120" w:after="60"/>
          </w:pPr>
          <w:hyperlink w:anchor="_Toc100053" w:history="1">
            <w:r>
              <w:rPr>
                <w:rStyle w:val="Hyperlink"/>
              </w:rPr>
              <w:t>10.2 Schéma exam</w:t>
            </w:r>
            <w:r>
              <w:tab/>
            </w:r>
            <w:r>
              <w:fldChar w:fldCharType="begin"/>
            </w:r>
            <w:r>
              <w:instrText xml:space="preserve"> PAGEREF _Toc100053 \h </w:instrText>
            </w:r>
            <w:r>
              <w:fldChar w:fldCharType="separate"/>
            </w:r>
            <w:r>
              <w:t>24</w:t>
            </w:r>
            <w:r>
              <w:fldChar w:fldCharType="end"/>
            </w:r>
          </w:hyperlink>
        </w:p>
        <w:p>
          <w:pPr>
            <w:pStyle w:val="11"/>
            <w:ind w:left="360"/>
            <w:tabs>
              <w:tab w:val="right" w:leader="dot" w:pos="9026"/>
            </w:tabs>
            <w:spacing w:before="120" w:after="60"/>
          </w:pPr>
          <w:hyperlink w:anchor="_Toc100054" w:history="1">
            <w:r>
              <w:rPr>
                <w:rStyle w:val="Hyperlink"/>
              </w:rPr>
              <w:t>10.3 Schéma payment</w:t>
            </w:r>
            <w:r>
              <w:tab/>
            </w:r>
            <w:r>
              <w:fldChar w:fldCharType="begin"/>
            </w:r>
            <w:r>
              <w:instrText xml:space="preserve"> PAGEREF _Toc100054 \h </w:instrText>
            </w:r>
            <w:r>
              <w:fldChar w:fldCharType="separate"/>
            </w:r>
            <w:r>
              <w:t>24</w:t>
            </w:r>
            <w:r>
              <w:fldChar w:fldCharType="end"/>
            </w:r>
          </w:hyperlink>
        </w:p>
        <w:p>
          <w:pPr>
            <w:pStyle w:val="11"/>
            <w:ind w:left="360"/>
            <w:tabs>
              <w:tab w:val="right" w:leader="dot" w:pos="9026"/>
            </w:tabs>
            <w:spacing w:before="120" w:after="60"/>
          </w:pPr>
          <w:hyperlink w:anchor="_Toc100055" w:history="1">
            <w:r>
              <w:rPr>
                <w:rStyle w:val="Hyperlink"/>
              </w:rPr>
              <w:t>10.4 Schéma center</w:t>
            </w:r>
            <w:r>
              <w:tab/>
            </w:r>
            <w:r>
              <w:fldChar w:fldCharType="begin"/>
            </w:r>
            <w:r>
              <w:instrText xml:space="preserve"> PAGEREF _Toc100055 \h </w:instrText>
            </w:r>
            <w:r>
              <w:fldChar w:fldCharType="separate"/>
            </w:r>
            <w:r>
              <w:t>24</w:t>
            </w:r>
            <w:r>
              <w:fldChar w:fldCharType="end"/>
            </w:r>
          </w:hyperlink>
        </w:p>
        <w:p>
          <w:pPr>
            <w:pStyle w:val="11"/>
            <w:ind w:left="360"/>
            <w:tabs>
              <w:tab w:val="right" w:leader="dot" w:pos="9026"/>
            </w:tabs>
            <w:spacing w:before="120" w:after="60"/>
          </w:pPr>
          <w:hyperlink w:anchor="_Toc100056" w:history="1">
            <w:r>
              <w:rPr>
                <w:rStyle w:val="Hyperlink"/>
              </w:rPr>
              <w:t>10.5 Schéma audit</w:t>
            </w:r>
            <w:r>
              <w:tab/>
            </w:r>
            <w:r>
              <w:fldChar w:fldCharType="begin"/>
            </w:r>
            <w:r>
              <w:instrText xml:space="preserve"> PAGEREF _Toc100056 \h </w:instrText>
            </w:r>
            <w:r>
              <w:fldChar w:fldCharType="separate"/>
            </w:r>
            <w:r>
              <w:t>24</w:t>
            </w:r>
            <w:r>
              <w:fldChar w:fldCharType="end"/>
            </w:r>
          </w:hyperlink>
        </w:p>
        <w:p>
          <w:pPr>
            <w:pStyle w:val="9"/>
            <w:tabs>
              <w:tab w:val="right" w:leader="dot" w:pos="9026"/>
            </w:tabs>
            <w:spacing w:before="120" w:after="60"/>
          </w:pPr>
          <w:hyperlink w:anchor="_Toc100057" w:history="1">
            <w:r>
              <w:rPr>
                <w:rStyle w:val="Hyperlink"/>
              </w:rPr>
              <w:t>11. Règles d’examen et agrément</w:t>
            </w:r>
            <w:r>
              <w:tab/>
            </w:r>
            <w:r>
              <w:fldChar w:fldCharType="begin"/>
            </w:r>
            <w:r>
              <w:instrText xml:space="preserve"> PAGEREF _Toc100057 \h </w:instrText>
            </w:r>
            <w:r>
              <w:fldChar w:fldCharType="separate"/>
            </w:r>
            <w:r>
              <w:t>24</w:t>
            </w:r>
            <w:r>
              <w:fldChar w:fldCharType="end"/>
            </w:r>
          </w:hyperlink>
        </w:p>
        <w:p>
          <w:pPr>
            <w:pStyle w:val="11"/>
            <w:ind w:left="360"/>
            <w:tabs>
              <w:tab w:val="right" w:leader="dot" w:pos="9026"/>
            </w:tabs>
            <w:spacing w:before="120" w:after="60"/>
          </w:pPr>
          <w:hyperlink w:anchor="_Toc100058" w:history="1">
            <w:r>
              <w:rPr>
                <w:rStyle w:val="Hyperlink"/>
              </w:rPr>
              <w:t>11.1 Paramétrage de l’examen</w:t>
            </w:r>
            <w:r>
              <w:tab/>
            </w:r>
            <w:r>
              <w:fldChar w:fldCharType="begin"/>
            </w:r>
            <w:r>
              <w:instrText xml:space="preserve"> PAGEREF _Toc100058 \h </w:instrText>
            </w:r>
            <w:r>
              <w:fldChar w:fldCharType="separate"/>
            </w:r>
            <w:r>
              <w:t>25</w:t>
            </w:r>
            <w:r>
              <w:fldChar w:fldCharType="end"/>
            </w:r>
          </w:hyperlink>
        </w:p>
        <w:p>
          <w:pPr>
            <w:pStyle w:val="11"/>
            <w:ind w:left="360"/>
            <w:tabs>
              <w:tab w:val="right" w:leader="dot" w:pos="9026"/>
            </w:tabs>
            <w:spacing w:before="120" w:after="60"/>
          </w:pPr>
          <w:hyperlink w:anchor="_Toc100059" w:history="1">
            <w:r>
              <w:rPr>
                <w:rStyle w:val="Hyperlink"/>
              </w:rPr>
              <w:t>11.2 Conditions d’agrément des centres</w:t>
            </w:r>
            <w:r>
              <w:tab/>
            </w:r>
            <w:r>
              <w:fldChar w:fldCharType="begin"/>
            </w:r>
            <w:r>
              <w:instrText xml:space="preserve"> PAGEREF _Toc100059 \h </w:instrText>
            </w:r>
            <w:r>
              <w:fldChar w:fldCharType="separate"/>
            </w:r>
            <w:r>
              <w:t>25</w:t>
            </w:r>
            <w:r>
              <w:fldChar w:fldCharType="end"/>
            </w:r>
          </w:hyperlink>
        </w:p>
        <w:p>
          <w:pPr>
            <w:pStyle w:val="9"/>
            <w:tabs>
              <w:tab w:val="right" w:leader="dot" w:pos="9026"/>
            </w:tabs>
            <w:spacing w:before="120" w:after="60"/>
          </w:pPr>
          <w:hyperlink w:anchor="_Toc100060" w:history="1">
            <w:r>
              <w:rPr>
                <w:rStyle w:val="Hyperlink"/>
              </w:rPr>
              <w:t>12. Dashboard national</w:t>
            </w:r>
            <w:r>
              <w:tab/>
            </w:r>
            <w:r>
              <w:fldChar w:fldCharType="begin"/>
            </w:r>
            <w:r>
              <w:instrText xml:space="preserve"> PAGEREF _Toc100060 \h </w:instrText>
            </w:r>
            <w:r>
              <w:fldChar w:fldCharType="separate"/>
            </w:r>
            <w:r>
              <w:t>25</w:t>
            </w:r>
            <w:r>
              <w:fldChar w:fldCharType="end"/>
            </w:r>
          </w:hyperlink>
        </w:p>
        <w:p>
          <w:pPr>
            <w:pStyle w:val="9"/>
            <w:tabs>
              <w:tab w:val="right" w:leader="dot" w:pos="9026"/>
            </w:tabs>
            <w:spacing w:before="120" w:after="60"/>
          </w:pPr>
          <w:hyperlink w:anchor="_Toc100061" w:history="1">
            <w:r>
              <w:rPr>
                <w:rStyle w:val="Hyperlink"/>
              </w:rPr>
              <w:t>13. Modèle économique</w:t>
            </w:r>
            <w:r>
              <w:tab/>
            </w:r>
            <w:r>
              <w:fldChar w:fldCharType="begin"/>
            </w:r>
            <w:r>
              <w:instrText xml:space="preserve"> PAGEREF _Toc100061 \h </w:instrText>
            </w:r>
            <w:r>
              <w:fldChar w:fldCharType="separate"/>
            </w:r>
            <w:r>
              <w:t>26</w:t>
            </w:r>
            <w:r>
              <w:fldChar w:fldCharType="end"/>
            </w:r>
          </w:hyperlink>
        </w:p>
        <w:p>
          <w:pPr>
            <w:pStyle w:val="11"/>
            <w:ind w:left="360"/>
            <w:tabs>
              <w:tab w:val="right" w:leader="dot" w:pos="9026"/>
            </w:tabs>
            <w:spacing w:before="120" w:after="60"/>
          </w:pPr>
          <w:hyperlink w:anchor="_Toc100062" w:history="1">
            <w:r>
              <w:rPr>
                <w:rStyle w:val="Hyperlink"/>
              </w:rPr>
              <w:t>13.1 Modèle recommandé : PPP</w:t>
            </w:r>
            <w:r>
              <w:tab/>
            </w:r>
            <w:r>
              <w:fldChar w:fldCharType="begin"/>
            </w:r>
            <w:r>
              <w:instrText xml:space="preserve"> PAGEREF _Toc100062 \h </w:instrText>
            </w:r>
            <w:r>
              <w:fldChar w:fldCharType="separate"/>
            </w:r>
            <w:r>
              <w:t>27</w:t>
            </w:r>
            <w:r>
              <w:fldChar w:fldCharType="end"/>
            </w:r>
          </w:hyperlink>
        </w:p>
        <w:p>
          <w:pPr>
            <w:pStyle w:val="9"/>
            <w:tabs>
              <w:tab w:val="right" w:leader="dot" w:pos="9026"/>
            </w:tabs>
            <w:spacing w:before="120" w:after="60"/>
          </w:pPr>
          <w:hyperlink w:anchor="_Toc100063" w:history="1">
            <w:r>
              <w:rPr>
                <w:rStyle w:val="Hyperlink"/>
              </w:rPr>
              <w:t>14. Benchmark international</w:t>
            </w:r>
            <w:r>
              <w:tab/>
            </w:r>
            <w:r>
              <w:fldChar w:fldCharType="begin"/>
            </w:r>
            <w:r>
              <w:instrText xml:space="preserve"> PAGEREF _Toc100063 \h </w:instrText>
            </w:r>
            <w:r>
              <w:fldChar w:fldCharType="separate"/>
            </w:r>
            <w:r>
              <w:t>28</w:t>
            </w:r>
            <w:r>
              <w:fldChar w:fldCharType="end"/>
            </w:r>
          </w:hyperlink>
        </w:p>
        <w:p>
          <w:pPr>
            <w:pStyle w:val="11"/>
            <w:ind w:left="360"/>
            <w:tabs>
              <w:tab w:val="right" w:leader="dot" w:pos="9026"/>
            </w:tabs>
            <w:spacing w:before="120" w:after="60"/>
          </w:pPr>
          <w:hyperlink w:anchor="_Toc100064" w:history="1">
            <w:r>
              <w:rPr>
                <w:rStyle w:val="Hyperlink"/>
              </w:rPr>
              <w:t>14.1 Enseignements clés</w:t>
            </w:r>
            <w:r>
              <w:tab/>
            </w:r>
            <w:r>
              <w:fldChar w:fldCharType="begin"/>
            </w:r>
            <w:r>
              <w:instrText xml:space="preserve"> PAGEREF _Toc100064 \h </w:instrText>
            </w:r>
            <w:r>
              <w:fldChar w:fldCharType="separate"/>
            </w:r>
            <w:r>
              <w:t>28</w:t>
            </w:r>
            <w:r>
              <w:fldChar w:fldCharType="end"/>
            </w:r>
          </w:hyperlink>
        </w:p>
        <w:p>
          <w:pPr>
            <w:pStyle w:val="9"/>
            <w:tabs>
              <w:tab w:val="right" w:leader="dot" w:pos="9026"/>
            </w:tabs>
            <w:spacing w:before="120" w:after="60"/>
          </w:pPr>
          <w:hyperlink w:anchor="_Toc100065" w:history="1">
            <w:r>
              <w:rPr>
                <w:rStyle w:val="Hyperlink"/>
              </w:rPr>
              <w:t>15. Planning chiffré</w:t>
            </w:r>
            <w:r>
              <w:tab/>
            </w:r>
            <w:r>
              <w:fldChar w:fldCharType="begin"/>
            </w:r>
            <w:r>
              <w:instrText xml:space="preserve"> PAGEREF _Toc100065 \h </w:instrText>
            </w:r>
            <w:r>
              <w:fldChar w:fldCharType="separate"/>
            </w:r>
            <w:r>
              <w:t>29</w:t>
            </w:r>
            <w:r>
              <w:fldChar w:fldCharType="end"/>
            </w:r>
          </w:hyperlink>
        </w:p>
        <w:p>
          <w:pPr>
            <w:pStyle w:val="11"/>
            <w:ind w:left="360"/>
            <w:tabs>
              <w:tab w:val="right" w:leader="dot" w:pos="9026"/>
            </w:tabs>
            <w:spacing w:before="120" w:after="60"/>
          </w:pPr>
          <w:hyperlink w:anchor="_Toc100066" w:history="1">
            <w:r>
              <w:rPr>
                <w:rStyle w:val="Hyperlink"/>
              </w:rPr>
              <w:t>15.1 Phase 1 : MVP (Mois 1-6)</w:t>
            </w:r>
            <w:r>
              <w:tab/>
            </w:r>
            <w:r>
              <w:fldChar w:fldCharType="begin"/>
            </w:r>
            <w:r>
              <w:instrText xml:space="preserve"> PAGEREF _Toc100066 \h </w:instrText>
            </w:r>
            <w:r>
              <w:fldChar w:fldCharType="separate"/>
            </w:r>
            <w:r>
              <w:t>29</w:t>
            </w:r>
            <w:r>
              <w:fldChar w:fldCharType="end"/>
            </w:r>
          </w:hyperlink>
        </w:p>
        <w:p>
          <w:pPr>
            <w:pStyle w:val="11"/>
            <w:ind w:left="360"/>
            <w:tabs>
              <w:tab w:val="right" w:leader="dot" w:pos="9026"/>
            </w:tabs>
            <w:spacing w:before="120" w:after="60"/>
          </w:pPr>
          <w:hyperlink w:anchor="_Toc100067" w:history="1">
            <w:r>
              <w:rPr>
                <w:rStyle w:val="Hyperlink"/>
              </w:rPr>
              <w:t>15.2 Phase 2 : V2 (Mois 7-14)</w:t>
            </w:r>
            <w:r>
              <w:tab/>
            </w:r>
            <w:r>
              <w:fldChar w:fldCharType="begin"/>
            </w:r>
            <w:r>
              <w:instrText xml:space="preserve"> PAGEREF _Toc100067 \h </w:instrText>
            </w:r>
            <w:r>
              <w:fldChar w:fldCharType="separate"/>
            </w:r>
            <w:r>
              <w:t>29</w:t>
            </w:r>
            <w:r>
              <w:fldChar w:fldCharType="end"/>
            </w:r>
          </w:hyperlink>
        </w:p>
        <w:p>
          <w:pPr>
            <w:pStyle w:val="9"/>
            <w:tabs>
              <w:tab w:val="right" w:leader="dot" w:pos="9026"/>
            </w:tabs>
            <w:spacing w:before="120" w:after="60"/>
          </w:pPr>
          <w:hyperlink w:anchor="_Toc100068" w:history="1">
            <w:r>
              <w:rPr>
                <w:rStyle w:val="Hyperlink"/>
              </w:rPr>
              <w:t>16. Budget estimatif</w:t>
            </w:r>
            <w:r>
              <w:tab/>
            </w:r>
            <w:r>
              <w:fldChar w:fldCharType="begin"/>
            </w:r>
            <w:r>
              <w:instrText xml:space="preserve"> PAGEREF _Toc100068 \h </w:instrText>
            </w:r>
            <w:r>
              <w:fldChar w:fldCharType="separate"/>
            </w:r>
            <w:r>
              <w:t>30</w:t>
            </w:r>
            <w:r>
              <w:fldChar w:fldCharType="end"/>
            </w:r>
          </w:hyperlink>
        </w:p>
        <w:p>
          <w:pPr>
            <w:pStyle w:val="11"/>
            <w:ind w:left="360"/>
            <w:tabs>
              <w:tab w:val="right" w:leader="dot" w:pos="9026"/>
            </w:tabs>
            <w:spacing w:before="120" w:after="60"/>
          </w:pPr>
          <w:hyperlink w:anchor="_Toc100069" w:history="1">
            <w:r>
              <w:rPr>
                <w:rStyle w:val="Hyperlink"/>
              </w:rPr>
              <w:t>16.1 Coûts de développement (Phase 1 - MVP)</w:t>
            </w:r>
            <w:r>
              <w:tab/>
            </w:r>
            <w:r>
              <w:fldChar w:fldCharType="begin"/>
            </w:r>
            <w:r>
              <w:instrText xml:space="preserve"> PAGEREF _Toc100069 \h </w:instrText>
            </w:r>
            <w:r>
              <w:fldChar w:fldCharType="separate"/>
            </w:r>
            <w:r>
              <w:t>30</w:t>
            </w:r>
            <w:r>
              <w:fldChar w:fldCharType="end"/>
            </w:r>
          </w:hyperlink>
        </w:p>
        <w:p>
          <w:pPr>
            <w:pStyle w:val="11"/>
            <w:ind w:left="360"/>
            <w:tabs>
              <w:tab w:val="right" w:leader="dot" w:pos="9026"/>
            </w:tabs>
            <w:spacing w:before="120" w:after="60"/>
          </w:pPr>
          <w:hyperlink w:anchor="_Toc100070" w:history="1">
            <w:r>
              <w:rPr>
                <w:rStyle w:val="Hyperlink"/>
              </w:rPr>
              <w:t>16.2 Coûts de développement (Phase 2 - V2)</w:t>
            </w:r>
            <w:r>
              <w:tab/>
            </w:r>
            <w:r>
              <w:fldChar w:fldCharType="begin"/>
            </w:r>
            <w:r>
              <w:instrText xml:space="preserve"> PAGEREF _Toc100070 \h </w:instrText>
            </w:r>
            <w:r>
              <w:fldChar w:fldCharType="separate"/>
            </w:r>
            <w:r>
              <w:t>30</w:t>
            </w:r>
            <w:r>
              <w:fldChar w:fldCharType="end"/>
            </w:r>
          </w:hyperlink>
        </w:p>
        <w:p>
          <w:pPr>
            <w:pStyle w:val="11"/>
            <w:ind w:left="360"/>
            <w:tabs>
              <w:tab w:val="right" w:leader="dot" w:pos="9026"/>
            </w:tabs>
            <w:spacing w:before="120" w:after="60"/>
          </w:pPr>
          <w:hyperlink w:anchor="_Toc100071" w:history="1">
            <w:r>
              <w:rPr>
                <w:rStyle w:val="Hyperlink"/>
              </w:rPr>
              <w:t>16.3 Coûts d’infrastructure annuelle</w:t>
            </w:r>
            <w:r>
              <w:tab/>
            </w:r>
            <w:r>
              <w:fldChar w:fldCharType="begin"/>
            </w:r>
            <w:r>
              <w:instrText xml:space="preserve"> PAGEREF _Toc100071 \h </w:instrText>
            </w:r>
            <w:r>
              <w:fldChar w:fldCharType="separate"/>
            </w:r>
            <w:r>
              <w:t>30</w:t>
            </w:r>
            <w:r>
              <w:fldChar w:fldCharType="end"/>
            </w:r>
          </w:hyperlink>
        </w:p>
        <w:p>
          <w:pPr>
            <w:pStyle w:val="9"/>
            <w:tabs>
              <w:tab w:val="right" w:leader="dot" w:pos="9026"/>
            </w:tabs>
            <w:spacing w:before="120" w:after="60"/>
          </w:pPr>
          <w:hyperlink w:anchor="_Toc100072" w:history="1">
            <w:r>
              <w:rPr>
                <w:rStyle w:val="Hyperlink"/>
              </w:rPr>
              <w:t>17. Analyse des risques</w:t>
            </w:r>
            <w:r>
              <w:tab/>
            </w:r>
            <w:r>
              <w:fldChar w:fldCharType="begin"/>
            </w:r>
            <w:r>
              <w:instrText xml:space="preserve"> PAGEREF _Toc100072 \h </w:instrText>
            </w:r>
            <w:r>
              <w:fldChar w:fldCharType="separate"/>
            </w:r>
            <w:r>
              <w:t>30</w:t>
            </w:r>
            <w:r>
              <w:fldChar w:fldCharType="end"/>
            </w:r>
          </w:hyperlink>
        </w:p>
        <w:p>
          <w:pPr>
            <w:pStyle w:val="9"/>
            <w:tabs>
              <w:tab w:val="right" w:leader="dot" w:pos="9026"/>
            </w:tabs>
            <w:spacing w:before="120" w:after="60"/>
          </w:pPr>
          <w:hyperlink w:anchor="_Toc100073" w:history="1">
            <w:r>
              <w:rPr>
                <w:rStyle w:val="Hyperlink"/>
              </w:rPr>
              <w:t>18. MVP — Phase 1</w:t>
            </w:r>
            <w:r>
              <w:tab/>
            </w:r>
            <w:r>
              <w:fldChar w:fldCharType="begin"/>
            </w:r>
            <w:r>
              <w:instrText xml:space="preserve"> PAGEREF _Toc100073 \h </w:instrText>
            </w:r>
            <w:r>
              <w:fldChar w:fldCharType="separate"/>
            </w:r>
            <w:r>
              <w:t>31</w:t>
            </w:r>
            <w:r>
              <w:fldChar w:fldCharType="end"/>
            </w:r>
          </w:hyperlink>
        </w:p>
        <w:p>
          <w:pPr>
            <w:pStyle w:val="11"/>
            <w:ind w:left="360"/>
            <w:tabs>
              <w:tab w:val="right" w:leader="dot" w:pos="9026"/>
            </w:tabs>
            <w:spacing w:before="120" w:after="60"/>
          </w:pPr>
          <w:hyperlink w:anchor="_Toc100074" w:history="1">
            <w:r>
              <w:rPr>
                <w:rStyle w:val="Hyperlink"/>
              </w:rPr>
              <w:t>18.1 Modules du MVP</w:t>
            </w:r>
            <w:r>
              <w:tab/>
            </w:r>
            <w:r>
              <w:fldChar w:fldCharType="begin"/>
            </w:r>
            <w:r>
              <w:instrText xml:space="preserve"> PAGEREF _Toc100074 \h </w:instrText>
            </w:r>
            <w:r>
              <w:fldChar w:fldCharType="separate"/>
            </w:r>
            <w:r>
              <w:t>31</w:t>
            </w:r>
            <w:r>
              <w:fldChar w:fldCharType="end"/>
            </w:r>
          </w:hyperlink>
        </w:p>
        <w:p>
          <w:pPr>
            <w:pStyle w:val="11"/>
            <w:ind w:left="360"/>
            <w:tabs>
              <w:tab w:val="right" w:leader="dot" w:pos="9026"/>
            </w:tabs>
            <w:spacing w:before="120" w:after="60"/>
          </w:pPr>
          <w:hyperlink w:anchor="_Toc100075" w:history="1">
            <w:r>
              <w:rPr>
                <w:rStyle w:val="Hyperlink"/>
              </w:rPr>
              <w:t>18.2 Critères de succès du MVP</w:t>
            </w:r>
            <w:r>
              <w:tab/>
            </w:r>
            <w:r>
              <w:fldChar w:fldCharType="begin"/>
            </w:r>
            <w:r>
              <w:instrText xml:space="preserve"> PAGEREF _Toc100075 \h </w:instrText>
            </w:r>
            <w:r>
              <w:fldChar w:fldCharType="separate"/>
            </w:r>
            <w:r>
              <w:t>33</w:t>
            </w:r>
            <w:r>
              <w:fldChar w:fldCharType="end"/>
            </w:r>
          </w:hyperlink>
        </w:p>
        <w:p>
          <w:pPr>
            <w:pStyle w:val="9"/>
            <w:tabs>
              <w:tab w:val="right" w:leader="dot" w:pos="9026"/>
            </w:tabs>
            <w:spacing w:before="120" w:after="60"/>
          </w:pPr>
          <w:hyperlink w:anchor="_Toc100076" w:history="1">
            <w:r>
              <w:rPr>
                <w:rStyle w:val="Hyperlink"/>
              </w:rPr>
              <w:t>19. Vision finale et feuille de route</w:t>
            </w:r>
            <w:r>
              <w:tab/>
            </w:r>
            <w:r>
              <w:fldChar w:fldCharType="begin"/>
            </w:r>
            <w:r>
              <w:instrText xml:space="preserve"> PAGEREF _Toc100076 \h </w:instrText>
            </w:r>
            <w:r>
              <w:fldChar w:fldCharType="separate"/>
            </w:r>
            <w:r>
              <w:t>33</w:t>
            </w:r>
            <w:r>
              <w:fldChar w:fldCharType="end"/>
            </w:r>
          </w:hyperlink>
        </w:p>
        <w:p>
          <w:pPr>
            <w:pStyle w:val="11"/>
            <w:ind w:left="360"/>
            <w:tabs>
              <w:tab w:val="right" w:leader="dot" w:pos="9026"/>
            </w:tabs>
            <w:spacing w:before="120" w:after="60"/>
          </w:pPr>
          <w:hyperlink w:anchor="_Toc100077" w:history="1">
            <w:r>
              <w:rPr>
                <w:rStyle w:val="Hyperlink"/>
              </w:rPr>
              <w:t>19.1 Vision à long terme</w:t>
            </w:r>
            <w:r>
              <w:tab/>
            </w:r>
            <w:r>
              <w:fldChar w:fldCharType="begin"/>
            </w:r>
            <w:r>
              <w:instrText xml:space="preserve"> PAGEREF _Toc100077 \h </w:instrText>
            </w:r>
            <w:r>
              <w:fldChar w:fldCharType="separate"/>
            </w:r>
            <w:r>
              <w:t>33</w:t>
            </w:r>
            <w:r>
              <w:fldChar w:fldCharType="end"/>
            </w:r>
          </w:hyperlink>
        </w:p>
        <w:p>
          <w:pPr>
            <w:pStyle w:val="11"/>
            <w:ind w:left="360"/>
            <w:tabs>
              <w:tab w:val="right" w:leader="dot" w:pos="9026"/>
            </w:tabs>
            <w:spacing w:before="120" w:after="60"/>
          </w:pPr>
          <w:hyperlink w:anchor="_Toc100078" w:history="1">
            <w:r>
              <w:rPr>
                <w:rStyle w:val="Hyperlink"/>
              </w:rPr>
              <w:t>19.2 Feuille de route</w:t>
            </w:r>
            <w:r>
              <w:tab/>
            </w:r>
            <w:r>
              <w:fldChar w:fldCharType="begin"/>
            </w:r>
            <w:r>
              <w:instrText xml:space="preserve"> PAGEREF _Toc100078 \h </w:instrText>
            </w:r>
            <w:r>
              <w:fldChar w:fldCharType="separate"/>
            </w:r>
            <w:r>
              <w:t>34</w:t>
            </w:r>
            <w:r>
              <w:fldChar w:fldCharType="end"/>
            </w:r>
          </w:hyperlink>
        </w:p>
        <w:p>
          <w:r>
            <w:fldChar w:fldCharType="end"/>
          </w:r>
        </w:p>
      </w:sdtContent>
    </w:sdt>
    <w:p>
      <w:pPr>
        <w:spacing w:after="100" w:before="200"/>
      </w:pPr>
      <w:r>
        <w:rPr>
          <w:rFonts w:ascii="Calibri" w:cs="Calibri" w:eastAsia="Calibri" w:hAnsi="Calibri"/>
          <w:i/>
          <w:iCs/>
          <w:color w:val="7A8290"/>
          <w:sz w:val="17"/>
          <w:szCs w:val="17"/>
        </w:rPr>
        <w:t xml:space="preserve">Pour mettre à jour la table des matières : clic droit → « Mettre à jour les champs »</w:t>
      </w:r>
    </w:p>
    <w:p>
      <w:r>
        <w:br w:type="page"/>
      </w:r>
    </w:p>
    <w:p>
      <w:pPr>
        <w:pStyle w:val="Heading1"/>
        <w:spacing w:after="200" w:before="360" w:line="312"/>
      </w:pPr>
      <w:bookmarkStart w:id="100000" w:name="_Toc100000"/>
      <w:r>
        <w:rPr>
          <w:rFonts w:ascii="Calibri" w:cs="Calibri" w:eastAsia="Calibri" w:hAnsi="Calibri"/>
          <w:b/>
          <w:bCs/>
          <w:color w:val="1A2332"/>
          <w:sz w:val="28"/>
          <w:szCs w:val="28"/>
        </w:rPr>
        <w:t xml:space="preserve">1. Résumé exécutif</w:t>
      </w:r>
      <w:bookmarkEnd w:id="100000"/>
    </w:p>
    <w:p>
      <w:pPr>
        <w:pBdr>
          <w:bottom w:val="single" w:color="CE1126" w:sz="6"/>
        </w:pBdr>
        <w:spacing w:after="160"/>
      </w:pPr>
    </w:p>
    <w:p>
      <w:pPr>
        <w:spacing w:after="120" w:line="312"/>
        <w:jc w:val="both"/>
      </w:pPr>
      <w:r>
        <w:rPr>
          <w:rFonts w:ascii="Calibri" w:cs="Calibri" w:eastAsia="Calibri" w:hAnsi="Calibri"/>
          <w:color w:val="1A2332"/>
          <w:sz w:val="21"/>
          <w:szCs w:val="21"/>
        </w:rPr>
        <w:t xml:space="preserve">CodeRoute Guinée est une plateforme numérique nationale conçue pour moderniser et sécuriser le processus d’examen théorique du code de la route en République de Guinée. Ce projet stratégique vise à remplacer les procédures manuelles et opaques par un système digitalisé, traçable et connecté aux autorités compétentes, dans le but de réduire significativement la fraude, les faux permis, les lenteurs administratives et le manque de statistiques nationales sur la sécurité routière.</w:t>
      </w:r>
    </w:p>
    <w:p>
      <w:pPr>
        <w:spacing w:after="120" w:line="312"/>
        <w:jc w:val="both"/>
      </w:pPr>
      <w:r>
        <w:rPr>
          <w:rFonts w:ascii="Calibri" w:cs="Calibri" w:eastAsia="Calibri" w:hAnsi="Calibri"/>
          <w:color w:val="1A2332"/>
          <w:sz w:val="21"/>
          <w:szCs w:val="21"/>
        </w:rPr>
        <w:t xml:space="preserve">La plateforme permettra aux candidats de s’inscrire en ligne, de réserver une session d’examen dans un centre agréé, de payer via Mobile Money ou carte bancaire, de passer l’examen sur des postes informatisés sécurisés, et de recevoir automatiquement leurs résultats. Le dispositif anti-fraude, au cœur du système, intègre la vérification d’identité par QR code, la photographie en temps réel, le tirage aléatoire des questions, la surveillance par webcam et la détection automatique des anomalies.</w:t>
      </w:r>
    </w:p>
    <w:p>
      <w:pPr>
        <w:spacing w:after="120" w:line="312"/>
        <w:jc w:val="both"/>
      </w:pPr>
      <w:r>
        <w:rPr>
          <w:rFonts w:ascii="Calibri" w:cs="Calibri" w:eastAsia="Calibri" w:hAnsi="Calibri"/>
          <w:color w:val="1A2332"/>
          <w:sz w:val="21"/>
          <w:szCs w:val="21"/>
        </w:rPr>
        <w:t xml:space="preserve">Le projet adopte un modèle de partenariat public-privé (PPP), où l’État assure la réglementation et le contrôle, la plateforme fournit la technologie et la sécurité, et les centres agréés assurent l’accueil physique et la surveillance. Ce modèle s’inspire des bonnes pratiques françaises tout en intégrant des mesures anti-fraude renforcées dès la conception, évitant les écueils observés dans certains centres privés français.</w:t>
      </w:r>
    </w:p>
    <w:p>
      <w:pPr>
        <w:spacing w:after="140" w:line="312"/>
        <w:ind w:left="200"/>
        <w:jc w:val="both"/>
      </w:pPr>
      <w:r>
        <w:rPr>
          <w:rFonts w:ascii="Calibri" w:cs="Calibri" w:eastAsia="Calibri" w:hAnsi="Calibri"/>
          <w:i/>
          <w:iCs/>
          <w:color w:val="5A6270"/>
          <w:sz w:val="19"/>
          <w:szCs w:val="19"/>
        </w:rPr>
        <w:t xml:space="preserve">Executive Summary — CodeRoute Guinée is a national digital platform designed to modernize and secure the theoretical driving exam process in the Republic of Guinea. This strategic project aims to replace manual and opaque procedures with a digitalized, traceable system connected to the competent authorities, significantly reducing fraud, fake licenses, administrative delays, and the lack of national road safety statistics.</w:t>
      </w:r>
    </w:p>
    <w:p>
      <w:pPr>
        <w:pStyle w:val="Heading3"/>
        <w:spacing w:after="80" w:before="160" w:line="312"/>
      </w:pPr>
      <w:bookmarkStart w:id="100001" w:name="_Toc100001"/>
      <w:r>
        <w:rPr>
          <w:rFonts w:ascii="Calibri" w:cs="Calibri" w:eastAsia="Calibri" w:hAnsi="Calibri"/>
          <w:b/>
          <w:bCs/>
          <w:color w:val="1A2332"/>
          <w:sz w:val="20"/>
          <w:szCs w:val="20"/>
        </w:rPr>
        <w:t xml:space="preserve">Chiffres clés estimés</w:t>
      </w:r>
      <w:bookmarkEnd w:id="100001"/>
    </w:p>
    <w:tbl>
      <w:tblPr>
        <w:tblW w:type="pct" w:w="100%"/>
        <w:tblBorders>
          <w:top w:val="single" w:color="D0D5DD" w:sz="1"/>
          <w:left w:val="single" w:color="D0D5DD" w:sz="1"/>
          <w:bottom w:val="single" w:color="D0D5DD" w:sz="1"/>
          <w:right w:val="single" w:color="D0D5DD" w:sz="1"/>
          <w:insideH w:val="single" w:color="D0D5DD" w:sz="1"/>
          <w:insideV w:val="single" w:color="D0D5DD" w:sz="1"/>
        </w:tblBorders>
      </w:tblPr>
      <w:tblGrid>
        <w:gridCol w:w="100"/>
        <w:gridCol w:w="100"/>
      </w:tblGrid>
      <w:tr>
        <w:trPr>
          <w:cantSplit/>
          <w:tblHeader/>
        </w:trPr>
        <w:tc>
          <w:tcPr>
            <w:tcW w:type="pct" w:w="55%"/>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Indicateur</w:t>
            </w:r>
          </w:p>
        </w:tc>
        <w:tc>
          <w:tcPr>
            <w:tcW w:type="pct" w:w="45%"/>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Valeur cible</w:t>
            </w:r>
          </w:p>
        </w:tc>
      </w:tr>
      <w:tr>
        <w:trPr>
          <w:cantSplit/>
        </w:trPr>
        <w:tc>
          <w:tcPr>
            <w:tcW w:type="pct" w:w="55%"/>
            <w:shd w:fill="FFFFFF" w:val="clear"/>
            <w:tcMar>
              <w:top w:type="dxa" w:w="50"/>
              <w:left w:type="dxa" w:w="100"/>
              <w:bottom w:type="dxa" w:w="50"/>
              <w:right w:type="dxa" w:w="100"/>
            </w:tcMar>
          </w:tcPr>
          <w:p>
            <w:r>
              <w:rPr>
                <w:rFonts w:ascii="Calibri" w:cs="Calibri" w:eastAsia="Calibri" w:hAnsi="Calibri"/>
                <w:color w:val="1A2332"/>
                <w:sz w:val="19"/>
                <w:szCs w:val="19"/>
              </w:rPr>
              <w:t xml:space="preserve">Réduction de la fraude</w:t>
            </w:r>
          </w:p>
        </w:tc>
        <w:tc>
          <w:tcPr>
            <w:tcW w:type="pct" w:w="45%"/>
            <w:shd w:fill="FFFFFF" w:val="clear"/>
            <w:tcMar>
              <w:top w:type="dxa" w:w="50"/>
              <w:left w:type="dxa" w:w="100"/>
              <w:bottom w:type="dxa" w:w="50"/>
              <w:right w:type="dxa" w:w="100"/>
            </w:tcMar>
          </w:tcPr>
          <w:p>
            <w:r>
              <w:rPr>
                <w:rFonts w:ascii="Calibri" w:cs="Calibri" w:eastAsia="Calibri" w:hAnsi="Calibri"/>
                <w:color w:val="1A2332"/>
                <w:sz w:val="19"/>
                <w:szCs w:val="19"/>
              </w:rPr>
              <w:t xml:space="preserve">&gt; 90%</w:t>
            </w:r>
          </w:p>
        </w:tc>
      </w:tr>
      <w:tr>
        <w:trPr>
          <w:cantSplit/>
        </w:trPr>
        <w:tc>
          <w:tcPr>
            <w:tcW w:type="pct" w:w="55%"/>
            <w:shd w:fill="F5F7FA" w:val="clear"/>
            <w:tcMar>
              <w:top w:type="dxa" w:w="50"/>
              <w:left w:type="dxa" w:w="100"/>
              <w:bottom w:type="dxa" w:w="50"/>
              <w:right w:type="dxa" w:w="100"/>
            </w:tcMar>
          </w:tcPr>
          <w:p>
            <w:r>
              <w:rPr>
                <w:rFonts w:ascii="Calibri" w:cs="Calibri" w:eastAsia="Calibri" w:hAnsi="Calibri"/>
                <w:color w:val="1A2332"/>
                <w:sz w:val="19"/>
                <w:szCs w:val="19"/>
              </w:rPr>
              <w:t xml:space="preserve">Temps de délivrance des résultats</w:t>
            </w:r>
          </w:p>
        </w:tc>
        <w:tc>
          <w:tcPr>
            <w:tcW w:type="pct" w:w="45%"/>
            <w:shd w:fill="F5F7FA" w:val="clear"/>
            <w:tcMar>
              <w:top w:type="dxa" w:w="50"/>
              <w:left w:type="dxa" w:w="100"/>
              <w:bottom w:type="dxa" w:w="50"/>
              <w:right w:type="dxa" w:w="100"/>
            </w:tcMar>
          </w:tcPr>
          <w:p>
            <w:r>
              <w:rPr>
                <w:rFonts w:ascii="Calibri" w:cs="Calibri" w:eastAsia="Calibri" w:hAnsi="Calibri"/>
                <w:color w:val="1A2332"/>
                <w:sz w:val="19"/>
                <w:szCs w:val="19"/>
              </w:rPr>
              <w:t xml:space="preserve">Immédiat (vs. jours/semaines)</w:t>
            </w:r>
          </w:p>
        </w:tc>
      </w:tr>
      <w:tr>
        <w:trPr>
          <w:cantSplit/>
        </w:trPr>
        <w:tc>
          <w:tcPr>
            <w:tcW w:type="pct" w:w="55%"/>
            <w:shd w:fill="FFFFFF" w:val="clear"/>
            <w:tcMar>
              <w:top w:type="dxa" w:w="50"/>
              <w:left w:type="dxa" w:w="100"/>
              <w:bottom w:type="dxa" w:w="50"/>
              <w:right w:type="dxa" w:w="100"/>
            </w:tcMar>
          </w:tcPr>
          <w:p>
            <w:r>
              <w:rPr>
                <w:rFonts w:ascii="Calibri" w:cs="Calibri" w:eastAsia="Calibri" w:hAnsi="Calibri"/>
                <w:color w:val="1A2332"/>
                <w:sz w:val="19"/>
                <w:szCs w:val="19"/>
              </w:rPr>
              <w:t xml:space="preserve">Centres agréés (Phase 1)</w:t>
            </w:r>
          </w:p>
        </w:tc>
        <w:tc>
          <w:tcPr>
            <w:tcW w:type="pct" w:w="45%"/>
            <w:shd w:fill="FFFFFF" w:val="clear"/>
            <w:tcMar>
              <w:top w:type="dxa" w:w="50"/>
              <w:left w:type="dxa" w:w="100"/>
              <w:bottom w:type="dxa" w:w="50"/>
              <w:right w:type="dxa" w:w="100"/>
            </w:tcMar>
          </w:tcPr>
          <w:p>
            <w:r>
              <w:rPr>
                <w:rFonts w:ascii="Calibri" w:cs="Calibri" w:eastAsia="Calibri" w:hAnsi="Calibri"/>
                <w:color w:val="1A2332"/>
                <w:sz w:val="19"/>
                <w:szCs w:val="19"/>
              </w:rPr>
              <w:t xml:space="preserve">10-15 centres</w:t>
            </w:r>
          </w:p>
        </w:tc>
      </w:tr>
      <w:tr>
        <w:trPr>
          <w:cantSplit/>
        </w:trPr>
        <w:tc>
          <w:tcPr>
            <w:tcW w:type="pct" w:w="55%"/>
            <w:shd w:fill="F5F7FA" w:val="clear"/>
            <w:tcMar>
              <w:top w:type="dxa" w:w="50"/>
              <w:left w:type="dxa" w:w="100"/>
              <w:bottom w:type="dxa" w:w="50"/>
              <w:right w:type="dxa" w:w="100"/>
            </w:tcMar>
          </w:tcPr>
          <w:p>
            <w:r>
              <w:rPr>
                <w:rFonts w:ascii="Calibri" w:cs="Calibri" w:eastAsia="Calibri" w:hAnsi="Calibri"/>
                <w:color w:val="1A2332"/>
                <w:sz w:val="19"/>
                <w:szCs w:val="19"/>
              </w:rPr>
              <w:t xml:space="preserve">Candidats traités par an (objectif)</w:t>
            </w:r>
          </w:p>
        </w:tc>
        <w:tc>
          <w:tcPr>
            <w:tcW w:type="pct" w:w="45%"/>
            <w:shd w:fill="F5F7FA" w:val="clear"/>
            <w:tcMar>
              <w:top w:type="dxa" w:w="50"/>
              <w:left w:type="dxa" w:w="100"/>
              <w:bottom w:type="dxa" w:w="50"/>
              <w:right w:type="dxa" w:w="100"/>
            </w:tcMar>
          </w:tcPr>
          <w:p>
            <w:r>
              <w:rPr>
                <w:rFonts w:ascii="Calibri" w:cs="Calibri" w:eastAsia="Calibri" w:hAnsi="Calibri"/>
                <w:color w:val="1A2332"/>
                <w:sz w:val="19"/>
                <w:szCs w:val="19"/>
              </w:rPr>
              <w:t xml:space="preserve">&gt; 50 000</w:t>
            </w:r>
          </w:p>
        </w:tc>
      </w:tr>
      <w:tr>
        <w:trPr>
          <w:cantSplit/>
        </w:trPr>
        <w:tc>
          <w:tcPr>
            <w:tcW w:type="pct" w:w="55%"/>
            <w:shd w:fill="FFFFFF" w:val="clear"/>
            <w:tcMar>
              <w:top w:type="dxa" w:w="50"/>
              <w:left w:type="dxa" w:w="100"/>
              <w:bottom w:type="dxa" w:w="50"/>
              <w:right w:type="dxa" w:w="100"/>
            </w:tcMar>
          </w:tcPr>
          <w:p>
            <w:r>
              <w:rPr>
                <w:rFonts w:ascii="Calibri" w:cs="Calibri" w:eastAsia="Calibri" w:hAnsi="Calibri"/>
                <w:color w:val="1A2332"/>
                <w:sz w:val="19"/>
                <w:szCs w:val="19"/>
              </w:rPr>
              <w:t xml:space="preserve">Taux de traçabilité des examens</w:t>
            </w:r>
          </w:p>
        </w:tc>
        <w:tc>
          <w:tcPr>
            <w:tcW w:type="pct" w:w="45%"/>
            <w:shd w:fill="FFFFFF" w:val="clear"/>
            <w:tcMar>
              <w:top w:type="dxa" w:w="50"/>
              <w:left w:type="dxa" w:w="100"/>
              <w:bottom w:type="dxa" w:w="50"/>
              <w:right w:type="dxa" w:w="100"/>
            </w:tcMar>
          </w:tcPr>
          <w:p>
            <w:r>
              <w:rPr>
                <w:rFonts w:ascii="Calibri" w:cs="Calibri" w:eastAsia="Calibri" w:hAnsi="Calibri"/>
                <w:color w:val="1A2332"/>
                <w:sz w:val="19"/>
                <w:szCs w:val="19"/>
              </w:rPr>
              <w:t xml:space="preserve">100%</w:t>
            </w:r>
          </w:p>
        </w:tc>
      </w:tr>
    </w:tbl>
    <w:p>
      <w:pPr>
        <w:pStyle w:val="Heading1"/>
        <w:spacing w:after="200" w:before="360" w:line="312"/>
      </w:pPr>
      <w:bookmarkStart w:id="100002" w:name="_Toc100002"/>
      <w:r>
        <w:rPr>
          <w:rFonts w:ascii="Calibri" w:cs="Calibri" w:eastAsia="Calibri" w:hAnsi="Calibri"/>
          <w:b/>
          <w:bCs/>
          <w:color w:val="1A2332"/>
          <w:sz w:val="28"/>
          <w:szCs w:val="28"/>
        </w:rPr>
        <w:t xml:space="preserve">2. Contexte et problématique</w:t>
      </w:r>
      <w:bookmarkEnd w:id="100002"/>
    </w:p>
    <w:p>
      <w:pPr>
        <w:pBdr>
          <w:bottom w:val="single" w:color="CE1126" w:sz="6"/>
        </w:pBdr>
        <w:spacing w:after="160"/>
      </w:pPr>
    </w:p>
    <w:p>
      <w:pPr>
        <w:spacing w:after="120" w:line="312"/>
        <w:jc w:val="both"/>
      </w:pPr>
      <w:r>
        <w:rPr>
          <w:rFonts w:ascii="Calibri" w:cs="Calibri" w:eastAsia="Calibri" w:hAnsi="Calibri"/>
          <w:color w:val="1A2332"/>
          <w:sz w:val="21"/>
          <w:szCs w:val="21"/>
        </w:rPr>
        <w:t xml:space="preserve">La République de Guinée fait face à des défis majeurs en matière de sécurité routière. Le système actuel de délivrance du permis de conduire souffre de lacunes structurelles importantes qui compromettent la sécurité des usagers de la route et la crédibilité de l’administration. Les examens du code de la route sont encore largement organisés de manière manuelle, sans traçabilité numérique, ce qui ouvre la porte à de multiples formes de fraude et de corruption.</w:t>
      </w:r>
    </w:p>
    <w:p>
      <w:pPr>
        <w:pStyle w:val="Heading2"/>
        <w:spacing w:after="120" w:before="240" w:line="312"/>
      </w:pPr>
      <w:bookmarkStart w:id="100003" w:name="_Toc100003"/>
      <w:r>
        <w:rPr>
          <w:rFonts w:ascii="Calibri" w:cs="Calibri" w:eastAsia="Calibri" w:hAnsi="Calibri"/>
          <w:b/>
          <w:bCs/>
          <w:color w:val="2C5F8A"/>
          <w:sz w:val="22"/>
          <w:szCs w:val="22"/>
        </w:rPr>
        <w:t xml:space="preserve">2.1 Problèmes identifiés</w:t>
      </w:r>
      <w:bookmarkEnd w:id="100003"/>
    </w:p>
    <w:p>
      <w:pPr>
        <w:pStyle w:val="Heading3"/>
        <w:spacing w:after="80" w:before="160" w:line="312"/>
      </w:pPr>
      <w:bookmarkStart w:id="100004" w:name="_Toc100004"/>
      <w:r>
        <w:rPr>
          <w:rFonts w:ascii="Calibri" w:cs="Calibri" w:eastAsia="Calibri" w:hAnsi="Calibri"/>
          <w:b/>
          <w:bCs/>
          <w:color w:val="1A2332"/>
          <w:sz w:val="20"/>
          <w:szCs w:val="20"/>
        </w:rPr>
        <w:t xml:space="preserve">Fraude et faux permis</w:t>
      </w:r>
      <w:bookmarkEnd w:id="100004"/>
    </w:p>
    <w:p>
      <w:pPr>
        <w:spacing w:after="120" w:line="312"/>
        <w:jc w:val="both"/>
      </w:pPr>
      <w:r>
        <w:rPr>
          <w:rFonts w:ascii="Calibri" w:cs="Calibri" w:eastAsia="Calibri" w:hAnsi="Calibri"/>
          <w:color w:val="1A2332"/>
          <w:sz w:val="21"/>
          <w:szCs w:val="21"/>
        </w:rPr>
        <w:t xml:space="preserve">L’absence de système numérique sécurisé permet la falsification des résultats, la substitution de candidats lors des examens, et la délivrance de faux permis de conduire. Ces pratiques mettent en danger la vie des citoyens et minent la confiance dans les institutions.</w:t>
      </w:r>
    </w:p>
    <w:p>
      <w:pPr>
        <w:pStyle w:val="Heading3"/>
        <w:spacing w:after="80" w:before="160" w:line="312"/>
      </w:pPr>
      <w:bookmarkStart w:id="100005" w:name="_Toc100005"/>
      <w:r>
        <w:rPr>
          <w:rFonts w:ascii="Calibri" w:cs="Calibri" w:eastAsia="Calibri" w:hAnsi="Calibri"/>
          <w:b/>
          <w:bCs/>
          <w:color w:val="1A2332"/>
          <w:sz w:val="20"/>
          <w:szCs w:val="20"/>
        </w:rPr>
        <w:t xml:space="preserve">Examens non tracés</w:t>
      </w:r>
      <w:bookmarkEnd w:id="100005"/>
    </w:p>
    <w:p>
      <w:pPr>
        <w:spacing w:after="120" w:line="312"/>
        <w:jc w:val="both"/>
      </w:pPr>
      <w:r>
        <w:rPr>
          <w:rFonts w:ascii="Calibri" w:cs="Calibri" w:eastAsia="Calibri" w:hAnsi="Calibri"/>
          <w:color w:val="1A2332"/>
          <w:sz w:val="21"/>
          <w:szCs w:val="21"/>
        </w:rPr>
        <w:t xml:space="preserve">Aucun registre numérique fiable ne permet de suivre les examens passés, les résultats obtenus, ou les centres où les examens ont été effectués. Cette opacité rend tout audit ou contrôle quasiment impossible et facilite la corruption.</w:t>
      </w:r>
    </w:p>
    <w:p>
      <w:pPr>
        <w:pStyle w:val="Heading3"/>
        <w:spacing w:after="80" w:before="160" w:line="312"/>
      </w:pPr>
      <w:bookmarkStart w:id="100006" w:name="_Toc100006"/>
      <w:r>
        <w:rPr>
          <w:rFonts w:ascii="Calibri" w:cs="Calibri" w:eastAsia="Calibri" w:hAnsi="Calibri"/>
          <w:b/>
          <w:bCs/>
          <w:color w:val="1A2332"/>
          <w:sz w:val="20"/>
          <w:szCs w:val="20"/>
        </w:rPr>
        <w:t xml:space="preserve">Lenteurs administratives</w:t>
      </w:r>
      <w:bookmarkEnd w:id="100006"/>
    </w:p>
    <w:p>
      <w:pPr>
        <w:spacing w:after="120" w:line="312"/>
        <w:jc w:val="both"/>
      </w:pPr>
      <w:r>
        <w:rPr>
          <w:rFonts w:ascii="Calibri" w:cs="Calibri" w:eastAsia="Calibri" w:hAnsi="Calibri"/>
          <w:color w:val="1A2332"/>
          <w:sz w:val="21"/>
          <w:szCs w:val="21"/>
        </w:rPr>
        <w:t xml:space="preserve">Les processus manuels de vérification des dossiers, de planification des sessions, et de transmission des résultats aux autorités compétentes génèrent des délais inacceptables pour les candidats et un surcroît de travail pour les agents administratifs.</w:t>
      </w:r>
    </w:p>
    <w:p>
      <w:pPr>
        <w:pStyle w:val="Heading3"/>
        <w:spacing w:after="80" w:before="160" w:line="312"/>
      </w:pPr>
      <w:bookmarkStart w:id="100007" w:name="_Toc100007"/>
      <w:r>
        <w:rPr>
          <w:rFonts w:ascii="Calibri" w:cs="Calibri" w:eastAsia="Calibri" w:hAnsi="Calibri"/>
          <w:b/>
          <w:bCs/>
          <w:color w:val="1A2332"/>
          <w:sz w:val="20"/>
          <w:szCs w:val="20"/>
        </w:rPr>
        <w:t xml:space="preserve">Déplacements inutiles</w:t>
      </w:r>
      <w:bookmarkEnd w:id="100007"/>
    </w:p>
    <w:p>
      <w:pPr>
        <w:spacing w:after="120" w:line="312"/>
        <w:jc w:val="both"/>
      </w:pPr>
      <w:r>
        <w:rPr>
          <w:rFonts w:ascii="Calibri" w:cs="Calibri" w:eastAsia="Calibri" w:hAnsi="Calibri"/>
          <w:color w:val="1A2332"/>
          <w:sz w:val="21"/>
          <w:szCs w:val="21"/>
        </w:rPr>
        <w:t xml:space="preserve">Les candidats sont souvent contraints de se déplacer physiquement pour s’inscrire, vérifier leur dossier, ou obtenir leurs résultats. Ces déplacements représentent un coût significatif dans un pays où les infrastructures de transport restent limitées.</w:t>
      </w:r>
    </w:p>
    <w:p>
      <w:pPr>
        <w:pStyle w:val="Heading3"/>
        <w:spacing w:after="80" w:before="160" w:line="312"/>
      </w:pPr>
      <w:bookmarkStart w:id="100008" w:name="_Toc100008"/>
      <w:r>
        <w:rPr>
          <w:rFonts w:ascii="Calibri" w:cs="Calibri" w:eastAsia="Calibri" w:hAnsi="Calibri"/>
          <w:b/>
          <w:bCs/>
          <w:color w:val="1A2332"/>
          <w:sz w:val="20"/>
          <w:szCs w:val="20"/>
        </w:rPr>
        <w:t xml:space="preserve">Absence de statistiques nationales</w:t>
      </w:r>
      <w:bookmarkEnd w:id="100008"/>
    </w:p>
    <w:p>
      <w:pPr>
        <w:spacing w:after="120" w:line="312"/>
        <w:jc w:val="both"/>
      </w:pPr>
      <w:r>
        <w:rPr>
          <w:rFonts w:ascii="Calibri" w:cs="Calibri" w:eastAsia="Calibri" w:hAnsi="Calibri"/>
          <w:color w:val="1A2332"/>
          <w:sz w:val="21"/>
          <w:szCs w:val="21"/>
        </w:rPr>
        <w:t xml:space="preserve">Sans système centralisé, il est impossible de produire des statistiques fiables sur le nombre de candidats, les taux de réussite par région, ou les questions les plus échouées. Cette absence de données empêche toute politique basée sur les preuves en matière de sécurité routière.</w:t>
      </w:r>
    </w:p>
    <w:p>
      <w:pPr>
        <w:pStyle w:val="Heading2"/>
        <w:spacing w:after="120" w:before="240" w:line="312"/>
      </w:pPr>
      <w:bookmarkStart w:id="100009" w:name="_Toc100009"/>
      <w:r>
        <w:rPr>
          <w:rFonts w:ascii="Calibri" w:cs="Calibri" w:eastAsia="Calibri" w:hAnsi="Calibri"/>
          <w:b/>
          <w:bCs/>
          <w:color w:val="2C5F8A"/>
          <w:sz w:val="22"/>
          <w:szCs w:val="22"/>
        </w:rPr>
        <w:t xml:space="preserve">2.2 Justification de la digitalisation</w:t>
      </w:r>
      <w:bookmarkEnd w:id="100009"/>
    </w:p>
    <w:p>
      <w:pPr>
        <w:spacing w:after="120" w:line="312"/>
        <w:jc w:val="both"/>
      </w:pPr>
      <w:r>
        <w:rPr>
          <w:rFonts w:ascii="Calibri" w:cs="Calibri" w:eastAsia="Calibri" w:hAnsi="Calibri"/>
          <w:color w:val="1A2332"/>
          <w:sz w:val="21"/>
          <w:szCs w:val="21"/>
        </w:rPr>
        <w:t xml:space="preserve">La digitalisation du processus d’examen du code de la route n’est pas une simple modernisation technologique : c’est une nécessité stratégique pour la sécurité routière en Guinée. En s’appuyant sur les technologies numériques et mobiles, le pays peut résorber les failles du système actuel tout en créant un écosystème de centres agréés générateur d’emplois et de revenus. L’exemple français, malgré ses propres défis en matière de fraude dans certains centres privés, démontre que la délégation à des opérateurs agréés fonctionne lorsqu’elle est accompagnée de mesures anti-fraude robustes dès la conception.</w:t>
      </w:r>
    </w:p>
    <w:p>
      <w:pPr>
        <w:spacing w:after="120" w:line="312"/>
        <w:jc w:val="both"/>
      </w:pPr>
      <w:r>
        <w:rPr>
          <w:rFonts w:ascii="Calibri" w:cs="Calibri" w:eastAsia="Calibri" w:hAnsi="Calibri"/>
          <w:color w:val="1A2332"/>
          <w:sz w:val="21"/>
          <w:szCs w:val="21"/>
        </w:rPr>
        <w:t xml:space="preserve">La Guinée dispose d’atouts considérables pour réussir cette transition : une pénétration mobile importante (Orange Money et MTN Mobile Money sont largement répandus), une jeunesse connectée et dynamique, et une volonté politique de modernisation administrative. Le projet CodeRoute Guinée s’inscrit dans cette dynamique en proposant une solution clé en main, sécurisée et évolutive, adaptée au contexte guinéen.</w:t>
      </w:r>
    </w:p>
    <w:p>
      <w:pPr>
        <w:pStyle w:val="Heading1"/>
        <w:spacing w:after="200" w:before="360" w:line="312"/>
      </w:pPr>
      <w:bookmarkStart w:id="100010" w:name="_Toc100010"/>
      <w:r>
        <w:rPr>
          <w:rFonts w:ascii="Calibri" w:cs="Calibri" w:eastAsia="Calibri" w:hAnsi="Calibri"/>
          <w:b/>
          <w:bCs/>
          <w:color w:val="1A2332"/>
          <w:sz w:val="28"/>
          <w:szCs w:val="28"/>
        </w:rPr>
        <w:t xml:space="preserve">3. Objectifs du projet</w:t>
      </w:r>
      <w:bookmarkEnd w:id="100010"/>
    </w:p>
    <w:p>
      <w:pPr>
        <w:pBdr>
          <w:bottom w:val="single" w:color="CE1126" w:sz="6"/>
        </w:pBdr>
        <w:spacing w:after="160"/>
      </w:pPr>
    </w:p>
    <w:p>
      <w:pPr>
        <w:pStyle w:val="Heading2"/>
        <w:spacing w:after="120" w:before="240" w:line="312"/>
      </w:pPr>
      <w:bookmarkStart w:id="100011" w:name="_Toc100011"/>
      <w:r>
        <w:rPr>
          <w:rFonts w:ascii="Calibri" w:cs="Calibri" w:eastAsia="Calibri" w:hAnsi="Calibri"/>
          <w:b/>
          <w:bCs/>
          <w:color w:val="2C5F8A"/>
          <w:sz w:val="22"/>
          <w:szCs w:val="22"/>
        </w:rPr>
        <w:t xml:space="preserve">3.1 Objectifs primaires</w:t>
      </w:r>
      <w:bookmarkEnd w:id="100011"/>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Éliminer la fraude lors des examens du code de la route grâce à un dispositif anti-fraude intégré.</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Garantir la traçabilité complète de chaque examen, de l’inscription à la transmission du résultat.</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Réduire les délais de délivrance des résultats de plusieurs jours à un traitement immédiat.</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Créer un réseau national de centres agréés, géographiquement accessible et encadré.</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Produire des statistiques nationales fiables pour orienter la politique de sécurité routière.</w:t>
      </w:r>
    </w:p>
    <w:p>
      <w:pPr>
        <w:pStyle w:val="Heading2"/>
        <w:spacing w:after="120" w:before="240" w:line="312"/>
      </w:pPr>
      <w:bookmarkStart w:id="100012" w:name="_Toc100012"/>
      <w:r>
        <w:rPr>
          <w:rFonts w:ascii="Calibri" w:cs="Calibri" w:eastAsia="Calibri" w:hAnsi="Calibri"/>
          <w:b/>
          <w:bCs/>
          <w:color w:val="2C5F8A"/>
          <w:sz w:val="22"/>
          <w:szCs w:val="22"/>
        </w:rPr>
        <w:t xml:space="preserve">3.2 Objectifs secondaires</w:t>
      </w:r>
      <w:bookmarkEnd w:id="100012"/>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Connecter les résultats au système de permis biométrique national.</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Faciliter l’accès des candidats via le paiement Mobile Money (Orange Money, MTN).</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Réduire les déplacements physiques grâce à l’inscription et la réservation en ligne.</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Fournir aux auto-écoles des outils de suivi et de préparation de leurs élèves.</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Créer un écosystème économique autour des centres agréés (emplois, commissions).</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Sensibiliser à la sécurité routière à travers des tests d’entraînement accessibles.</w:t>
      </w:r>
    </w:p>
    <w:p>
      <w:pPr>
        <w:pStyle w:val="Heading1"/>
        <w:spacing w:after="200" w:before="360" w:line="312"/>
      </w:pPr>
      <w:bookmarkStart w:id="100013" w:name="_Toc100013"/>
      <w:r>
        <w:rPr>
          <w:rFonts w:ascii="Calibri" w:cs="Calibri" w:eastAsia="Calibri" w:hAnsi="Calibri"/>
          <w:b/>
          <w:bCs/>
          <w:color w:val="1A2332"/>
          <w:sz w:val="28"/>
          <w:szCs w:val="28"/>
        </w:rPr>
        <w:t xml:space="preserve">4. Acteurs du système</w:t>
      </w:r>
      <w:bookmarkEnd w:id="100013"/>
    </w:p>
    <w:p>
      <w:pPr>
        <w:pBdr>
          <w:bottom w:val="single" w:color="CE1126" w:sz="6"/>
        </w:pBdr>
        <w:spacing w:after="160"/>
      </w:pPr>
    </w:p>
    <w:p>
      <w:pPr>
        <w:spacing w:after="120" w:line="312"/>
        <w:jc w:val="both"/>
      </w:pPr>
      <w:r>
        <w:rPr>
          <w:rFonts w:ascii="Calibri" w:cs="Calibri" w:eastAsia="Calibri" w:hAnsi="Calibri"/>
          <w:color w:val="1A2332"/>
          <w:sz w:val="21"/>
          <w:szCs w:val="21"/>
        </w:rPr>
        <w:t xml:space="preserve">La plateforme CodeRoute Guinée est conçue autour de cinq acteurs principaux, chacun disposant d’un espace dédié avec des fonctionnalités spécifiques adaptées à son rôle dans l’écosystème. Cette architecture multi-acteurs garantit la séparation des responsabilités, la traçabilité des actions et le contrôle croisé, éléments essentiels pour la prévention de la fraude.</w:t>
      </w:r>
    </w:p>
    <w:p>
      <w:pPr>
        <w:pStyle w:val="Heading2"/>
        <w:spacing w:after="120" w:before="240" w:line="312"/>
      </w:pPr>
      <w:bookmarkStart w:id="100014" w:name="_Toc100014"/>
      <w:r>
        <w:rPr>
          <w:rFonts w:ascii="Calibri" w:cs="Calibri" w:eastAsia="Calibri" w:hAnsi="Calibri"/>
          <w:b/>
          <w:bCs/>
          <w:color w:val="2C5F8A"/>
          <w:sz w:val="22"/>
          <w:szCs w:val="22"/>
        </w:rPr>
        <w:t xml:space="preserve">4.1 Candidat</w:t>
      </w:r>
      <w:bookmarkEnd w:id="100014"/>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Créer un compte avec pièces d’identité et choisir une catégorie de permis (A, B, C, D, E)</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Réserver une session d’examen dans un centre agréé</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Payer en ligne ou via Mobile Money et recevoir une convocation avec QR code</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Passer l’examen dans un centre agréé et recevoir son résultat automatiquement</w:t>
      </w:r>
    </w:p>
    <w:p>
      <w:pPr>
        <w:pStyle w:val="Heading2"/>
        <w:spacing w:after="120" w:before="240" w:line="312"/>
      </w:pPr>
      <w:bookmarkStart w:id="100015" w:name="_Toc100015"/>
      <w:r>
        <w:rPr>
          <w:rFonts w:ascii="Calibri" w:cs="Calibri" w:eastAsia="Calibri" w:hAnsi="Calibri"/>
          <w:b/>
          <w:bCs/>
          <w:color w:val="2C5F8A"/>
          <w:sz w:val="22"/>
          <w:szCs w:val="22"/>
        </w:rPr>
        <w:t xml:space="preserve">4.2 Auto-école</w:t>
      </w:r>
      <w:bookmarkEnd w:id="100015"/>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Inscrire ses élèves, suivre leur progression et réserver des créneaux</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Consulter les résultats et préparer les candidats avec des tests blancs</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Gérer ses paiements, commissions et facturation</w:t>
      </w:r>
    </w:p>
    <w:p>
      <w:pPr>
        <w:pStyle w:val="Heading2"/>
        <w:spacing w:after="120" w:before="240" w:line="312"/>
      </w:pPr>
      <w:bookmarkStart w:id="100016" w:name="_Toc100016"/>
      <w:r>
        <w:rPr>
          <w:rFonts w:ascii="Calibri" w:cs="Calibri" w:eastAsia="Calibri" w:hAnsi="Calibri"/>
          <w:b/>
          <w:bCs/>
          <w:color w:val="2C5F8A"/>
          <w:sz w:val="22"/>
          <w:szCs w:val="22"/>
        </w:rPr>
        <w:t xml:space="preserve">4.3 Centre agréé</w:t>
      </w:r>
      <w:bookmarkEnd w:id="100016"/>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Gérer les salles, postes d’examen et planning des sessions</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Vérifier l’identité du candidat (QR code, pièce d’identité)</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Surveiller l’examen en temps réel, lancer les sessions et transmettre les résultats</w:t>
      </w:r>
    </w:p>
    <w:p>
      <w:pPr>
        <w:pStyle w:val="Heading2"/>
        <w:spacing w:after="120" w:before="240" w:line="312"/>
      </w:pPr>
      <w:bookmarkStart w:id="100017" w:name="_Toc100017"/>
      <w:r>
        <w:rPr>
          <w:rFonts w:ascii="Calibri" w:cs="Calibri" w:eastAsia="Calibri" w:hAnsi="Calibri"/>
          <w:b/>
          <w:bCs/>
          <w:color w:val="2C5F8A"/>
          <w:sz w:val="22"/>
          <w:szCs w:val="22"/>
        </w:rPr>
        <w:t xml:space="preserve">4.4 Autorité nationale</w:t>
      </w:r>
      <w:bookmarkEnd w:id="100017"/>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Agréer ou suspendre un centre, auditer les sessions</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Gérer la banque officielle de questions et contrôler les fraudes</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Suivre les statistiques nationales et connecter les résultats au permis</w:t>
      </w:r>
    </w:p>
    <w:p>
      <w:pPr>
        <w:pStyle w:val="Heading2"/>
        <w:spacing w:after="120" w:before="240" w:line="312"/>
      </w:pPr>
      <w:bookmarkStart w:id="100018" w:name="_Toc100018"/>
      <w:r>
        <w:rPr>
          <w:rFonts w:ascii="Calibri" w:cs="Calibri" w:eastAsia="Calibri" w:hAnsi="Calibri"/>
          <w:b/>
          <w:bCs/>
          <w:color w:val="2C5F8A"/>
          <w:sz w:val="22"/>
          <w:szCs w:val="22"/>
        </w:rPr>
        <w:t xml:space="preserve">4.5 Super administrateur</w:t>
      </w:r>
      <w:bookmarkEnd w:id="100018"/>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Gérer les utilisateurs, rôles, centres et paiements</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Superviser les examens, logs, audits et alertes de fraude</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Configurer les paramètres nationaux</w:t>
      </w:r>
    </w:p>
    <w:p>
      <w:pPr>
        <w:pStyle w:val="Heading1"/>
        <w:spacing w:after="200" w:before="360" w:line="312"/>
      </w:pPr>
      <w:bookmarkStart w:id="100019" w:name="_Toc100019"/>
      <w:r>
        <w:rPr>
          <w:rFonts w:ascii="Calibri" w:cs="Calibri" w:eastAsia="Calibri" w:hAnsi="Calibri"/>
          <w:b/>
          <w:bCs/>
          <w:color w:val="1A2332"/>
          <w:sz w:val="28"/>
          <w:szCs w:val="28"/>
        </w:rPr>
        <w:t xml:space="preserve">5. Parcours candidat complet</w:t>
      </w:r>
      <w:bookmarkEnd w:id="100019"/>
    </w:p>
    <w:p>
      <w:pPr>
        <w:pBdr>
          <w:bottom w:val="single" w:color="CE1126" w:sz="6"/>
        </w:pBdr>
        <w:spacing w:after="160"/>
      </w:pPr>
    </w:p>
    <w:p>
      <w:pPr>
        <w:spacing w:after="120" w:line="312"/>
        <w:jc w:val="both"/>
      </w:pPr>
      <w:r>
        <w:rPr>
          <w:rFonts w:ascii="Calibri" w:cs="Calibri" w:eastAsia="Calibri" w:hAnsi="Calibri"/>
          <w:color w:val="1A2332"/>
          <w:sz w:val="21"/>
          <w:szCs w:val="21"/>
        </w:rPr>
        <w:t xml:space="preserve">Le parcours candidat constitue le cœur de l’expérience utilisateur de la plateforme. Il a été conçu pour être à la fois simple et sécurisé, en huit étapes clés allant de l’inscription à la transmission du résultat au système de permis biométrique.</w:t>
      </w:r>
    </w:p>
    <w:p>
      <w:pPr>
        <w:spacing w:after="80" w:before="200"/>
        <w:jc w:val="center"/>
      </w:pPr>
      <w:r>
        <w:drawing>
          <wp:inline distT="0" distB="0" distL="0" distR="0">
            <wp:extent cx="2352675"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52675" cy="6191250"/>
                    </a:xfrm>
                    <a:prstGeom prst="rect">
                      <a:avLst/>
                    </a:prstGeom>
                  </pic:spPr>
                </pic:pic>
              </a:graphicData>
            </a:graphic>
          </wp:inline>
        </w:drawing>
      </w:r>
    </w:p>
    <w:p>
      <w:pPr>
        <w:spacing w:after="200"/>
        <w:jc w:val="center"/>
      </w:pPr>
      <w:r>
        <w:rPr>
          <w:rFonts w:ascii="Calibri" w:cs="Calibri" w:eastAsia="Calibri" w:hAnsi="Calibri"/>
          <w:i/>
          <w:iCs/>
          <w:color w:val="7A8290"/>
          <w:sz w:val="17"/>
          <w:szCs w:val="17"/>
        </w:rPr>
        <w:t xml:space="preserve">Figure 1 : Parcours complet du candidat</w:t>
      </w:r>
    </w:p>
    <w:p>
      <w:pPr>
        <w:pStyle w:val="Heading2"/>
        <w:spacing w:after="120" w:before="240" w:line="312"/>
      </w:pPr>
      <w:bookmarkStart w:id="100020" w:name="_Toc100020"/>
      <w:r>
        <w:rPr>
          <w:rFonts w:ascii="Calibri" w:cs="Calibri" w:eastAsia="Calibri" w:hAnsi="Calibri"/>
          <w:b/>
          <w:bCs/>
          <w:color w:val="2C5F8A"/>
          <w:sz w:val="22"/>
          <w:szCs w:val="22"/>
        </w:rPr>
        <w:t xml:space="preserve">Étape 1 : Inscription</w:t>
      </w:r>
      <w:bookmarkEnd w:id="100020"/>
    </w:p>
    <w:p>
      <w:pPr>
        <w:spacing w:after="120" w:line="312"/>
        <w:jc w:val="both"/>
      </w:pPr>
      <w:r>
        <w:rPr>
          <w:rFonts w:ascii="Calibri" w:cs="Calibri" w:eastAsia="Calibri" w:hAnsi="Calibri"/>
          <w:color w:val="1A2332"/>
          <w:sz w:val="21"/>
          <w:szCs w:val="21"/>
        </w:rPr>
        <w:t xml:space="preserve">Le candidat crée son compte avec : nom, prénom, date de naissance, numéro d’identité, téléphone, email, ville, catégorie de permis, photo, justificatif d’identité. Le système génère un numéro candidat unique, par exemple : GN-CODE-2026-000001.</w:t>
      </w:r>
    </w:p>
    <w:p>
      <w:pPr>
        <w:pStyle w:val="Heading2"/>
        <w:spacing w:after="120" w:before="240" w:line="312"/>
      </w:pPr>
      <w:bookmarkStart w:id="100021" w:name="_Toc100021"/>
      <w:r>
        <w:rPr>
          <w:rFonts w:ascii="Calibri" w:cs="Calibri" w:eastAsia="Calibri" w:hAnsi="Calibri"/>
          <w:b/>
          <w:bCs/>
          <w:color w:val="2C5F8A"/>
          <w:sz w:val="22"/>
          <w:szCs w:val="22"/>
        </w:rPr>
        <w:t xml:space="preserve">Étape 2 : Vérification</w:t>
      </w:r>
      <w:bookmarkEnd w:id="100021"/>
    </w:p>
    <w:p>
      <w:pPr>
        <w:spacing w:after="120" w:line="312"/>
        <w:jc w:val="both"/>
      </w:pPr>
      <w:r>
        <w:rPr>
          <w:rFonts w:ascii="Calibri" w:cs="Calibri" w:eastAsia="Calibri" w:hAnsi="Calibri"/>
          <w:color w:val="1A2332"/>
          <w:sz w:val="21"/>
          <w:szCs w:val="21"/>
        </w:rPr>
        <w:t xml:space="preserve">Le dossier peut être vérifié par : une auto-école, un centre agréé, l’administration, ou automatiquement avec contrôle documentaire.</w:t>
      </w:r>
    </w:p>
    <w:p>
      <w:pPr>
        <w:pStyle w:val="Heading2"/>
        <w:spacing w:after="120" w:before="240" w:line="312"/>
      </w:pPr>
      <w:bookmarkStart w:id="100022" w:name="_Toc100022"/>
      <w:r>
        <w:rPr>
          <w:rFonts w:ascii="Calibri" w:cs="Calibri" w:eastAsia="Calibri" w:hAnsi="Calibri"/>
          <w:b/>
          <w:bCs/>
          <w:color w:val="2C5F8A"/>
          <w:sz w:val="22"/>
          <w:szCs w:val="22"/>
        </w:rPr>
        <w:t xml:space="preserve">Étape 3 : Choix du centre</w:t>
      </w:r>
      <w:bookmarkEnd w:id="100022"/>
    </w:p>
    <w:p>
      <w:pPr>
        <w:spacing w:after="120" w:line="312"/>
        <w:jc w:val="both"/>
      </w:pPr>
      <w:r>
        <w:rPr>
          <w:rFonts w:ascii="Calibri" w:cs="Calibri" w:eastAsia="Calibri" w:hAnsi="Calibri"/>
          <w:color w:val="1A2332"/>
          <w:sz w:val="21"/>
          <w:szCs w:val="21"/>
        </w:rPr>
        <w:t xml:space="preserve">Le candidat choisit la région, la ville, le centre agréé, la date, l’heure et la catégorie d’examen. Exemple : Conakry &gt; Kaloum &gt; Centre Agréé RouteSafe Kaloum &gt; 20 juin 2026 &gt; 10h00.</w:t>
      </w:r>
    </w:p>
    <w:p>
      <w:pPr>
        <w:pStyle w:val="Heading2"/>
        <w:spacing w:after="120" w:before="240" w:line="312"/>
      </w:pPr>
      <w:bookmarkStart w:id="100023" w:name="_Toc100023"/>
      <w:r>
        <w:rPr>
          <w:rFonts w:ascii="Calibri" w:cs="Calibri" w:eastAsia="Calibri" w:hAnsi="Calibri"/>
          <w:b/>
          <w:bCs/>
          <w:color w:val="2C5F8A"/>
          <w:sz w:val="22"/>
          <w:szCs w:val="22"/>
        </w:rPr>
        <w:t xml:space="preserve">Étape 4 : Paiement</w:t>
      </w:r>
      <w:bookmarkEnd w:id="100023"/>
    </w:p>
    <w:p>
      <w:pPr>
        <w:spacing w:after="120" w:line="312"/>
        <w:jc w:val="both"/>
      </w:pPr>
      <w:r>
        <w:rPr>
          <w:rFonts w:ascii="Calibri" w:cs="Calibri" w:eastAsia="Calibri" w:hAnsi="Calibri"/>
          <w:color w:val="1A2332"/>
          <w:sz w:val="21"/>
          <w:szCs w:val="21"/>
        </w:rPr>
        <w:t xml:space="preserve">Paiements possibles : Orange Money, MTN Mobile Money, carte bancaire, paiement bancaire, paiement guichet, bon de paiement auto-école.</w:t>
      </w:r>
    </w:p>
    <w:p>
      <w:pPr>
        <w:pStyle w:val="Heading2"/>
        <w:spacing w:after="120" w:before="240" w:line="312"/>
      </w:pPr>
      <w:bookmarkStart w:id="100024" w:name="_Toc100024"/>
      <w:r>
        <w:rPr>
          <w:rFonts w:ascii="Calibri" w:cs="Calibri" w:eastAsia="Calibri" w:hAnsi="Calibri"/>
          <w:b/>
          <w:bCs/>
          <w:color w:val="2C5F8A"/>
          <w:sz w:val="22"/>
          <w:szCs w:val="22"/>
        </w:rPr>
        <w:t xml:space="preserve">Étape 5 : Convocation</w:t>
      </w:r>
      <w:bookmarkEnd w:id="100024"/>
    </w:p>
    <w:p>
      <w:pPr>
        <w:spacing w:after="120" w:line="312"/>
        <w:jc w:val="both"/>
      </w:pPr>
      <w:r>
        <w:rPr>
          <w:rFonts w:ascii="Calibri" w:cs="Calibri" w:eastAsia="Calibri" w:hAnsi="Calibri"/>
          <w:color w:val="1A2332"/>
          <w:sz w:val="21"/>
          <w:szCs w:val="21"/>
        </w:rPr>
        <w:t xml:space="preserve">Le candidat reçoit : un QR code, le centre, l’heure, les consignes et les documents à présenter.</w:t>
      </w:r>
    </w:p>
    <w:p>
      <w:pPr>
        <w:pStyle w:val="Heading2"/>
        <w:spacing w:after="120" w:before="240" w:line="312"/>
      </w:pPr>
      <w:bookmarkStart w:id="100025" w:name="_Toc100025"/>
      <w:r>
        <w:rPr>
          <w:rFonts w:ascii="Calibri" w:cs="Calibri" w:eastAsia="Calibri" w:hAnsi="Calibri"/>
          <w:b/>
          <w:bCs/>
          <w:color w:val="2C5F8A"/>
          <w:sz w:val="22"/>
          <w:szCs w:val="22"/>
        </w:rPr>
        <w:t xml:space="preserve">Étape 6 : Passage de l’examen</w:t>
      </w:r>
      <w:bookmarkEnd w:id="100025"/>
    </w:p>
    <w:p>
      <w:pPr>
        <w:spacing w:after="120" w:line="312"/>
        <w:jc w:val="both"/>
      </w:pPr>
      <w:r>
        <w:rPr>
          <w:rFonts w:ascii="Calibri" w:cs="Calibri" w:eastAsia="Calibri" w:hAnsi="Calibri"/>
          <w:color w:val="1A2332"/>
          <w:sz w:val="21"/>
          <w:szCs w:val="21"/>
        </w:rPr>
        <w:t xml:space="preserve">Dans le centre : vérification pièce d’identité, scan QR code, photo instantanée, affectation automatique à un poste, questions tirées aléatoirement, durée limitée, correction automatique.</w:t>
      </w:r>
    </w:p>
    <w:p>
      <w:pPr>
        <w:pStyle w:val="Heading2"/>
        <w:spacing w:after="120" w:before="240" w:line="312"/>
      </w:pPr>
      <w:bookmarkStart w:id="100026" w:name="_Toc100026"/>
      <w:r>
        <w:rPr>
          <w:rFonts w:ascii="Calibri" w:cs="Calibri" w:eastAsia="Calibri" w:hAnsi="Calibri"/>
          <w:b/>
          <w:bCs/>
          <w:color w:val="2C5F8A"/>
          <w:sz w:val="22"/>
          <w:szCs w:val="22"/>
        </w:rPr>
        <w:t xml:space="preserve">Étape 7 : Résultat</w:t>
      </w:r>
      <w:bookmarkEnd w:id="100026"/>
    </w:p>
    <w:p>
      <w:pPr>
        <w:spacing w:after="120" w:line="312"/>
        <w:jc w:val="both"/>
      </w:pPr>
      <w:r>
        <w:rPr>
          <w:rFonts w:ascii="Calibri" w:cs="Calibri" w:eastAsia="Calibri" w:hAnsi="Calibri"/>
          <w:color w:val="1A2332"/>
          <w:sz w:val="21"/>
          <w:szCs w:val="21"/>
        </w:rPr>
        <w:t xml:space="preserve">Le résultat est généré immédiatement ou après validation : admis/ajourné, score, date, centre, référence d’examen, certificat numérique.</w:t>
      </w:r>
    </w:p>
    <w:p>
      <w:pPr>
        <w:pStyle w:val="Heading2"/>
        <w:spacing w:after="120" w:before="240" w:line="312"/>
      </w:pPr>
      <w:bookmarkStart w:id="100027" w:name="_Toc100027"/>
      <w:r>
        <w:rPr>
          <w:rFonts w:ascii="Calibri" w:cs="Calibri" w:eastAsia="Calibri" w:hAnsi="Calibri"/>
          <w:b/>
          <w:bCs/>
          <w:color w:val="2C5F8A"/>
          <w:sz w:val="22"/>
          <w:szCs w:val="22"/>
        </w:rPr>
        <w:t xml:space="preserve">Étape 8 : Transmission au permis</w:t>
      </w:r>
      <w:bookmarkEnd w:id="100027"/>
    </w:p>
    <w:p>
      <w:pPr>
        <w:spacing w:after="120" w:line="312"/>
        <w:jc w:val="both"/>
      </w:pPr>
      <w:r>
        <w:rPr>
          <w:rFonts w:ascii="Calibri" w:cs="Calibri" w:eastAsia="Calibri" w:hAnsi="Calibri"/>
          <w:color w:val="1A2332"/>
          <w:sz w:val="21"/>
          <w:szCs w:val="21"/>
        </w:rPr>
        <w:t xml:space="preserve">Si le candidat est admis, son résultat est transmis au système de permis biométrique ou à l’administration compétente.</w:t>
      </w:r>
    </w:p>
    <w:p>
      <w:pPr>
        <w:pStyle w:val="Heading1"/>
        <w:spacing w:after="200" w:before="360" w:line="312"/>
      </w:pPr>
      <w:bookmarkStart w:id="100028" w:name="_Toc100028"/>
      <w:r>
        <w:rPr>
          <w:rFonts w:ascii="Calibri" w:cs="Calibri" w:eastAsia="Calibri" w:hAnsi="Calibri"/>
          <w:b/>
          <w:bCs/>
          <w:color w:val="1A2332"/>
          <w:sz w:val="28"/>
          <w:szCs w:val="28"/>
        </w:rPr>
        <w:t xml:space="preserve">6. Fonctionnalités principales</w:t>
      </w:r>
      <w:bookmarkEnd w:id="100028"/>
    </w:p>
    <w:p>
      <w:pPr>
        <w:pBdr>
          <w:bottom w:val="single" w:color="CE1126" w:sz="6"/>
        </w:pBdr>
        <w:spacing w:after="160"/>
      </w:pPr>
    </w:p>
    <w:p>
      <w:pPr>
        <w:spacing w:after="120" w:line="312"/>
        <w:jc w:val="both"/>
      </w:pPr>
      <w:r>
        <w:rPr>
          <w:rFonts w:ascii="Calibri" w:cs="Calibri" w:eastAsia="Calibri" w:hAnsi="Calibri"/>
          <w:color w:val="1A2332"/>
          <w:sz w:val="21"/>
          <w:szCs w:val="21"/>
        </w:rPr>
        <w:t xml:space="preserve">La plateforme est structurée autour de sept modules fonctionnels couvrant l’ensemble du processus, de l’inscription du candidat à la génération des statistiques nationales.</w:t>
      </w:r>
    </w:p>
    <w:p>
      <w:pPr>
        <w:pStyle w:val="Heading2"/>
        <w:spacing w:after="120" w:before="240" w:line="312"/>
      </w:pPr>
      <w:bookmarkStart w:id="100029" w:name="_Toc100029"/>
      <w:r>
        <w:rPr>
          <w:rFonts w:ascii="Calibri" w:cs="Calibri" w:eastAsia="Calibri" w:hAnsi="Calibri"/>
          <w:b/>
          <w:bCs/>
          <w:color w:val="2C5F8A"/>
          <w:sz w:val="22"/>
          <w:szCs w:val="22"/>
        </w:rPr>
        <w:t xml:space="preserve">6.1 Module Candidat</w:t>
      </w:r>
      <w:bookmarkEnd w:id="100029"/>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Inscription en ligne avec upload de documents</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Tableau de bord candidat personnalisé et réservation de session</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Paiement intégré (Mobile Money, carte, virement)</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Convocation avec QR code sécurisé</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Historique des examens et résultats téléchargeables</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Tests d’entraînement et notifications SMS / WhatsApp / email</w:t>
      </w:r>
    </w:p>
    <w:p>
      <w:pPr>
        <w:pStyle w:val="Heading2"/>
        <w:spacing w:after="120" w:before="240" w:line="312"/>
      </w:pPr>
      <w:bookmarkStart w:id="100030" w:name="_Toc100030"/>
      <w:r>
        <w:rPr>
          <w:rFonts w:ascii="Calibri" w:cs="Calibri" w:eastAsia="Calibri" w:hAnsi="Calibri"/>
          <w:b/>
          <w:bCs/>
          <w:color w:val="2C5F8A"/>
          <w:sz w:val="22"/>
          <w:szCs w:val="22"/>
        </w:rPr>
        <w:t xml:space="preserve">6.2 Module Examen</w:t>
      </w:r>
      <w:bookmarkEnd w:id="100030"/>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Banque officielle de questions gérée par l’administration</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Questions par catégorie (A, B, C, D, E) avec images, vidéos et audio</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Tirage aléatoire sécurisé et chronomètre configurable</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Correction automatique et verrouillage après soumission</w:t>
      </w:r>
    </w:p>
    <w:p>
      <w:pPr>
        <w:pStyle w:val="Heading2"/>
        <w:spacing w:after="120" w:before="240" w:line="312"/>
      </w:pPr>
      <w:bookmarkStart w:id="100031" w:name="_Toc100031"/>
      <w:r>
        <w:rPr>
          <w:rFonts w:ascii="Calibri" w:cs="Calibri" w:eastAsia="Calibri" w:hAnsi="Calibri"/>
          <w:b/>
          <w:bCs/>
          <w:color w:val="2C5F8A"/>
          <w:sz w:val="22"/>
          <w:szCs w:val="22"/>
        </w:rPr>
        <w:t xml:space="preserve">6.3 Module Centre agréé</w:t>
      </w:r>
      <w:bookmarkEnd w:id="100031"/>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Gestion des salles, postes et planning des sessions</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Contrôle de présence par scan QR code et supervision en temps réel</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Rapport de session automatique et journal d’incidents</w:t>
      </w:r>
    </w:p>
    <w:p>
      <w:pPr>
        <w:pStyle w:val="Heading2"/>
        <w:spacing w:after="120" w:before="240" w:line="312"/>
      </w:pPr>
      <w:bookmarkStart w:id="100032" w:name="_Toc100032"/>
      <w:r>
        <w:rPr>
          <w:rFonts w:ascii="Calibri" w:cs="Calibri" w:eastAsia="Calibri" w:hAnsi="Calibri"/>
          <w:b/>
          <w:bCs/>
          <w:color w:val="2C5F8A"/>
          <w:sz w:val="22"/>
          <w:szCs w:val="22"/>
        </w:rPr>
        <w:t xml:space="preserve">6.4 Module Auto-école</w:t>
      </w:r>
      <w:bookmarkEnd w:id="100032"/>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Gestion des élèves, inscription groupée, tests blancs</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Suivi des résultats, statistiques de réussite et facturation</w:t>
      </w:r>
    </w:p>
    <w:p>
      <w:pPr>
        <w:pStyle w:val="Heading2"/>
        <w:spacing w:after="120" w:before="240" w:line="312"/>
      </w:pPr>
      <w:bookmarkStart w:id="100033" w:name="_Toc100033"/>
      <w:r>
        <w:rPr>
          <w:rFonts w:ascii="Calibri" w:cs="Calibri" w:eastAsia="Calibri" w:hAnsi="Calibri"/>
          <w:b/>
          <w:bCs/>
          <w:color w:val="2C5F8A"/>
          <w:sz w:val="22"/>
          <w:szCs w:val="22"/>
        </w:rPr>
        <w:t xml:space="preserve">6.5 Module Administration</w:t>
      </w:r>
      <w:bookmarkEnd w:id="100033"/>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Agrément et suspension des centres, audit des sessions</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Statistiques nationales, suivi des fraudes et export Excel / PDF</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API vers le système national de permis</w:t>
      </w:r>
    </w:p>
    <w:p>
      <w:pPr>
        <w:pStyle w:val="Heading2"/>
        <w:spacing w:after="120" w:before="240" w:line="312"/>
      </w:pPr>
      <w:bookmarkStart w:id="100034" w:name="_Toc100034"/>
      <w:r>
        <w:rPr>
          <w:rFonts w:ascii="Calibri" w:cs="Calibri" w:eastAsia="Calibri" w:hAnsi="Calibri"/>
          <w:b/>
          <w:bCs/>
          <w:color w:val="2C5F8A"/>
          <w:sz w:val="22"/>
          <w:szCs w:val="22"/>
        </w:rPr>
        <w:t xml:space="preserve">6.6 Module Paiement</w:t>
      </w:r>
      <w:bookmarkEnd w:id="100034"/>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Paiement Mobile Money (Orange Money, MTN), bancaire, guichet</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Reçus automatiques, rapprochement financier et commissions</w:t>
      </w:r>
    </w:p>
    <w:p>
      <w:pPr>
        <w:pStyle w:val="Heading1"/>
        <w:spacing w:after="200" w:before="360" w:line="312"/>
      </w:pPr>
      <w:bookmarkStart w:id="100035" w:name="_Toc100035"/>
      <w:r>
        <w:rPr>
          <w:rFonts w:ascii="Calibri" w:cs="Calibri" w:eastAsia="Calibri" w:hAnsi="Calibri"/>
          <w:b/>
          <w:bCs/>
          <w:color w:val="1A2332"/>
          <w:sz w:val="28"/>
          <w:szCs w:val="28"/>
        </w:rPr>
        <w:t xml:space="preserve">7. Module anti-fraude</w:t>
      </w:r>
      <w:bookmarkEnd w:id="100035"/>
    </w:p>
    <w:p>
      <w:pPr>
        <w:pBdr>
          <w:bottom w:val="single" w:color="CE1126" w:sz="6"/>
        </w:pBdr>
        <w:spacing w:after="160"/>
      </w:pPr>
    </w:p>
    <w:p>
      <w:pPr>
        <w:spacing w:after="120" w:line="312"/>
        <w:jc w:val="both"/>
      </w:pPr>
      <w:r>
        <w:rPr>
          <w:rFonts w:ascii="Calibri" w:cs="Calibri" w:eastAsia="Calibri" w:hAnsi="Calibri"/>
          <w:color w:val="1A2332"/>
          <w:sz w:val="21"/>
          <w:szCs w:val="21"/>
        </w:rPr>
        <w:t xml:space="preserve">Le module anti-fraude constitue le pilier le plus critique de la plateforme CodeRoute Guinée. Contrairement au modèle français où les dispositifs anti-fraude ont été ajoutés après coup, la conception de CodeRoute Guinée intègre ces mesures dès l’origine. Cette approche proactive permet de prévenir les failles plutôt que de les corriger, en s’appuyant sur une combinaison de mesures techniques, organisationnelles et statistiques.</w:t>
      </w:r>
    </w:p>
    <w:p>
      <w:pPr>
        <w:pStyle w:val="Heading2"/>
        <w:spacing w:after="120" w:before="240" w:line="312"/>
      </w:pPr>
      <w:bookmarkStart w:id="100036" w:name="_Toc100036"/>
      <w:r>
        <w:rPr>
          <w:rFonts w:ascii="Calibri" w:cs="Calibri" w:eastAsia="Calibri" w:hAnsi="Calibri"/>
          <w:b/>
          <w:bCs/>
          <w:color w:val="2C5F8A"/>
          <w:sz w:val="22"/>
          <w:szCs w:val="22"/>
        </w:rPr>
        <w:t xml:space="preserve">7.1 Mesures techniques</w:t>
      </w:r>
      <w:bookmarkEnd w:id="100036"/>
    </w:p>
    <w:p>
      <w:pPr>
        <w:pStyle w:val="Heading3"/>
        <w:spacing w:after="80" w:before="160" w:line="312"/>
      </w:pPr>
      <w:bookmarkStart w:id="100037" w:name="_Toc100037"/>
      <w:r>
        <w:rPr>
          <w:rFonts w:ascii="Calibri" w:cs="Calibri" w:eastAsia="Calibri" w:hAnsi="Calibri"/>
          <w:b/>
          <w:bCs/>
          <w:color w:val="1A2332"/>
          <w:sz w:val="20"/>
          <w:szCs w:val="20"/>
        </w:rPr>
        <w:t xml:space="preserve">Scan QR code obligatoire</w:t>
      </w:r>
      <w:bookmarkEnd w:id="100037"/>
    </w:p>
    <w:p>
      <w:pPr>
        <w:spacing w:after="120" w:line="312"/>
        <w:jc w:val="both"/>
      </w:pPr>
      <w:r>
        <w:rPr>
          <w:rFonts w:ascii="Calibri" w:cs="Calibri" w:eastAsia="Calibri" w:hAnsi="Calibri"/>
          <w:color w:val="1A2332"/>
          <w:sz w:val="21"/>
          <w:szCs w:val="21"/>
        </w:rPr>
        <w:t xml:space="preserve">Chaque candidat doit présenter son QR code de convocation à l’entrée du centre. Le scan vérifie l’authenticité de la convocation, l’identité du candidat et la validité de la réservation.</w:t>
      </w:r>
    </w:p>
    <w:p>
      <w:pPr>
        <w:pStyle w:val="Heading3"/>
        <w:spacing w:after="80" w:before="160" w:line="312"/>
      </w:pPr>
      <w:bookmarkStart w:id="100038" w:name="_Toc100038"/>
      <w:r>
        <w:rPr>
          <w:rFonts w:ascii="Calibri" w:cs="Calibri" w:eastAsia="Calibri" w:hAnsi="Calibri"/>
          <w:b/>
          <w:bCs/>
          <w:color w:val="1A2332"/>
          <w:sz w:val="20"/>
          <w:szCs w:val="20"/>
        </w:rPr>
        <w:t xml:space="preserve">Photographie le jour de l’examen</w:t>
      </w:r>
      <w:bookmarkEnd w:id="100038"/>
    </w:p>
    <w:p>
      <w:pPr>
        <w:spacing w:after="120" w:line="312"/>
        <w:jc w:val="both"/>
      </w:pPr>
      <w:r>
        <w:rPr>
          <w:rFonts w:ascii="Calibri" w:cs="Calibri" w:eastAsia="Calibri" w:hAnsi="Calibri"/>
          <w:color w:val="1A2332"/>
          <w:sz w:val="21"/>
          <w:szCs w:val="21"/>
        </w:rPr>
        <w:t xml:space="preserve">Une photo est prise automatiquement lors de l’entrée dans la salle d’examen et comparée avec la photo du dossier d’inscription. Toute différence significative déclenche une alerte.</w:t>
      </w:r>
    </w:p>
    <w:p>
      <w:pPr>
        <w:pStyle w:val="Heading3"/>
        <w:spacing w:after="80" w:before="160" w:line="312"/>
      </w:pPr>
      <w:bookmarkStart w:id="100039" w:name="_Toc100039"/>
      <w:r>
        <w:rPr>
          <w:rFonts w:ascii="Calibri" w:cs="Calibri" w:eastAsia="Calibri" w:hAnsi="Calibri"/>
          <w:b/>
          <w:bCs/>
          <w:color w:val="1A2332"/>
          <w:sz w:val="20"/>
          <w:szCs w:val="20"/>
        </w:rPr>
        <w:t xml:space="preserve">Surveillance webcam</w:t>
      </w:r>
      <w:bookmarkEnd w:id="100039"/>
    </w:p>
    <w:p>
      <w:pPr>
        <w:spacing w:after="120" w:line="312"/>
        <w:jc w:val="both"/>
      </w:pPr>
      <w:r>
        <w:rPr>
          <w:rFonts w:ascii="Calibri" w:cs="Calibri" w:eastAsia="Calibri" w:hAnsi="Calibri"/>
          <w:color w:val="1A2332"/>
          <w:sz w:val="21"/>
          <w:szCs w:val="21"/>
        </w:rPr>
        <w:t xml:space="preserve">La webcam du poste d’examen enregistre périodiquement des captures d’écran et des images du candidat pendant l’examen, permettant une vérification ultérieure ou en temps réel.</w:t>
      </w:r>
    </w:p>
    <w:p>
      <w:pPr>
        <w:pStyle w:val="Heading3"/>
        <w:spacing w:after="80" w:before="160" w:line="312"/>
      </w:pPr>
      <w:bookmarkStart w:id="100040" w:name="_Toc100040"/>
      <w:r>
        <w:rPr>
          <w:rFonts w:ascii="Calibri" w:cs="Calibri" w:eastAsia="Calibri" w:hAnsi="Calibri"/>
          <w:b/>
          <w:bCs/>
          <w:color w:val="1A2332"/>
          <w:sz w:val="20"/>
          <w:szCs w:val="20"/>
        </w:rPr>
        <w:t xml:space="preserve">Verrouillage du navigateur</w:t>
      </w:r>
      <w:bookmarkEnd w:id="100040"/>
    </w:p>
    <w:p>
      <w:pPr>
        <w:spacing w:after="120" w:line="312"/>
        <w:jc w:val="both"/>
      </w:pPr>
      <w:r>
        <w:rPr>
          <w:rFonts w:ascii="Calibri" w:cs="Calibri" w:eastAsia="Calibri" w:hAnsi="Calibri"/>
          <w:color w:val="1A2332"/>
          <w:sz w:val="21"/>
          <w:szCs w:val="21"/>
        </w:rPr>
        <w:t xml:space="preserve">Le poste d’examen est verrouillé en mode kiosque : le candidat ne peut pas ouvrir d’autres onglets, d’applications, ou quitter l’interface d’examen sans que cela soit enregistré.</w:t>
      </w:r>
    </w:p>
    <w:p>
      <w:pPr>
        <w:pStyle w:val="Heading3"/>
        <w:spacing w:after="80" w:before="160" w:line="312"/>
      </w:pPr>
      <w:bookmarkStart w:id="100041" w:name="_Toc100041"/>
      <w:r>
        <w:rPr>
          <w:rFonts w:ascii="Calibri" w:cs="Calibri" w:eastAsia="Calibri" w:hAnsi="Calibri"/>
          <w:b/>
          <w:bCs/>
          <w:color w:val="1A2332"/>
          <w:sz w:val="20"/>
          <w:szCs w:val="20"/>
        </w:rPr>
        <w:t xml:space="preserve">Tirage aléatoire et ordre mélangé</w:t>
      </w:r>
      <w:bookmarkEnd w:id="100041"/>
    </w:p>
    <w:p>
      <w:pPr>
        <w:spacing w:after="120" w:line="312"/>
        <w:jc w:val="both"/>
      </w:pPr>
      <w:r>
        <w:rPr>
          <w:rFonts w:ascii="Calibri" w:cs="Calibri" w:eastAsia="Calibri" w:hAnsi="Calibri"/>
          <w:color w:val="1A2332"/>
          <w:sz w:val="21"/>
          <w:szCs w:val="21"/>
        </w:rPr>
        <w:t xml:space="preserve">Chaque candidat reçoit un ensemble de questions tirées aléatoirement dans la banque officielle, et l’ordre des réponses proposées est mélangé pour chaque candidat, empêchant la triche par position.</w:t>
      </w:r>
    </w:p>
    <w:p>
      <w:pPr>
        <w:pStyle w:val="Heading2"/>
        <w:spacing w:after="120" w:before="240" w:line="312"/>
      </w:pPr>
      <w:bookmarkStart w:id="100042" w:name="_Toc100042"/>
      <w:r>
        <w:rPr>
          <w:rFonts w:ascii="Calibri" w:cs="Calibri" w:eastAsia="Calibri" w:hAnsi="Calibri"/>
          <w:b/>
          <w:bCs/>
          <w:color w:val="2C5F8A"/>
          <w:sz w:val="22"/>
          <w:szCs w:val="22"/>
        </w:rPr>
        <w:t xml:space="preserve">7.2 Mesures statistiques et détection</w:t>
      </w:r>
      <w:bookmarkEnd w:id="100042"/>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Détection des centres avec taux de réussite anormal (supérieur à 2 écarts-types de la moyenne nationale).</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Détection des candidats inscrits plusieurs fois avec des identités différentes.</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Analyse des temps de réponse : des réponses anormalement rapides ou uniformes déclenchent des alertes.</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Géolocalisation du centre pour vérifier que l’examen se déroule bien dans le centre déclaré.</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Comparaison croisée des résultats entre centres, sessions et périodes.</w:t>
      </w:r>
    </w:p>
    <w:p>
      <w:pPr>
        <w:pStyle w:val="Heading2"/>
        <w:spacing w:after="120" w:before="240" w:line="312"/>
      </w:pPr>
      <w:bookmarkStart w:id="100043" w:name="_Toc100043"/>
      <w:r>
        <w:rPr>
          <w:rFonts w:ascii="Calibri" w:cs="Calibri" w:eastAsia="Calibri" w:hAnsi="Calibri"/>
          <w:b/>
          <w:bCs/>
          <w:color w:val="2C5F8A"/>
          <w:sz w:val="22"/>
          <w:szCs w:val="22"/>
        </w:rPr>
        <w:t xml:space="preserve">7.3 Sanctions et traçabilité</w:t>
      </w:r>
      <w:bookmarkEnd w:id="100043"/>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Logs de toutes les actions (connexion, réponses, soumission, tentatives de triche).</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Signature numérique du résultat garantissant son intégrité.</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Audit vidéo ou capture périodique conservé pendant 5 ans.</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Blacklist des fraudeurs avec interdiction de repasser l’examen pendant une période définie.</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Suspension automatique d’un centre en cas d’anomalie grave.</w:t>
      </w:r>
    </w:p>
    <w:p>
      <w:pPr>
        <w:pStyle w:val="Heading1"/>
        <w:spacing w:after="200" w:before="360" w:line="312"/>
      </w:pPr>
      <w:bookmarkStart w:id="100044" w:name="_Toc100044"/>
      <w:r>
        <w:rPr>
          <w:rFonts w:ascii="Calibri" w:cs="Calibri" w:eastAsia="Calibri" w:hAnsi="Calibri"/>
          <w:b/>
          <w:bCs/>
          <w:color w:val="1A2332"/>
          <w:sz w:val="28"/>
          <w:szCs w:val="28"/>
        </w:rPr>
        <w:t xml:space="preserve">8. Architecture technique</w:t>
      </w:r>
      <w:bookmarkEnd w:id="100044"/>
    </w:p>
    <w:p>
      <w:pPr>
        <w:pBdr>
          <w:bottom w:val="single" w:color="CE1126" w:sz="6"/>
        </w:pBdr>
        <w:spacing w:after="160"/>
      </w:pPr>
    </w:p>
    <w:p>
      <w:pPr>
        <w:spacing w:after="120" w:line="312"/>
        <w:jc w:val="both"/>
      </w:pPr>
      <w:r>
        <w:rPr>
          <w:rFonts w:ascii="Calibri" w:cs="Calibri" w:eastAsia="Calibri" w:hAnsi="Calibri"/>
          <w:color w:val="1A2332"/>
          <w:sz w:val="21"/>
          <w:szCs w:val="21"/>
        </w:rPr>
        <w:t xml:space="preserve">L’architecture technique de CodeRoute Guinée est conçue pour répondre aux exigences de sécurité, de disponibilité et d’évolutivité d’un système national critique. Elle repose sur une architecture en microservices, une base de données PostgreSQL segmentée par schémas métier, et un hébergement hybride combinant infrastructure locale et scalabilité cloud.</w:t>
      </w:r>
    </w:p>
    <w:p>
      <w:pPr>
        <w:pStyle w:val="Heading2"/>
        <w:spacing w:after="120" w:before="240" w:line="312"/>
      </w:pPr>
      <w:bookmarkStart w:id="100045" w:name="_Toc100045"/>
      <w:r>
        <w:rPr>
          <w:rFonts w:ascii="Calibri" w:cs="Calibri" w:eastAsia="Calibri" w:hAnsi="Calibri"/>
          <w:b/>
          <w:bCs/>
          <w:color w:val="2C5F8A"/>
          <w:sz w:val="22"/>
          <w:szCs w:val="22"/>
        </w:rPr>
        <w:t xml:space="preserve">8.1 Frontend</w:t>
      </w:r>
      <w:bookmarkEnd w:id="100045"/>
    </w:p>
    <w:tbl>
      <w:tblPr>
        <w:tblW w:type="pct" w:w="100%"/>
        <w:tblBorders>
          <w:top w:val="single" w:color="D0D5DD" w:sz="1"/>
          <w:left w:val="single" w:color="D0D5DD" w:sz="1"/>
          <w:bottom w:val="single" w:color="D0D5DD" w:sz="1"/>
          <w:right w:val="single" w:color="D0D5DD" w:sz="1"/>
          <w:insideH w:val="single" w:color="D0D5DD" w:sz="1"/>
          <w:insideV w:val="single" w:color="D0D5DD" w:sz="1"/>
        </w:tblBorders>
      </w:tblPr>
      <w:tblGrid>
        <w:gridCol w:w="100"/>
        <w:gridCol w:w="100"/>
        <w:gridCol w:w="100"/>
      </w:tblGrid>
      <w:tr>
        <w:trPr>
          <w:cantSplit/>
          <w:tblHeader/>
        </w:trPr>
        <w:tc>
          <w:tcPr>
            <w:tcW w:type="pct" w:w="20%"/>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Composant</w:t>
            </w:r>
          </w:p>
        </w:tc>
        <w:tc>
          <w:tcPr>
            <w:tcW w:type="pct" w:w="25%"/>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Technologie</w:t>
            </w:r>
          </w:p>
        </w:tc>
        <w:tc>
          <w:tcPr>
            <w:tcW w:type="pct" w:w="55%"/>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r>
      <w:tr>
        <w:trPr>
          <w:cantSplit/>
        </w:trPr>
        <w:tc>
          <w:tcPr>
            <w:tcW w:type="pct" w:w="20%"/>
            <w:shd w:fill="FFFFFF" w:val="clear"/>
            <w:tcMar>
              <w:top w:type="dxa" w:w="50"/>
              <w:left w:type="dxa" w:w="100"/>
              <w:bottom w:type="dxa" w:w="50"/>
              <w:right w:type="dxa" w:w="100"/>
            </w:tcMar>
          </w:tcPr>
          <w:p>
            <w:r>
              <w:rPr>
                <w:rFonts w:ascii="Calibri" w:cs="Calibri" w:eastAsia="Calibri" w:hAnsi="Calibri"/>
                <w:color w:val="1A2332"/>
                <w:sz w:val="19"/>
                <w:szCs w:val="19"/>
              </w:rPr>
              <w:t xml:space="preserve">Web App</w:t>
            </w:r>
          </w:p>
        </w:tc>
        <w:tc>
          <w:tcPr>
            <w:tcW w:type="pct" w:w="25%"/>
            <w:shd w:fill="FFFFFF" w:val="clear"/>
            <w:tcMar>
              <w:top w:type="dxa" w:w="50"/>
              <w:left w:type="dxa" w:w="100"/>
              <w:bottom w:type="dxa" w:w="50"/>
              <w:right w:type="dxa" w:w="100"/>
            </w:tcMar>
          </w:tcPr>
          <w:p>
            <w:r>
              <w:rPr>
                <w:rFonts w:ascii="Calibri" w:cs="Calibri" w:eastAsia="Calibri" w:hAnsi="Calibri"/>
                <w:color w:val="1A2332"/>
                <w:sz w:val="19"/>
                <w:szCs w:val="19"/>
              </w:rPr>
              <w:t xml:space="preserve">React.js / Next.js</w:t>
            </w:r>
          </w:p>
        </w:tc>
        <w:tc>
          <w:tcPr>
            <w:tcW w:type="pct" w:w="55%"/>
            <w:shd w:fill="FFFFFF" w:val="clear"/>
            <w:tcMar>
              <w:top w:type="dxa" w:w="50"/>
              <w:left w:type="dxa" w:w="100"/>
              <w:bottom w:type="dxa" w:w="50"/>
              <w:right w:type="dxa" w:w="100"/>
            </w:tcMar>
          </w:tcPr>
          <w:p>
            <w:r>
              <w:rPr>
                <w:rFonts w:ascii="Calibri" w:cs="Calibri" w:eastAsia="Calibri" w:hAnsi="Calibri"/>
                <w:color w:val="1A2332"/>
                <w:sz w:val="19"/>
                <w:szCs w:val="19"/>
              </w:rPr>
              <w:t xml:space="preserve">Interface web responsive, 5 modes utilisateur</w:t>
            </w:r>
          </w:p>
        </w:tc>
      </w:tr>
      <w:tr>
        <w:trPr>
          <w:cantSplit/>
        </w:trPr>
        <w:tc>
          <w:tcPr>
            <w:tcW w:type="pct" w:w="20%"/>
            <w:shd w:fill="F5F7FA" w:val="clear"/>
            <w:tcMar>
              <w:top w:type="dxa" w:w="50"/>
              <w:left w:type="dxa" w:w="100"/>
              <w:bottom w:type="dxa" w:w="50"/>
              <w:right w:type="dxa" w:w="100"/>
            </w:tcMar>
          </w:tcPr>
          <w:p>
            <w:r>
              <w:rPr>
                <w:rFonts w:ascii="Calibri" w:cs="Calibri" w:eastAsia="Calibri" w:hAnsi="Calibri"/>
                <w:color w:val="1A2332"/>
                <w:sz w:val="19"/>
                <w:szCs w:val="19"/>
              </w:rPr>
              <w:t xml:space="preserve">Mobile App</w:t>
            </w:r>
          </w:p>
        </w:tc>
        <w:tc>
          <w:tcPr>
            <w:tcW w:type="pct" w:w="25%"/>
            <w:shd w:fill="F5F7FA" w:val="clear"/>
            <w:tcMar>
              <w:top w:type="dxa" w:w="50"/>
              <w:left w:type="dxa" w:w="100"/>
              <w:bottom w:type="dxa" w:w="50"/>
              <w:right w:type="dxa" w:w="100"/>
            </w:tcMar>
          </w:tcPr>
          <w:p>
            <w:r>
              <w:rPr>
                <w:rFonts w:ascii="Calibri" w:cs="Calibri" w:eastAsia="Calibri" w:hAnsi="Calibri"/>
                <w:color w:val="1A2332"/>
                <w:sz w:val="19"/>
                <w:szCs w:val="19"/>
              </w:rPr>
              <w:t xml:space="preserve">React Native</w:t>
            </w:r>
          </w:p>
        </w:tc>
        <w:tc>
          <w:tcPr>
            <w:tcW w:type="pct" w:w="55%"/>
            <w:shd w:fill="F5F7FA" w:val="clear"/>
            <w:tcMar>
              <w:top w:type="dxa" w:w="50"/>
              <w:left w:type="dxa" w:w="100"/>
              <w:bottom w:type="dxa" w:w="50"/>
              <w:right w:type="dxa" w:w="100"/>
            </w:tcMar>
          </w:tcPr>
          <w:p>
            <w:r>
              <w:rPr>
                <w:rFonts w:ascii="Calibri" w:cs="Calibri" w:eastAsia="Calibri" w:hAnsi="Calibri"/>
                <w:color w:val="1A2332"/>
                <w:sz w:val="19"/>
                <w:szCs w:val="19"/>
              </w:rPr>
              <w:t xml:space="preserve">Application mobile native iOS/Android</w:t>
            </w:r>
          </w:p>
        </w:tc>
      </w:tr>
      <w:tr>
        <w:trPr>
          <w:cantSplit/>
        </w:trPr>
        <w:tc>
          <w:tcPr>
            <w:tcW w:type="pct" w:w="20%"/>
            <w:shd w:fill="FFFFFF" w:val="clear"/>
            <w:tcMar>
              <w:top w:type="dxa" w:w="50"/>
              <w:left w:type="dxa" w:w="100"/>
              <w:bottom w:type="dxa" w:w="50"/>
              <w:right w:type="dxa" w:w="100"/>
            </w:tcMar>
          </w:tcPr>
          <w:p>
            <w:r>
              <w:rPr>
                <w:rFonts w:ascii="Calibri" w:cs="Calibri" w:eastAsia="Calibri" w:hAnsi="Calibri"/>
                <w:color w:val="1A2332"/>
                <w:sz w:val="19"/>
                <w:szCs w:val="19"/>
              </w:rPr>
              <w:t xml:space="preserve">UI Framework</w:t>
            </w:r>
          </w:p>
        </w:tc>
        <w:tc>
          <w:tcPr>
            <w:tcW w:type="pct" w:w="25%"/>
            <w:shd w:fill="FFFFFF" w:val="clear"/>
            <w:tcMar>
              <w:top w:type="dxa" w:w="50"/>
              <w:left w:type="dxa" w:w="100"/>
              <w:bottom w:type="dxa" w:w="50"/>
              <w:right w:type="dxa" w:w="100"/>
            </w:tcMar>
          </w:tcPr>
          <w:p>
            <w:r>
              <w:rPr>
                <w:rFonts w:ascii="Calibri" w:cs="Calibri" w:eastAsia="Calibri" w:hAnsi="Calibri"/>
                <w:color w:val="1A2332"/>
                <w:sz w:val="19"/>
                <w:szCs w:val="19"/>
              </w:rPr>
              <w:t xml:space="preserve">Tailwind CSS + Shadcn UI</w:t>
            </w:r>
          </w:p>
        </w:tc>
        <w:tc>
          <w:tcPr>
            <w:tcW w:type="pct" w:w="55%"/>
            <w:shd w:fill="FFFFFF" w:val="clear"/>
            <w:tcMar>
              <w:top w:type="dxa" w:w="50"/>
              <w:left w:type="dxa" w:w="100"/>
              <w:bottom w:type="dxa" w:w="50"/>
              <w:right w:type="dxa" w:w="100"/>
            </w:tcMar>
          </w:tcPr>
          <w:p>
            <w:r>
              <w:rPr>
                <w:rFonts w:ascii="Calibri" w:cs="Calibri" w:eastAsia="Calibri" w:hAnsi="Calibri"/>
                <w:color w:val="1A2332"/>
                <w:sz w:val="19"/>
                <w:szCs w:val="19"/>
              </w:rPr>
              <w:t xml:space="preserve">Composants accessibles et cohérents</w:t>
            </w:r>
          </w:p>
        </w:tc>
      </w:tr>
      <w:tr>
        <w:trPr>
          <w:cantSplit/>
        </w:trPr>
        <w:tc>
          <w:tcPr>
            <w:tcW w:type="pct" w:w="20%"/>
            <w:shd w:fill="F5F7FA" w:val="clear"/>
            <w:tcMar>
              <w:top w:type="dxa" w:w="50"/>
              <w:left w:type="dxa" w:w="100"/>
              <w:bottom w:type="dxa" w:w="50"/>
              <w:right w:type="dxa" w:w="100"/>
            </w:tcMar>
          </w:tcPr>
          <w:p>
            <w:r>
              <w:rPr>
                <w:rFonts w:ascii="Calibri" w:cs="Calibri" w:eastAsia="Calibri" w:hAnsi="Calibri"/>
                <w:color w:val="1A2332"/>
                <w:sz w:val="19"/>
                <w:szCs w:val="19"/>
              </w:rPr>
              <w:t xml:space="preserve">Animations</w:t>
            </w:r>
          </w:p>
        </w:tc>
        <w:tc>
          <w:tcPr>
            <w:tcW w:type="pct" w:w="25%"/>
            <w:shd w:fill="F5F7FA" w:val="clear"/>
            <w:tcMar>
              <w:top w:type="dxa" w:w="50"/>
              <w:left w:type="dxa" w:w="100"/>
              <w:bottom w:type="dxa" w:w="50"/>
              <w:right w:type="dxa" w:w="100"/>
            </w:tcMar>
          </w:tcPr>
          <w:p>
            <w:r>
              <w:rPr>
                <w:rFonts w:ascii="Calibri" w:cs="Calibri" w:eastAsia="Calibri" w:hAnsi="Calibri"/>
                <w:color w:val="1A2332"/>
                <w:sz w:val="19"/>
                <w:szCs w:val="19"/>
              </w:rPr>
              <w:t xml:space="preserve">Framer Motion</w:t>
            </w:r>
          </w:p>
        </w:tc>
        <w:tc>
          <w:tcPr>
            <w:tcW w:type="pct" w:w="55%"/>
            <w:shd w:fill="F5F7FA" w:val="clear"/>
            <w:tcMar>
              <w:top w:type="dxa" w:w="50"/>
              <w:left w:type="dxa" w:w="100"/>
              <w:bottom w:type="dxa" w:w="50"/>
              <w:right w:type="dxa" w:w="100"/>
            </w:tcMar>
          </w:tcPr>
          <w:p>
            <w:r>
              <w:rPr>
                <w:rFonts w:ascii="Calibri" w:cs="Calibri" w:eastAsia="Calibri" w:hAnsi="Calibri"/>
                <w:color w:val="1A2332"/>
                <w:sz w:val="19"/>
                <w:szCs w:val="19"/>
              </w:rPr>
              <w:t xml:space="preserve">Transitions et interactions fluides</w:t>
            </w:r>
          </w:p>
        </w:tc>
      </w:tr>
    </w:tbl>
    <w:p>
      <w:pPr>
        <w:pStyle w:val="Heading2"/>
        <w:spacing w:after="120" w:before="240" w:line="312"/>
      </w:pPr>
      <w:bookmarkStart w:id="100046" w:name="_Toc100046"/>
      <w:r>
        <w:rPr>
          <w:rFonts w:ascii="Calibri" w:cs="Calibri" w:eastAsia="Calibri" w:hAnsi="Calibri"/>
          <w:b/>
          <w:bCs/>
          <w:color w:val="2C5F8A"/>
          <w:sz w:val="22"/>
          <w:szCs w:val="22"/>
        </w:rPr>
        <w:t xml:space="preserve">8.2 Backend</w:t>
      </w:r>
      <w:bookmarkEnd w:id="100046"/>
    </w:p>
    <w:tbl>
      <w:tblPr>
        <w:tblW w:type="pct" w:w="100%"/>
        <w:tblBorders>
          <w:top w:val="single" w:color="D0D5DD" w:sz="1"/>
          <w:left w:val="single" w:color="D0D5DD" w:sz="1"/>
          <w:bottom w:val="single" w:color="D0D5DD" w:sz="1"/>
          <w:right w:val="single" w:color="D0D5DD" w:sz="1"/>
          <w:insideH w:val="single" w:color="D0D5DD" w:sz="1"/>
          <w:insideV w:val="single" w:color="D0D5DD" w:sz="1"/>
        </w:tblBorders>
      </w:tblPr>
      <w:tblGrid>
        <w:gridCol w:w="100"/>
        <w:gridCol w:w="100"/>
        <w:gridCol w:w="100"/>
      </w:tblGrid>
      <w:tr>
        <w:trPr>
          <w:cantSplit/>
          <w:tblHeader/>
        </w:trPr>
        <w:tc>
          <w:tcPr>
            <w:tcW w:type="pct" w:w="20%"/>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Service</w:t>
            </w:r>
          </w:p>
        </w:tc>
        <w:tc>
          <w:tcPr>
            <w:tcW w:type="pct" w:w="25%"/>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Technologie</w:t>
            </w:r>
          </w:p>
        </w:tc>
        <w:tc>
          <w:tcPr>
            <w:tcW w:type="pct" w:w="55%"/>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Rôle</w:t>
            </w:r>
          </w:p>
        </w:tc>
      </w:tr>
      <w:tr>
        <w:trPr>
          <w:cantSplit/>
        </w:trPr>
        <w:tc>
          <w:tcPr>
            <w:tcW w:type="pct" w:w="20%"/>
            <w:shd w:fill="FFFFFF" w:val="clear"/>
            <w:tcMar>
              <w:top w:type="dxa" w:w="50"/>
              <w:left w:type="dxa" w:w="100"/>
              <w:bottom w:type="dxa" w:w="50"/>
              <w:right w:type="dxa" w:w="100"/>
            </w:tcMar>
          </w:tcPr>
          <w:p>
            <w:r>
              <w:rPr>
                <w:rFonts w:ascii="Calibri" w:cs="Calibri" w:eastAsia="Calibri" w:hAnsi="Calibri"/>
                <w:color w:val="1A2332"/>
                <w:sz w:val="19"/>
                <w:szCs w:val="19"/>
              </w:rPr>
              <w:t xml:space="preserve">API</w:t>
            </w:r>
          </w:p>
        </w:tc>
        <w:tc>
          <w:tcPr>
            <w:tcW w:type="pct" w:w="25%"/>
            <w:shd w:fill="FFFFFF" w:val="clear"/>
            <w:tcMar>
              <w:top w:type="dxa" w:w="50"/>
              <w:left w:type="dxa" w:w="100"/>
              <w:bottom w:type="dxa" w:w="50"/>
              <w:right w:type="dxa" w:w="100"/>
            </w:tcMar>
          </w:tcPr>
          <w:p>
            <w:r>
              <w:rPr>
                <w:rFonts w:ascii="Calibri" w:cs="Calibri" w:eastAsia="Calibri" w:hAnsi="Calibri"/>
                <w:color w:val="1A2332"/>
                <w:sz w:val="19"/>
                <w:szCs w:val="19"/>
              </w:rPr>
              <w:t xml:space="preserve">FastAPI / NestJS</w:t>
            </w:r>
          </w:p>
        </w:tc>
        <w:tc>
          <w:tcPr>
            <w:tcW w:type="pct" w:w="55%"/>
            <w:shd w:fill="FFFFFF" w:val="clear"/>
            <w:tcMar>
              <w:top w:type="dxa" w:w="50"/>
              <w:left w:type="dxa" w:w="100"/>
              <w:bottom w:type="dxa" w:w="50"/>
              <w:right w:type="dxa" w:w="100"/>
            </w:tcMar>
          </w:tcPr>
          <w:p>
            <w:r>
              <w:rPr>
                <w:rFonts w:ascii="Calibri" w:cs="Calibri" w:eastAsia="Calibri" w:hAnsi="Calibri"/>
                <w:color w:val="1A2332"/>
                <w:sz w:val="19"/>
                <w:szCs w:val="19"/>
              </w:rPr>
              <w:t xml:space="preserve">API REST sécurisée avec authentification JWT</w:t>
            </w:r>
          </w:p>
        </w:tc>
      </w:tr>
      <w:tr>
        <w:trPr>
          <w:cantSplit/>
        </w:trPr>
        <w:tc>
          <w:tcPr>
            <w:tcW w:type="pct" w:w="20%"/>
            <w:shd w:fill="F5F7FA" w:val="clear"/>
            <w:tcMar>
              <w:top w:type="dxa" w:w="50"/>
              <w:left w:type="dxa" w:w="100"/>
              <w:bottom w:type="dxa" w:w="50"/>
              <w:right w:type="dxa" w:w="100"/>
            </w:tcMar>
          </w:tcPr>
          <w:p>
            <w:r>
              <w:rPr>
                <w:rFonts w:ascii="Calibri" w:cs="Calibri" w:eastAsia="Calibri" w:hAnsi="Calibri"/>
                <w:color w:val="1A2332"/>
                <w:sz w:val="19"/>
                <w:szCs w:val="19"/>
              </w:rPr>
              <w:t xml:space="preserve">Auth</w:t>
            </w:r>
          </w:p>
        </w:tc>
        <w:tc>
          <w:tcPr>
            <w:tcW w:type="pct" w:w="25%"/>
            <w:shd w:fill="F5F7FA" w:val="clear"/>
            <w:tcMar>
              <w:top w:type="dxa" w:w="50"/>
              <w:left w:type="dxa" w:w="100"/>
              <w:bottom w:type="dxa" w:w="50"/>
              <w:right w:type="dxa" w:w="100"/>
            </w:tcMar>
          </w:tcPr>
          <w:p>
            <w:r>
              <w:rPr>
                <w:rFonts w:ascii="Calibri" w:cs="Calibri" w:eastAsia="Calibri" w:hAnsi="Calibri"/>
                <w:color w:val="1A2332"/>
                <w:sz w:val="19"/>
                <w:szCs w:val="19"/>
              </w:rPr>
              <w:t xml:space="preserve">OAuth2 + JWT</w:t>
            </w:r>
          </w:p>
        </w:tc>
        <w:tc>
          <w:tcPr>
            <w:tcW w:type="pct" w:w="55%"/>
            <w:shd w:fill="F5F7FA" w:val="clear"/>
            <w:tcMar>
              <w:top w:type="dxa" w:w="50"/>
              <w:left w:type="dxa" w:w="100"/>
              <w:bottom w:type="dxa" w:w="50"/>
              <w:right w:type="dxa" w:w="100"/>
            </w:tcMar>
          </w:tcPr>
          <w:p>
            <w:r>
              <w:rPr>
                <w:rFonts w:ascii="Calibri" w:cs="Calibri" w:eastAsia="Calibri" w:hAnsi="Calibri"/>
                <w:color w:val="1A2332"/>
                <w:sz w:val="19"/>
                <w:szCs w:val="19"/>
              </w:rPr>
              <w:t xml:space="preserve">Gestion des rôles et permissions</w:t>
            </w:r>
          </w:p>
        </w:tc>
      </w:tr>
      <w:tr>
        <w:trPr>
          <w:cantSplit/>
        </w:trPr>
        <w:tc>
          <w:tcPr>
            <w:tcW w:type="pct" w:w="20%"/>
            <w:shd w:fill="FFFFFF" w:val="clear"/>
            <w:tcMar>
              <w:top w:type="dxa" w:w="50"/>
              <w:left w:type="dxa" w:w="100"/>
              <w:bottom w:type="dxa" w:w="50"/>
              <w:right w:type="dxa" w:w="100"/>
            </w:tcMar>
          </w:tcPr>
          <w:p>
            <w:r>
              <w:rPr>
                <w:rFonts w:ascii="Calibri" w:cs="Calibri" w:eastAsia="Calibri" w:hAnsi="Calibri"/>
                <w:color w:val="1A2332"/>
                <w:sz w:val="19"/>
                <w:szCs w:val="19"/>
              </w:rPr>
              <w:t xml:space="preserve">Tâches async</w:t>
            </w:r>
          </w:p>
        </w:tc>
        <w:tc>
          <w:tcPr>
            <w:tcW w:type="pct" w:w="25%"/>
            <w:shd w:fill="FFFFFF" w:val="clear"/>
            <w:tcMar>
              <w:top w:type="dxa" w:w="50"/>
              <w:left w:type="dxa" w:w="100"/>
              <w:bottom w:type="dxa" w:w="50"/>
              <w:right w:type="dxa" w:w="100"/>
            </w:tcMar>
          </w:tcPr>
          <w:p>
            <w:r>
              <w:rPr>
                <w:rFonts w:ascii="Calibri" w:cs="Calibri" w:eastAsia="Calibri" w:hAnsi="Calibri"/>
                <w:color w:val="1A2332"/>
                <w:sz w:val="19"/>
                <w:szCs w:val="19"/>
              </w:rPr>
              <w:t xml:space="preserve">Celery / BullMQ + Redis</w:t>
            </w:r>
          </w:p>
        </w:tc>
        <w:tc>
          <w:tcPr>
            <w:tcW w:type="pct" w:w="55%"/>
            <w:shd w:fill="FFFFFF" w:val="clear"/>
            <w:tcMar>
              <w:top w:type="dxa" w:w="50"/>
              <w:left w:type="dxa" w:w="100"/>
              <w:bottom w:type="dxa" w:w="50"/>
              <w:right w:type="dxa" w:w="100"/>
            </w:tcMar>
          </w:tcPr>
          <w:p>
            <w:r>
              <w:rPr>
                <w:rFonts w:ascii="Calibri" w:cs="Calibri" w:eastAsia="Calibri" w:hAnsi="Calibri"/>
                <w:color w:val="1A2332"/>
                <w:sz w:val="19"/>
                <w:szCs w:val="19"/>
              </w:rPr>
              <w:t xml:space="preserve">Notifications, génération PDF</w:t>
            </w:r>
          </w:p>
        </w:tc>
      </w:tr>
      <w:tr>
        <w:trPr>
          <w:cantSplit/>
        </w:trPr>
        <w:tc>
          <w:tcPr>
            <w:tcW w:type="pct" w:w="20%"/>
            <w:shd w:fill="F5F7FA" w:val="clear"/>
            <w:tcMar>
              <w:top w:type="dxa" w:w="50"/>
              <w:left w:type="dxa" w:w="100"/>
              <w:bottom w:type="dxa" w:w="50"/>
              <w:right w:type="dxa" w:w="100"/>
            </w:tcMar>
          </w:tcPr>
          <w:p>
            <w:r>
              <w:rPr>
                <w:rFonts w:ascii="Calibri" w:cs="Calibri" w:eastAsia="Calibri" w:hAnsi="Calibri"/>
                <w:color w:val="1A2332"/>
                <w:sz w:val="19"/>
                <w:szCs w:val="19"/>
              </w:rPr>
              <w:t xml:space="preserve">Fichiers</w:t>
            </w:r>
          </w:p>
        </w:tc>
        <w:tc>
          <w:tcPr>
            <w:tcW w:type="pct" w:w="25%"/>
            <w:shd w:fill="F5F7FA" w:val="clear"/>
            <w:tcMar>
              <w:top w:type="dxa" w:w="50"/>
              <w:left w:type="dxa" w:w="100"/>
              <w:bottom w:type="dxa" w:w="50"/>
              <w:right w:type="dxa" w:w="100"/>
            </w:tcMar>
          </w:tcPr>
          <w:p>
            <w:r>
              <w:rPr>
                <w:rFonts w:ascii="Calibri" w:cs="Calibri" w:eastAsia="Calibri" w:hAnsi="Calibri"/>
                <w:color w:val="1A2332"/>
                <w:sz w:val="19"/>
                <w:szCs w:val="19"/>
              </w:rPr>
              <w:t xml:space="preserve">MinIO / S3</w:t>
            </w:r>
          </w:p>
        </w:tc>
        <w:tc>
          <w:tcPr>
            <w:tcW w:type="pct" w:w="55%"/>
            <w:shd w:fill="F5F7FA" w:val="clear"/>
            <w:tcMar>
              <w:top w:type="dxa" w:w="50"/>
              <w:left w:type="dxa" w:w="100"/>
              <w:bottom w:type="dxa" w:w="50"/>
              <w:right w:type="dxa" w:w="100"/>
            </w:tcMar>
          </w:tcPr>
          <w:p>
            <w:r>
              <w:rPr>
                <w:rFonts w:ascii="Calibri" w:cs="Calibri" w:eastAsia="Calibri" w:hAnsi="Calibri"/>
                <w:color w:val="1A2332"/>
                <w:sz w:val="19"/>
                <w:szCs w:val="19"/>
              </w:rPr>
              <w:t xml:space="preserve">Stockage photos, documents, certificats</w:t>
            </w:r>
          </w:p>
        </w:tc>
      </w:tr>
    </w:tbl>
    <w:p>
      <w:pPr>
        <w:pStyle w:val="Heading2"/>
        <w:spacing w:after="120" w:before="240" w:line="312"/>
      </w:pPr>
      <w:bookmarkStart w:id="100047" w:name="_Toc100047"/>
      <w:r>
        <w:rPr>
          <w:rFonts w:ascii="Calibri" w:cs="Calibri" w:eastAsia="Calibri" w:hAnsi="Calibri"/>
          <w:b/>
          <w:bCs/>
          <w:color w:val="2C5F8A"/>
          <w:sz w:val="22"/>
          <w:szCs w:val="22"/>
        </w:rPr>
        <w:t xml:space="preserve">8.3 Base de données</w:t>
      </w:r>
      <w:bookmarkEnd w:id="100047"/>
    </w:p>
    <w:p>
      <w:pPr>
        <w:spacing w:after="120" w:line="312"/>
        <w:jc w:val="both"/>
      </w:pPr>
      <w:r>
        <w:rPr>
          <w:rFonts w:ascii="Calibri" w:cs="Calibri" w:eastAsia="Calibri" w:hAnsi="Calibri"/>
          <w:color w:val="1A2332"/>
          <w:sz w:val="21"/>
          <w:szCs w:val="21"/>
        </w:rPr>
        <w:t xml:space="preserve">PostgreSQL est le SGBD principal, organisé en schémas séparés par domaine fonctionnel : identity (candidats, utilisateurs, auto-écoles), exam (questions, sessions, tentatives), payment (paiements, commissions), center (centres, salles, postes), audit (logs, alertes, incidents), reporting (statistiques journalières). Redis est utilisé pour le cache, les sessions et les files d’attente.</w:t>
      </w:r>
    </w:p>
    <w:p>
      <w:pPr>
        <w:pStyle w:val="Heading2"/>
        <w:spacing w:after="120" w:before="240" w:line="312"/>
      </w:pPr>
      <w:bookmarkStart w:id="100048" w:name="_Toc100048"/>
      <w:r>
        <w:rPr>
          <w:rFonts w:ascii="Calibri" w:cs="Calibri" w:eastAsia="Calibri" w:hAnsi="Calibri"/>
          <w:b/>
          <w:bCs/>
          <w:color w:val="2C5F8A"/>
          <w:sz w:val="22"/>
          <w:szCs w:val="22"/>
        </w:rPr>
        <w:t xml:space="preserve">8.4 Sécurité</w:t>
      </w:r>
      <w:bookmarkEnd w:id="100048"/>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HTTPS obligatoire sur toutes les communications</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Chiffrement des données sensibles (AES-256 au repos, TLS 1.3 en transit)</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Journal d’audit complet et immuable</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Sauvegardes automatiques quotidiennes avec rétention 30 jours</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Authentification forte pour les administrateurs (2FA)</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Séparation stricte des rôles (RBAC)</w:t>
      </w:r>
    </w:p>
    <w:p>
      <w:pPr>
        <w:pStyle w:val="Heading2"/>
        <w:spacing w:after="120" w:before="240" w:line="312"/>
      </w:pPr>
      <w:bookmarkStart w:id="100049" w:name="_Toc100049"/>
      <w:r>
        <w:rPr>
          <w:rFonts w:ascii="Calibri" w:cs="Calibri" w:eastAsia="Calibri" w:hAnsi="Calibri"/>
          <w:b/>
          <w:bCs/>
          <w:color w:val="2C5F8A"/>
          <w:sz w:val="22"/>
          <w:szCs w:val="22"/>
        </w:rPr>
        <w:t xml:space="preserve">8.5 Hébergement</w:t>
      </w:r>
      <w:bookmarkEnd w:id="100049"/>
    </w:p>
    <w:p>
      <w:pPr>
        <w:spacing w:after="120" w:line="312"/>
        <w:jc w:val="both"/>
      </w:pPr>
      <w:r>
        <w:rPr>
          <w:rFonts w:ascii="Calibri" w:cs="Calibri" w:eastAsia="Calibri" w:hAnsi="Calibri"/>
          <w:color w:val="1A2332"/>
          <w:sz w:val="21"/>
          <w:szCs w:val="21"/>
        </w:rPr>
        <w:t xml:space="preserve">Pour un projet national, une architecture hybride est recommandée : les données sensibles (identité des candidats, résultats, audit) sont hébergées dans un environnement contrôlé (data center local en Guinée ou VPS sécurisé), tandis que les services à forte charge (examens, notifications, cache) bénéficient de la scalabilité cloud (Azure, AWS ou GCP).</w:t>
      </w:r>
    </w:p>
    <w:p>
      <w:pPr>
        <w:pStyle w:val="Heading1"/>
        <w:spacing w:after="200" w:before="360" w:line="312"/>
      </w:pPr>
      <w:bookmarkStart w:id="100050" w:name="_Toc100050"/>
      <w:r>
        <w:rPr>
          <w:rFonts w:ascii="Calibri" w:cs="Calibri" w:eastAsia="Calibri" w:hAnsi="Calibri"/>
          <w:b/>
          <w:bCs/>
          <w:color w:val="1A2332"/>
          <w:sz w:val="28"/>
          <w:szCs w:val="28"/>
        </w:rPr>
        <w:t xml:space="preserve">9. Diagrammes d’architecture</w:t>
      </w:r>
      <w:bookmarkEnd w:id="100050"/>
    </w:p>
    <w:p>
      <w:pPr>
        <w:pBdr>
          <w:bottom w:val="single" w:color="CE1126" w:sz="6"/>
        </w:pBdr>
        <w:spacing w:after="160"/>
      </w:pPr>
    </w:p>
    <w:p>
      <w:pPr>
        <w:spacing w:after="120" w:line="312"/>
        <w:jc w:val="both"/>
      </w:pPr>
      <w:r>
        <w:rPr>
          <w:rFonts w:ascii="Calibri" w:cs="Calibri" w:eastAsia="Calibri" w:hAnsi="Calibri"/>
          <w:color w:val="1A2332"/>
          <w:sz w:val="21"/>
          <w:szCs w:val="21"/>
        </w:rPr>
        <w:t xml:space="preserve">Les diagrammes suivants illustrent l’architecture globale du système CodeRoute Guinée, montrant les interactions entre les différentes couches logicielles, les services backend, les bases de données et les intégrations externes.</w:t>
      </w:r>
    </w:p>
    <w:p>
      <w:pPr>
        <w:spacing w:after="80" w:before="200"/>
        <w:jc w:val="center"/>
      </w:pPr>
      <w:r>
        <w:drawing>
          <wp:inline distT="0" distB="0" distL="0" distR="0">
            <wp:extent cx="5524500" cy="473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4733925"/>
                    </a:xfrm>
                    <a:prstGeom prst="rect">
                      <a:avLst/>
                    </a:prstGeom>
                  </pic:spPr>
                </pic:pic>
              </a:graphicData>
            </a:graphic>
          </wp:inline>
        </w:drawing>
      </w:r>
    </w:p>
    <w:p>
      <w:pPr>
        <w:spacing w:after="200"/>
        <w:jc w:val="center"/>
      </w:pPr>
      <w:r>
        <w:rPr>
          <w:rFonts w:ascii="Calibri" w:cs="Calibri" w:eastAsia="Calibri" w:hAnsi="Calibri"/>
          <w:i/>
          <w:iCs/>
          <w:color w:val="7A8290"/>
          <w:sz w:val="17"/>
          <w:szCs w:val="17"/>
        </w:rPr>
        <w:t xml:space="preserve">Figure 2 : Architecture technique du système CodeRoute Guinée</w:t>
      </w:r>
    </w:p>
    <w:p>
      <w:pPr>
        <w:pStyle w:val="Heading1"/>
        <w:spacing w:after="200" w:before="360" w:line="312"/>
      </w:pPr>
      <w:bookmarkStart w:id="100051" w:name="_Toc100051"/>
      <w:r>
        <w:rPr>
          <w:rFonts w:ascii="Calibri" w:cs="Calibri" w:eastAsia="Calibri" w:hAnsi="Calibri"/>
          <w:b/>
          <w:bCs/>
          <w:color w:val="1A2332"/>
          <w:sz w:val="28"/>
          <w:szCs w:val="28"/>
        </w:rPr>
        <w:t xml:space="preserve">10. Modèle de données</w:t>
      </w:r>
      <w:bookmarkEnd w:id="100051"/>
    </w:p>
    <w:p>
      <w:pPr>
        <w:pBdr>
          <w:bottom w:val="single" w:color="CE1126" w:sz="6"/>
        </w:pBdr>
        <w:spacing w:after="160"/>
      </w:pPr>
    </w:p>
    <w:p>
      <w:pPr>
        <w:spacing w:after="120" w:line="312"/>
        <w:jc w:val="both"/>
      </w:pPr>
      <w:r>
        <w:rPr>
          <w:rFonts w:ascii="Calibri" w:cs="Calibri" w:eastAsia="Calibri" w:hAnsi="Calibri"/>
          <w:color w:val="1A2332"/>
          <w:sz w:val="21"/>
          <w:szCs w:val="21"/>
        </w:rPr>
        <w:t xml:space="preserve">Le modèle de données de CodeRoute Guinée est structuré autour de six schémas PostgreSQL couvrant les domaines fonctionnels du système. Cette segmentation garantit la séparation des données, facilite les audits et permet une gestion fine des permissions d’accès.</w:t>
      </w:r>
    </w:p>
    <w:p>
      <w:pPr>
        <w:spacing w:after="80" w:before="200"/>
        <w:jc w:val="center"/>
      </w:pPr>
      <w:r>
        <w:drawing>
          <wp:inline distT="0" distB="0" distL="0" distR="0">
            <wp:extent cx="5524500"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4924425"/>
                    </a:xfrm>
                    <a:prstGeom prst="rect">
                      <a:avLst/>
                    </a:prstGeom>
                  </pic:spPr>
                </pic:pic>
              </a:graphicData>
            </a:graphic>
          </wp:inline>
        </w:drawing>
      </w:r>
    </w:p>
    <w:p>
      <w:pPr>
        <w:spacing w:after="200"/>
        <w:jc w:val="center"/>
      </w:pPr>
      <w:r>
        <w:rPr>
          <w:rFonts w:ascii="Calibri" w:cs="Calibri" w:eastAsia="Calibri" w:hAnsi="Calibri"/>
          <w:i/>
          <w:iCs/>
          <w:color w:val="7A8290"/>
          <w:sz w:val="17"/>
          <w:szCs w:val="17"/>
        </w:rPr>
        <w:t xml:space="preserve">Figure 3 : Modèle entité-relation de la base de données CodeRoute Guinée</w:t>
      </w:r>
    </w:p>
    <w:p>
      <w:pPr>
        <w:pStyle w:val="Heading2"/>
        <w:spacing w:after="120" w:before="240" w:line="312"/>
      </w:pPr>
      <w:bookmarkStart w:id="100052" w:name="_Toc100052"/>
      <w:r>
        <w:rPr>
          <w:rFonts w:ascii="Calibri" w:cs="Calibri" w:eastAsia="Calibri" w:hAnsi="Calibri"/>
          <w:b/>
          <w:bCs/>
          <w:color w:val="2C5F8A"/>
          <w:sz w:val="22"/>
          <w:szCs w:val="22"/>
        </w:rPr>
        <w:t xml:space="preserve">10.1 Schéma identity</w:t>
      </w:r>
      <w:bookmarkEnd w:id="100052"/>
    </w:p>
    <w:tbl>
      <w:tblPr>
        <w:tblW w:type="pct" w:w="100%"/>
        <w:tblBorders>
          <w:top w:val="single" w:color="D0D5DD" w:sz="1"/>
          <w:left w:val="single" w:color="D0D5DD" w:sz="1"/>
          <w:bottom w:val="single" w:color="D0D5DD" w:sz="1"/>
          <w:right w:val="single" w:color="D0D5DD" w:sz="1"/>
          <w:insideH w:val="single" w:color="D0D5DD" w:sz="1"/>
          <w:insideV w:val="single" w:color="D0D5DD" w:sz="1"/>
        </w:tblBorders>
      </w:tblPr>
      <w:tblGrid>
        <w:gridCol w:w="100"/>
        <w:gridCol w:w="100"/>
        <w:gridCol w:w="100"/>
      </w:tblGrid>
      <w:tr>
        <w:trPr>
          <w:cantSplit/>
          <w:tblHeader/>
        </w:trPr>
        <w:tc>
          <w:tcPr>
            <w:tcW w:type="pct" w:w="20%"/>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Entité</w:t>
            </w:r>
          </w:p>
        </w:tc>
        <w:tc>
          <w:tcPr>
            <w:tcW w:type="pct" w:w="50%"/>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Colonnes clés</w:t>
            </w:r>
          </w:p>
        </w:tc>
        <w:tc>
          <w:tcPr>
            <w:tcW w:type="pct" w:w="30%"/>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r>
      <w:tr>
        <w:trPr>
          <w:cantSplit/>
        </w:trPr>
        <w:tc>
          <w:tcPr>
            <w:tcW w:type="pct" w:w="20%"/>
            <w:shd w:fill="FFFFFF" w:val="clear"/>
            <w:tcMar>
              <w:top w:type="dxa" w:w="50"/>
              <w:left w:type="dxa" w:w="100"/>
              <w:bottom w:type="dxa" w:w="50"/>
              <w:right w:type="dxa" w:w="100"/>
            </w:tcMar>
          </w:tcPr>
          <w:p>
            <w:r>
              <w:rPr>
                <w:rFonts w:ascii="Calibri" w:cs="Calibri" w:eastAsia="Calibri" w:hAnsi="Calibri"/>
                <w:color w:val="1A2332"/>
                <w:sz w:val="19"/>
                <w:szCs w:val="19"/>
              </w:rPr>
              <w:t xml:space="preserve">Candidate</w:t>
            </w:r>
          </w:p>
        </w:tc>
        <w:tc>
          <w:tcPr>
            <w:tcW w:type="pct" w:w="50%"/>
            <w:shd w:fill="FFFFFF" w:val="clear"/>
            <w:tcMar>
              <w:top w:type="dxa" w:w="50"/>
              <w:left w:type="dxa" w:w="100"/>
              <w:bottom w:type="dxa" w:w="50"/>
              <w:right w:type="dxa" w:w="100"/>
            </w:tcMar>
          </w:tcPr>
          <w:p>
            <w:r>
              <w:rPr>
                <w:rFonts w:ascii="Calibri" w:cs="Calibri" w:eastAsia="Calibri" w:hAnsi="Calibri"/>
                <w:color w:val="1A2332"/>
                <w:sz w:val="19"/>
                <w:szCs w:val="19"/>
              </w:rPr>
              <w:t xml:space="preserve">id, candidate_number, last_name, first_name, national_id, permit_category</w:t>
            </w:r>
          </w:p>
        </w:tc>
        <w:tc>
          <w:tcPr>
            <w:tcW w:type="pct" w:w="30%"/>
            <w:shd w:fill="FFFFFF" w:val="clear"/>
            <w:tcMar>
              <w:top w:type="dxa" w:w="50"/>
              <w:left w:type="dxa" w:w="100"/>
              <w:bottom w:type="dxa" w:w="50"/>
              <w:right w:type="dxa" w:w="100"/>
            </w:tcMar>
          </w:tcPr>
          <w:p>
            <w:r>
              <w:rPr>
                <w:rFonts w:ascii="Calibri" w:cs="Calibri" w:eastAsia="Calibri" w:hAnsi="Calibri"/>
                <w:color w:val="1A2332"/>
                <w:sz w:val="19"/>
                <w:szCs w:val="19"/>
              </w:rPr>
              <w:t xml:space="preserve">Profil complet du candidat</w:t>
            </w:r>
          </w:p>
        </w:tc>
      </w:tr>
      <w:tr>
        <w:trPr>
          <w:cantSplit/>
        </w:trPr>
        <w:tc>
          <w:tcPr>
            <w:tcW w:type="pct" w:w="20%"/>
            <w:shd w:fill="F5F7FA" w:val="clear"/>
            <w:tcMar>
              <w:top w:type="dxa" w:w="50"/>
              <w:left w:type="dxa" w:w="100"/>
              <w:bottom w:type="dxa" w:w="50"/>
              <w:right w:type="dxa" w:w="100"/>
            </w:tcMar>
          </w:tcPr>
          <w:p>
            <w:r>
              <w:rPr>
                <w:rFonts w:ascii="Calibri" w:cs="Calibri" w:eastAsia="Calibri" w:hAnsi="Calibri"/>
                <w:color w:val="1A2332"/>
                <w:sz w:val="19"/>
                <w:szCs w:val="19"/>
              </w:rPr>
              <w:t xml:space="preserve">User</w:t>
            </w:r>
          </w:p>
        </w:tc>
        <w:tc>
          <w:tcPr>
            <w:tcW w:type="pct" w:w="50%"/>
            <w:shd w:fill="F5F7FA" w:val="clear"/>
            <w:tcMar>
              <w:top w:type="dxa" w:w="50"/>
              <w:left w:type="dxa" w:w="100"/>
              <w:bottom w:type="dxa" w:w="50"/>
              <w:right w:type="dxa" w:w="100"/>
            </w:tcMar>
          </w:tcPr>
          <w:p>
            <w:r>
              <w:rPr>
                <w:rFonts w:ascii="Calibri" w:cs="Calibri" w:eastAsia="Calibri" w:hAnsi="Calibri"/>
                <w:color w:val="1A2332"/>
                <w:sz w:val="19"/>
                <w:szCs w:val="19"/>
              </w:rPr>
              <w:t xml:space="preserve">id, email, password_hash, role, is_active</w:t>
            </w:r>
          </w:p>
        </w:tc>
        <w:tc>
          <w:tcPr>
            <w:tcW w:type="pct" w:w="30%"/>
            <w:shd w:fill="F5F7FA" w:val="clear"/>
            <w:tcMar>
              <w:top w:type="dxa" w:w="50"/>
              <w:left w:type="dxa" w:w="100"/>
              <w:bottom w:type="dxa" w:w="50"/>
              <w:right w:type="dxa" w:w="100"/>
            </w:tcMar>
          </w:tcPr>
          <w:p>
            <w:r>
              <w:rPr>
                <w:rFonts w:ascii="Calibri" w:cs="Calibri" w:eastAsia="Calibri" w:hAnsi="Calibri"/>
                <w:color w:val="1A2332"/>
                <w:sz w:val="19"/>
                <w:szCs w:val="19"/>
              </w:rPr>
              <w:t xml:space="preserve">Utilisateur système multi-rôle</w:t>
            </w:r>
          </w:p>
        </w:tc>
      </w:tr>
      <w:tr>
        <w:trPr>
          <w:cantSplit/>
        </w:trPr>
        <w:tc>
          <w:tcPr>
            <w:tcW w:type="pct" w:w="20%"/>
            <w:shd w:fill="FFFFFF" w:val="clear"/>
            <w:tcMar>
              <w:top w:type="dxa" w:w="50"/>
              <w:left w:type="dxa" w:w="100"/>
              <w:bottom w:type="dxa" w:w="50"/>
              <w:right w:type="dxa" w:w="100"/>
            </w:tcMar>
          </w:tcPr>
          <w:p>
            <w:r>
              <w:rPr>
                <w:rFonts w:ascii="Calibri" w:cs="Calibri" w:eastAsia="Calibri" w:hAnsi="Calibri"/>
                <w:color w:val="1A2332"/>
                <w:sz w:val="19"/>
                <w:szCs w:val="19"/>
              </w:rPr>
              <w:t xml:space="preserve">DrivingSchool</w:t>
            </w:r>
          </w:p>
        </w:tc>
        <w:tc>
          <w:tcPr>
            <w:tcW w:type="pct" w:w="50%"/>
            <w:shd w:fill="FFFFFF" w:val="clear"/>
            <w:tcMar>
              <w:top w:type="dxa" w:w="50"/>
              <w:left w:type="dxa" w:w="100"/>
              <w:bottom w:type="dxa" w:w="50"/>
              <w:right w:type="dxa" w:w="100"/>
            </w:tcMar>
          </w:tcPr>
          <w:p>
            <w:r>
              <w:rPr>
                <w:rFonts w:ascii="Calibri" w:cs="Calibri" w:eastAsia="Calibri" w:hAnsi="Calibri"/>
                <w:color w:val="1A2332"/>
                <w:sz w:val="19"/>
                <w:szCs w:val="19"/>
              </w:rPr>
              <w:t xml:space="preserve">id, name, registration_number, city, is_approved</w:t>
            </w:r>
          </w:p>
        </w:tc>
        <w:tc>
          <w:tcPr>
            <w:tcW w:type="pct" w:w="30%"/>
            <w:shd w:fill="FFFFFF" w:val="clear"/>
            <w:tcMar>
              <w:top w:type="dxa" w:w="50"/>
              <w:left w:type="dxa" w:w="100"/>
              <w:bottom w:type="dxa" w:w="50"/>
              <w:right w:type="dxa" w:w="100"/>
            </w:tcMar>
          </w:tcPr>
          <w:p>
            <w:r>
              <w:rPr>
                <w:rFonts w:ascii="Calibri" w:cs="Calibri" w:eastAsia="Calibri" w:hAnsi="Calibri"/>
                <w:color w:val="1A2332"/>
                <w:sz w:val="19"/>
                <w:szCs w:val="19"/>
              </w:rPr>
              <w:t xml:space="preserve">Auto-école partenaire</w:t>
            </w:r>
          </w:p>
        </w:tc>
      </w:tr>
    </w:tbl>
    <w:p>
      <w:pPr>
        <w:pStyle w:val="Heading2"/>
        <w:spacing w:after="120" w:before="240" w:line="312"/>
      </w:pPr>
      <w:bookmarkStart w:id="100053" w:name="_Toc100053"/>
      <w:r>
        <w:rPr>
          <w:rFonts w:ascii="Calibri" w:cs="Calibri" w:eastAsia="Calibri" w:hAnsi="Calibri"/>
          <w:b/>
          <w:bCs/>
          <w:color w:val="2C5F8A"/>
          <w:sz w:val="22"/>
          <w:szCs w:val="22"/>
        </w:rPr>
        <w:t xml:space="preserve">10.2 Schéma exam</w:t>
      </w:r>
      <w:bookmarkEnd w:id="100053"/>
    </w:p>
    <w:tbl>
      <w:tblPr>
        <w:tblW w:type="pct" w:w="100%"/>
        <w:tblBorders>
          <w:top w:val="single" w:color="D0D5DD" w:sz="1"/>
          <w:left w:val="single" w:color="D0D5DD" w:sz="1"/>
          <w:bottom w:val="single" w:color="D0D5DD" w:sz="1"/>
          <w:right w:val="single" w:color="D0D5DD" w:sz="1"/>
          <w:insideH w:val="single" w:color="D0D5DD" w:sz="1"/>
          <w:insideV w:val="single" w:color="D0D5DD" w:sz="1"/>
        </w:tblBorders>
      </w:tblPr>
      <w:tblGrid>
        <w:gridCol w:w="100"/>
        <w:gridCol w:w="100"/>
        <w:gridCol w:w="100"/>
      </w:tblGrid>
      <w:tr>
        <w:trPr>
          <w:cantSplit/>
          <w:tblHeader/>
        </w:trPr>
        <w:tc>
          <w:tcPr>
            <w:tcW w:type="pct" w:w="20%"/>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Entité</w:t>
            </w:r>
          </w:p>
        </w:tc>
        <w:tc>
          <w:tcPr>
            <w:tcW w:type="pct" w:w="50%"/>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Colonnes clés</w:t>
            </w:r>
          </w:p>
        </w:tc>
        <w:tc>
          <w:tcPr>
            <w:tcW w:type="pct" w:w="30%"/>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r>
      <w:tr>
        <w:trPr>
          <w:cantSplit/>
        </w:trPr>
        <w:tc>
          <w:tcPr>
            <w:tcW w:type="pct" w:w="20%"/>
            <w:shd w:fill="FFFFFF" w:val="clear"/>
            <w:tcMar>
              <w:top w:type="dxa" w:w="50"/>
              <w:left w:type="dxa" w:w="100"/>
              <w:bottom w:type="dxa" w:w="50"/>
              <w:right w:type="dxa" w:w="100"/>
            </w:tcMar>
          </w:tcPr>
          <w:p>
            <w:r>
              <w:rPr>
                <w:rFonts w:ascii="Calibri" w:cs="Calibri" w:eastAsia="Calibri" w:hAnsi="Calibri"/>
                <w:color w:val="1A2332"/>
                <w:sz w:val="19"/>
                <w:szCs w:val="19"/>
              </w:rPr>
              <w:t xml:space="preserve">Question</w:t>
            </w:r>
          </w:p>
        </w:tc>
        <w:tc>
          <w:tcPr>
            <w:tcW w:type="pct" w:w="50%"/>
            <w:shd w:fill="FFFFFF" w:val="clear"/>
            <w:tcMar>
              <w:top w:type="dxa" w:w="50"/>
              <w:left w:type="dxa" w:w="100"/>
              <w:bottom w:type="dxa" w:w="50"/>
              <w:right w:type="dxa" w:w="100"/>
            </w:tcMar>
          </w:tcPr>
          <w:p>
            <w:r>
              <w:rPr>
                <w:rFonts w:ascii="Calibri" w:cs="Calibri" w:eastAsia="Calibri" w:hAnsi="Calibri"/>
                <w:color w:val="1A2332"/>
                <w:sz w:val="19"/>
                <w:szCs w:val="19"/>
              </w:rPr>
              <w:t xml:space="preserve">id, category, text, question_type, is_active</w:t>
            </w:r>
          </w:p>
        </w:tc>
        <w:tc>
          <w:tcPr>
            <w:tcW w:type="pct" w:w="30%"/>
            <w:shd w:fill="FFFFFF" w:val="clear"/>
            <w:tcMar>
              <w:top w:type="dxa" w:w="50"/>
              <w:left w:type="dxa" w:w="100"/>
              <w:bottom w:type="dxa" w:w="50"/>
              <w:right w:type="dxa" w:w="100"/>
            </w:tcMar>
          </w:tcPr>
          <w:p>
            <w:r>
              <w:rPr>
                <w:rFonts w:ascii="Calibri" w:cs="Calibri" w:eastAsia="Calibri" w:hAnsi="Calibri"/>
                <w:color w:val="1A2332"/>
                <w:sz w:val="19"/>
                <w:szCs w:val="19"/>
              </w:rPr>
              <w:t xml:space="preserve">Banque de questions officielle</w:t>
            </w:r>
          </w:p>
        </w:tc>
      </w:tr>
      <w:tr>
        <w:trPr>
          <w:cantSplit/>
        </w:trPr>
        <w:tc>
          <w:tcPr>
            <w:tcW w:type="pct" w:w="20%"/>
            <w:shd w:fill="F5F7FA" w:val="clear"/>
            <w:tcMar>
              <w:top w:type="dxa" w:w="50"/>
              <w:left w:type="dxa" w:w="100"/>
              <w:bottom w:type="dxa" w:w="50"/>
              <w:right w:type="dxa" w:w="100"/>
            </w:tcMar>
          </w:tcPr>
          <w:p>
            <w:r>
              <w:rPr>
                <w:rFonts w:ascii="Calibri" w:cs="Calibri" w:eastAsia="Calibri" w:hAnsi="Calibri"/>
                <w:color w:val="1A2332"/>
                <w:sz w:val="19"/>
                <w:szCs w:val="19"/>
              </w:rPr>
              <w:t xml:space="preserve">Answer</w:t>
            </w:r>
          </w:p>
        </w:tc>
        <w:tc>
          <w:tcPr>
            <w:tcW w:type="pct" w:w="50%"/>
            <w:shd w:fill="F5F7FA" w:val="clear"/>
            <w:tcMar>
              <w:top w:type="dxa" w:w="50"/>
              <w:left w:type="dxa" w:w="100"/>
              <w:bottom w:type="dxa" w:w="50"/>
              <w:right w:type="dxa" w:w="100"/>
            </w:tcMar>
          </w:tcPr>
          <w:p>
            <w:r>
              <w:rPr>
                <w:rFonts w:ascii="Calibri" w:cs="Calibri" w:eastAsia="Calibri" w:hAnsi="Calibri"/>
                <w:color w:val="1A2332"/>
                <w:sz w:val="19"/>
                <w:szCs w:val="19"/>
              </w:rPr>
              <w:t xml:space="preserve">id, question_id, text, is_correct</w:t>
            </w:r>
          </w:p>
        </w:tc>
        <w:tc>
          <w:tcPr>
            <w:tcW w:type="pct" w:w="30%"/>
            <w:shd w:fill="F5F7FA" w:val="clear"/>
            <w:tcMar>
              <w:top w:type="dxa" w:w="50"/>
              <w:left w:type="dxa" w:w="100"/>
              <w:bottom w:type="dxa" w:w="50"/>
              <w:right w:type="dxa" w:w="100"/>
            </w:tcMar>
          </w:tcPr>
          <w:p>
            <w:r>
              <w:rPr>
                <w:rFonts w:ascii="Calibri" w:cs="Calibri" w:eastAsia="Calibri" w:hAnsi="Calibri"/>
                <w:color w:val="1A2332"/>
                <w:sz w:val="19"/>
                <w:szCs w:val="19"/>
              </w:rPr>
              <w:t xml:space="preserve">Réponses associées</w:t>
            </w:r>
          </w:p>
        </w:tc>
      </w:tr>
      <w:tr>
        <w:trPr>
          <w:cantSplit/>
        </w:trPr>
        <w:tc>
          <w:tcPr>
            <w:tcW w:type="pct" w:w="20%"/>
            <w:shd w:fill="FFFFFF" w:val="clear"/>
            <w:tcMar>
              <w:top w:type="dxa" w:w="50"/>
              <w:left w:type="dxa" w:w="100"/>
              <w:bottom w:type="dxa" w:w="50"/>
              <w:right w:type="dxa" w:w="100"/>
            </w:tcMar>
          </w:tcPr>
          <w:p>
            <w:r>
              <w:rPr>
                <w:rFonts w:ascii="Calibri" w:cs="Calibri" w:eastAsia="Calibri" w:hAnsi="Calibri"/>
                <w:color w:val="1A2332"/>
                <w:sz w:val="19"/>
                <w:szCs w:val="19"/>
              </w:rPr>
              <w:t xml:space="preserve">ExamSession</w:t>
            </w:r>
          </w:p>
        </w:tc>
        <w:tc>
          <w:tcPr>
            <w:tcW w:type="pct" w:w="50%"/>
            <w:shd w:fill="FFFFFF" w:val="clear"/>
            <w:tcMar>
              <w:top w:type="dxa" w:w="50"/>
              <w:left w:type="dxa" w:w="100"/>
              <w:bottom w:type="dxa" w:w="50"/>
              <w:right w:type="dxa" w:w="100"/>
            </w:tcMar>
          </w:tcPr>
          <w:p>
            <w:r>
              <w:rPr>
                <w:rFonts w:ascii="Calibri" w:cs="Calibri" w:eastAsia="Calibri" w:hAnsi="Calibri"/>
                <w:color w:val="1A2332"/>
                <w:sz w:val="19"/>
                <w:szCs w:val="19"/>
              </w:rPr>
              <w:t xml:space="preserve">id, center_id, date, category, max_candidates, status</w:t>
            </w:r>
          </w:p>
        </w:tc>
        <w:tc>
          <w:tcPr>
            <w:tcW w:type="pct" w:w="30%"/>
            <w:shd w:fill="FFFFFF" w:val="clear"/>
            <w:tcMar>
              <w:top w:type="dxa" w:w="50"/>
              <w:left w:type="dxa" w:w="100"/>
              <w:bottom w:type="dxa" w:w="50"/>
              <w:right w:type="dxa" w:w="100"/>
            </w:tcMar>
          </w:tcPr>
          <w:p>
            <w:r>
              <w:rPr>
                <w:rFonts w:ascii="Calibri" w:cs="Calibri" w:eastAsia="Calibri" w:hAnsi="Calibri"/>
                <w:color w:val="1A2332"/>
                <w:sz w:val="19"/>
                <w:szCs w:val="19"/>
              </w:rPr>
              <w:t xml:space="preserve">Session d’examen planifiée</w:t>
            </w:r>
          </w:p>
        </w:tc>
      </w:tr>
      <w:tr>
        <w:trPr>
          <w:cantSplit/>
        </w:trPr>
        <w:tc>
          <w:tcPr>
            <w:tcW w:type="pct" w:w="20%"/>
            <w:shd w:fill="F5F7FA" w:val="clear"/>
            <w:tcMar>
              <w:top w:type="dxa" w:w="50"/>
              <w:left w:type="dxa" w:w="100"/>
              <w:bottom w:type="dxa" w:w="50"/>
              <w:right w:type="dxa" w:w="100"/>
            </w:tcMar>
          </w:tcPr>
          <w:p>
            <w:r>
              <w:rPr>
                <w:rFonts w:ascii="Calibri" w:cs="Calibri" w:eastAsia="Calibri" w:hAnsi="Calibri"/>
                <w:color w:val="1A2332"/>
                <w:sz w:val="19"/>
                <w:szCs w:val="19"/>
              </w:rPr>
              <w:t xml:space="preserve">ExamAttempt</w:t>
            </w:r>
          </w:p>
        </w:tc>
        <w:tc>
          <w:tcPr>
            <w:tcW w:type="pct" w:w="50%"/>
            <w:shd w:fill="F5F7FA" w:val="clear"/>
            <w:tcMar>
              <w:top w:type="dxa" w:w="50"/>
              <w:left w:type="dxa" w:w="100"/>
              <w:bottom w:type="dxa" w:w="50"/>
              <w:right w:type="dxa" w:w="100"/>
            </w:tcMar>
          </w:tcPr>
          <w:p>
            <w:r>
              <w:rPr>
                <w:rFonts w:ascii="Calibri" w:cs="Calibri" w:eastAsia="Calibri" w:hAnsi="Calibri"/>
                <w:color w:val="1A2332"/>
                <w:sz w:val="19"/>
                <w:szCs w:val="19"/>
              </w:rPr>
              <w:t xml:space="preserve">id, candidate_id, session_id, score, is_passed, qr_code</w:t>
            </w:r>
          </w:p>
        </w:tc>
        <w:tc>
          <w:tcPr>
            <w:tcW w:type="pct" w:w="30%"/>
            <w:shd w:fill="F5F7FA" w:val="clear"/>
            <w:tcMar>
              <w:top w:type="dxa" w:w="50"/>
              <w:left w:type="dxa" w:w="100"/>
              <w:bottom w:type="dxa" w:w="50"/>
              <w:right w:type="dxa" w:w="100"/>
            </w:tcMar>
          </w:tcPr>
          <w:p>
            <w:r>
              <w:rPr>
                <w:rFonts w:ascii="Calibri" w:cs="Calibri" w:eastAsia="Calibri" w:hAnsi="Calibri"/>
                <w:color w:val="1A2332"/>
                <w:sz w:val="19"/>
                <w:szCs w:val="19"/>
              </w:rPr>
              <w:t xml:space="preserve">Tentative d’examen</w:t>
            </w:r>
          </w:p>
        </w:tc>
      </w:tr>
      <w:tr>
        <w:trPr>
          <w:cantSplit/>
        </w:trPr>
        <w:tc>
          <w:tcPr>
            <w:tcW w:type="pct" w:w="20%"/>
            <w:shd w:fill="FFFFFF" w:val="clear"/>
            <w:tcMar>
              <w:top w:type="dxa" w:w="50"/>
              <w:left w:type="dxa" w:w="100"/>
              <w:bottom w:type="dxa" w:w="50"/>
              <w:right w:type="dxa" w:w="100"/>
            </w:tcMar>
          </w:tcPr>
          <w:p>
            <w:r>
              <w:rPr>
                <w:rFonts w:ascii="Calibri" w:cs="Calibri" w:eastAsia="Calibri" w:hAnsi="Calibri"/>
                <w:color w:val="1A2332"/>
                <w:sz w:val="19"/>
                <w:szCs w:val="19"/>
              </w:rPr>
              <w:t xml:space="preserve">ExamResponse</w:t>
            </w:r>
          </w:p>
        </w:tc>
        <w:tc>
          <w:tcPr>
            <w:tcW w:type="pct" w:w="50%"/>
            <w:shd w:fill="FFFFFF" w:val="clear"/>
            <w:tcMar>
              <w:top w:type="dxa" w:w="50"/>
              <w:left w:type="dxa" w:w="100"/>
              <w:bottom w:type="dxa" w:w="50"/>
              <w:right w:type="dxa" w:w="100"/>
            </w:tcMar>
          </w:tcPr>
          <w:p>
            <w:r>
              <w:rPr>
                <w:rFonts w:ascii="Calibri" w:cs="Calibri" w:eastAsia="Calibri" w:hAnsi="Calibri"/>
                <w:color w:val="1A2332"/>
                <w:sz w:val="19"/>
                <w:szCs w:val="19"/>
              </w:rPr>
              <w:t xml:space="preserve">id, attempt_id, question_id, answer_id, is_correct, response_time</w:t>
            </w:r>
          </w:p>
        </w:tc>
        <w:tc>
          <w:tcPr>
            <w:tcW w:type="pct" w:w="30%"/>
            <w:shd w:fill="FFFFFF" w:val="clear"/>
            <w:tcMar>
              <w:top w:type="dxa" w:w="50"/>
              <w:left w:type="dxa" w:w="100"/>
              <w:bottom w:type="dxa" w:w="50"/>
              <w:right w:type="dxa" w:w="100"/>
            </w:tcMar>
          </w:tcPr>
          <w:p>
            <w:r>
              <w:rPr>
                <w:rFonts w:ascii="Calibri" w:cs="Calibri" w:eastAsia="Calibri" w:hAnsi="Calibri"/>
                <w:color w:val="1A2332"/>
                <w:sz w:val="19"/>
                <w:szCs w:val="19"/>
              </w:rPr>
              <w:t xml:space="preserve">Réponse individuelle</w:t>
            </w:r>
          </w:p>
        </w:tc>
      </w:tr>
    </w:tbl>
    <w:p>
      <w:pPr>
        <w:pStyle w:val="Heading2"/>
        <w:spacing w:after="120" w:before="240" w:line="312"/>
      </w:pPr>
      <w:bookmarkStart w:id="100054" w:name="_Toc100054"/>
      <w:r>
        <w:rPr>
          <w:rFonts w:ascii="Calibri" w:cs="Calibri" w:eastAsia="Calibri" w:hAnsi="Calibri"/>
          <w:b/>
          <w:bCs/>
          <w:color w:val="2C5F8A"/>
          <w:sz w:val="22"/>
          <w:szCs w:val="22"/>
        </w:rPr>
        <w:t xml:space="preserve">10.3 Schéma payment</w:t>
      </w:r>
      <w:bookmarkEnd w:id="100054"/>
    </w:p>
    <w:tbl>
      <w:tblPr>
        <w:tblW w:type="pct" w:w="100%"/>
        <w:tblBorders>
          <w:top w:val="single" w:color="D0D5DD" w:sz="1"/>
          <w:left w:val="single" w:color="D0D5DD" w:sz="1"/>
          <w:bottom w:val="single" w:color="D0D5DD" w:sz="1"/>
          <w:right w:val="single" w:color="D0D5DD" w:sz="1"/>
          <w:insideH w:val="single" w:color="D0D5DD" w:sz="1"/>
          <w:insideV w:val="single" w:color="D0D5DD" w:sz="1"/>
        </w:tblBorders>
      </w:tblPr>
      <w:tblGrid>
        <w:gridCol w:w="100"/>
        <w:gridCol w:w="100"/>
        <w:gridCol w:w="100"/>
      </w:tblGrid>
      <w:tr>
        <w:trPr>
          <w:cantSplit/>
          <w:tblHeader/>
        </w:trPr>
        <w:tc>
          <w:tcPr>
            <w:tcW w:type="pct" w:w="20%"/>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Entité</w:t>
            </w:r>
          </w:p>
        </w:tc>
        <w:tc>
          <w:tcPr>
            <w:tcW w:type="pct" w:w="50%"/>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Colonnes clés</w:t>
            </w:r>
          </w:p>
        </w:tc>
        <w:tc>
          <w:tcPr>
            <w:tcW w:type="pct" w:w="30%"/>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r>
      <w:tr>
        <w:trPr>
          <w:cantSplit/>
        </w:trPr>
        <w:tc>
          <w:tcPr>
            <w:tcW w:type="pct" w:w="20%"/>
            <w:shd w:fill="FFFFFF" w:val="clear"/>
            <w:tcMar>
              <w:top w:type="dxa" w:w="50"/>
              <w:left w:type="dxa" w:w="100"/>
              <w:bottom w:type="dxa" w:w="50"/>
              <w:right w:type="dxa" w:w="100"/>
            </w:tcMar>
          </w:tcPr>
          <w:p>
            <w:r>
              <w:rPr>
                <w:rFonts w:ascii="Calibri" w:cs="Calibri" w:eastAsia="Calibri" w:hAnsi="Calibri"/>
                <w:color w:val="1A2332"/>
                <w:sz w:val="19"/>
                <w:szCs w:val="19"/>
              </w:rPr>
              <w:t xml:space="preserve">Payment</w:t>
            </w:r>
          </w:p>
        </w:tc>
        <w:tc>
          <w:tcPr>
            <w:tcW w:type="pct" w:w="50%"/>
            <w:shd w:fill="FFFFFF" w:val="clear"/>
            <w:tcMar>
              <w:top w:type="dxa" w:w="50"/>
              <w:left w:type="dxa" w:w="100"/>
              <w:bottom w:type="dxa" w:w="50"/>
              <w:right w:type="dxa" w:w="100"/>
            </w:tcMar>
          </w:tcPr>
          <w:p>
            <w:r>
              <w:rPr>
                <w:rFonts w:ascii="Calibri" w:cs="Calibri" w:eastAsia="Calibri" w:hAnsi="Calibri"/>
                <w:color w:val="1A2332"/>
                <w:sz w:val="19"/>
                <w:szCs w:val="19"/>
              </w:rPr>
              <w:t xml:space="preserve">id, candidate_id, session_id, amount, method, status, transaction_ref</w:t>
            </w:r>
          </w:p>
        </w:tc>
        <w:tc>
          <w:tcPr>
            <w:tcW w:type="pct" w:w="30%"/>
            <w:shd w:fill="FFFFFF" w:val="clear"/>
            <w:tcMar>
              <w:top w:type="dxa" w:w="50"/>
              <w:left w:type="dxa" w:w="100"/>
              <w:bottom w:type="dxa" w:w="50"/>
              <w:right w:type="dxa" w:w="100"/>
            </w:tcMar>
          </w:tcPr>
          <w:p>
            <w:r>
              <w:rPr>
                <w:rFonts w:ascii="Calibri" w:cs="Calibri" w:eastAsia="Calibri" w:hAnsi="Calibri"/>
                <w:color w:val="1A2332"/>
                <w:sz w:val="19"/>
                <w:szCs w:val="19"/>
              </w:rPr>
              <w:t xml:space="preserve">Transaction de paiement</w:t>
            </w:r>
          </w:p>
        </w:tc>
      </w:tr>
      <w:tr>
        <w:trPr>
          <w:cantSplit/>
        </w:trPr>
        <w:tc>
          <w:tcPr>
            <w:tcW w:type="pct" w:w="20%"/>
            <w:shd w:fill="F5F7FA" w:val="clear"/>
            <w:tcMar>
              <w:top w:type="dxa" w:w="50"/>
              <w:left w:type="dxa" w:w="100"/>
              <w:bottom w:type="dxa" w:w="50"/>
              <w:right w:type="dxa" w:w="100"/>
            </w:tcMar>
          </w:tcPr>
          <w:p>
            <w:r>
              <w:rPr>
                <w:rFonts w:ascii="Calibri" w:cs="Calibri" w:eastAsia="Calibri" w:hAnsi="Calibri"/>
                <w:color w:val="1A2332"/>
                <w:sz w:val="19"/>
                <w:szCs w:val="19"/>
              </w:rPr>
              <w:t xml:space="preserve">Commission</w:t>
            </w:r>
          </w:p>
        </w:tc>
        <w:tc>
          <w:tcPr>
            <w:tcW w:type="pct" w:w="50%"/>
            <w:shd w:fill="F5F7FA" w:val="clear"/>
            <w:tcMar>
              <w:top w:type="dxa" w:w="50"/>
              <w:left w:type="dxa" w:w="100"/>
              <w:bottom w:type="dxa" w:w="50"/>
              <w:right w:type="dxa" w:w="100"/>
            </w:tcMar>
          </w:tcPr>
          <w:p>
            <w:r>
              <w:rPr>
                <w:rFonts w:ascii="Calibri" w:cs="Calibri" w:eastAsia="Calibri" w:hAnsi="Calibri"/>
                <w:color w:val="1A2332"/>
                <w:sz w:val="19"/>
                <w:szCs w:val="19"/>
              </w:rPr>
              <w:t xml:space="preserve">id, payment_id, center_share, platform_share, admin_share</w:t>
            </w:r>
          </w:p>
        </w:tc>
        <w:tc>
          <w:tcPr>
            <w:tcW w:type="pct" w:w="30%"/>
            <w:shd w:fill="F5F7FA" w:val="clear"/>
            <w:tcMar>
              <w:top w:type="dxa" w:w="50"/>
              <w:left w:type="dxa" w:w="100"/>
              <w:bottom w:type="dxa" w:w="50"/>
              <w:right w:type="dxa" w:w="100"/>
            </w:tcMar>
          </w:tcPr>
          <w:p>
            <w:r>
              <w:rPr>
                <w:rFonts w:ascii="Calibri" w:cs="Calibri" w:eastAsia="Calibri" w:hAnsi="Calibri"/>
                <w:color w:val="1A2332"/>
                <w:sz w:val="19"/>
                <w:szCs w:val="19"/>
              </w:rPr>
              <w:t xml:space="preserve">Répartition des commissions</w:t>
            </w:r>
          </w:p>
        </w:tc>
      </w:tr>
    </w:tbl>
    <w:p>
      <w:pPr>
        <w:pStyle w:val="Heading2"/>
        <w:spacing w:after="120" w:before="240" w:line="312"/>
      </w:pPr>
      <w:bookmarkStart w:id="100055" w:name="_Toc100055"/>
      <w:r>
        <w:rPr>
          <w:rFonts w:ascii="Calibri" w:cs="Calibri" w:eastAsia="Calibri" w:hAnsi="Calibri"/>
          <w:b/>
          <w:bCs/>
          <w:color w:val="2C5F8A"/>
          <w:sz w:val="22"/>
          <w:szCs w:val="22"/>
        </w:rPr>
        <w:t xml:space="preserve">10.4 Schéma center</w:t>
      </w:r>
      <w:bookmarkEnd w:id="100055"/>
    </w:p>
    <w:tbl>
      <w:tblPr>
        <w:tblW w:type="pct" w:w="100%"/>
        <w:tblBorders>
          <w:top w:val="single" w:color="D0D5DD" w:sz="1"/>
          <w:left w:val="single" w:color="D0D5DD" w:sz="1"/>
          <w:bottom w:val="single" w:color="D0D5DD" w:sz="1"/>
          <w:right w:val="single" w:color="D0D5DD" w:sz="1"/>
          <w:insideH w:val="single" w:color="D0D5DD" w:sz="1"/>
          <w:insideV w:val="single" w:color="D0D5DD" w:sz="1"/>
        </w:tblBorders>
      </w:tblPr>
      <w:tblGrid>
        <w:gridCol w:w="100"/>
        <w:gridCol w:w="100"/>
        <w:gridCol w:w="100"/>
      </w:tblGrid>
      <w:tr>
        <w:trPr>
          <w:cantSplit/>
          <w:tblHeader/>
        </w:trPr>
        <w:tc>
          <w:tcPr>
            <w:tcW w:type="pct" w:w="20%"/>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Entité</w:t>
            </w:r>
          </w:p>
        </w:tc>
        <w:tc>
          <w:tcPr>
            <w:tcW w:type="pct" w:w="50%"/>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Colonnes clés</w:t>
            </w:r>
          </w:p>
        </w:tc>
        <w:tc>
          <w:tcPr>
            <w:tcW w:type="pct" w:w="30%"/>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r>
      <w:tr>
        <w:trPr>
          <w:cantSplit/>
        </w:trPr>
        <w:tc>
          <w:tcPr>
            <w:tcW w:type="pct" w:w="20%"/>
            <w:shd w:fill="FFFFFF" w:val="clear"/>
            <w:tcMar>
              <w:top w:type="dxa" w:w="50"/>
              <w:left w:type="dxa" w:w="100"/>
              <w:bottom w:type="dxa" w:w="50"/>
              <w:right w:type="dxa" w:w="100"/>
            </w:tcMar>
          </w:tcPr>
          <w:p>
            <w:r>
              <w:rPr>
                <w:rFonts w:ascii="Calibri" w:cs="Calibri" w:eastAsia="Calibri" w:hAnsi="Calibri"/>
                <w:color w:val="1A2332"/>
                <w:sz w:val="19"/>
                <w:szCs w:val="19"/>
              </w:rPr>
              <w:t xml:space="preserve">Center</w:t>
            </w:r>
          </w:p>
        </w:tc>
        <w:tc>
          <w:tcPr>
            <w:tcW w:type="pct" w:w="50%"/>
            <w:shd w:fill="FFFFFF" w:val="clear"/>
            <w:tcMar>
              <w:top w:type="dxa" w:w="50"/>
              <w:left w:type="dxa" w:w="100"/>
              <w:bottom w:type="dxa" w:w="50"/>
              <w:right w:type="dxa" w:w="100"/>
            </w:tcMar>
          </w:tcPr>
          <w:p>
            <w:r>
              <w:rPr>
                <w:rFonts w:ascii="Calibri" w:cs="Calibri" w:eastAsia="Calibri" w:hAnsi="Calibri"/>
                <w:color w:val="1A2332"/>
                <w:sz w:val="19"/>
                <w:szCs w:val="19"/>
              </w:rPr>
              <w:t xml:space="preserve">id, name, region, city, capacity, is_approved, approval_date</w:t>
            </w:r>
          </w:p>
        </w:tc>
        <w:tc>
          <w:tcPr>
            <w:tcW w:type="pct" w:w="30%"/>
            <w:shd w:fill="FFFFFF" w:val="clear"/>
            <w:tcMar>
              <w:top w:type="dxa" w:w="50"/>
              <w:left w:type="dxa" w:w="100"/>
              <w:bottom w:type="dxa" w:w="50"/>
              <w:right w:type="dxa" w:w="100"/>
            </w:tcMar>
          </w:tcPr>
          <w:p>
            <w:r>
              <w:rPr>
                <w:rFonts w:ascii="Calibri" w:cs="Calibri" w:eastAsia="Calibri" w:hAnsi="Calibri"/>
                <w:color w:val="1A2332"/>
                <w:sz w:val="19"/>
                <w:szCs w:val="19"/>
              </w:rPr>
              <w:t xml:space="preserve">Centre agréé</w:t>
            </w:r>
          </w:p>
        </w:tc>
      </w:tr>
      <w:tr>
        <w:trPr>
          <w:cantSplit/>
        </w:trPr>
        <w:tc>
          <w:tcPr>
            <w:tcW w:type="pct" w:w="20%"/>
            <w:shd w:fill="F5F7FA" w:val="clear"/>
            <w:tcMar>
              <w:top w:type="dxa" w:w="50"/>
              <w:left w:type="dxa" w:w="100"/>
              <w:bottom w:type="dxa" w:w="50"/>
              <w:right w:type="dxa" w:w="100"/>
            </w:tcMar>
          </w:tcPr>
          <w:p>
            <w:r>
              <w:rPr>
                <w:rFonts w:ascii="Calibri" w:cs="Calibri" w:eastAsia="Calibri" w:hAnsi="Calibri"/>
                <w:color w:val="1A2332"/>
                <w:sz w:val="19"/>
                <w:szCs w:val="19"/>
              </w:rPr>
              <w:t xml:space="preserve">CenterRoom</w:t>
            </w:r>
          </w:p>
        </w:tc>
        <w:tc>
          <w:tcPr>
            <w:tcW w:type="pct" w:w="50%"/>
            <w:shd w:fill="F5F7FA" w:val="clear"/>
            <w:tcMar>
              <w:top w:type="dxa" w:w="50"/>
              <w:left w:type="dxa" w:w="100"/>
              <w:bottom w:type="dxa" w:w="50"/>
              <w:right w:type="dxa" w:w="100"/>
            </w:tcMar>
          </w:tcPr>
          <w:p>
            <w:r>
              <w:rPr>
                <w:rFonts w:ascii="Calibri" w:cs="Calibri" w:eastAsia="Calibri" w:hAnsi="Calibri"/>
                <w:color w:val="1A2332"/>
                <w:sz w:val="19"/>
                <w:szCs w:val="19"/>
              </w:rPr>
              <w:t xml:space="preserve">id, center_id, name, capacity, has_camera, has_generator</w:t>
            </w:r>
          </w:p>
        </w:tc>
        <w:tc>
          <w:tcPr>
            <w:tcW w:type="pct" w:w="30%"/>
            <w:shd w:fill="F5F7FA" w:val="clear"/>
            <w:tcMar>
              <w:top w:type="dxa" w:w="50"/>
              <w:left w:type="dxa" w:w="100"/>
              <w:bottom w:type="dxa" w:w="50"/>
              <w:right w:type="dxa" w:w="100"/>
            </w:tcMar>
          </w:tcPr>
          <w:p>
            <w:r>
              <w:rPr>
                <w:rFonts w:ascii="Calibri" w:cs="Calibri" w:eastAsia="Calibri" w:hAnsi="Calibri"/>
                <w:color w:val="1A2332"/>
                <w:sz w:val="19"/>
                <w:szCs w:val="19"/>
              </w:rPr>
              <w:t xml:space="preserve">Salle d’examen</w:t>
            </w:r>
          </w:p>
        </w:tc>
      </w:tr>
      <w:tr>
        <w:trPr>
          <w:cantSplit/>
        </w:trPr>
        <w:tc>
          <w:tcPr>
            <w:tcW w:type="pct" w:w="20%"/>
            <w:shd w:fill="FFFFFF" w:val="clear"/>
            <w:tcMar>
              <w:top w:type="dxa" w:w="50"/>
              <w:left w:type="dxa" w:w="100"/>
              <w:bottom w:type="dxa" w:w="50"/>
              <w:right w:type="dxa" w:w="100"/>
            </w:tcMar>
          </w:tcPr>
          <w:p>
            <w:r>
              <w:rPr>
                <w:rFonts w:ascii="Calibri" w:cs="Calibri" w:eastAsia="Calibri" w:hAnsi="Calibri"/>
                <w:color w:val="1A2332"/>
                <w:sz w:val="19"/>
                <w:szCs w:val="19"/>
              </w:rPr>
              <w:t xml:space="preserve">CenterWorkstation</w:t>
            </w:r>
          </w:p>
        </w:tc>
        <w:tc>
          <w:tcPr>
            <w:tcW w:type="pct" w:w="50%"/>
            <w:shd w:fill="FFFFFF" w:val="clear"/>
            <w:tcMar>
              <w:top w:type="dxa" w:w="50"/>
              <w:left w:type="dxa" w:w="100"/>
              <w:bottom w:type="dxa" w:w="50"/>
              <w:right w:type="dxa" w:w="100"/>
            </w:tcMar>
          </w:tcPr>
          <w:p>
            <w:r>
              <w:rPr>
                <w:rFonts w:ascii="Calibri" w:cs="Calibri" w:eastAsia="Calibri" w:hAnsi="Calibri"/>
                <w:color w:val="1A2332"/>
                <w:sz w:val="19"/>
                <w:szCs w:val="19"/>
              </w:rPr>
              <w:t xml:space="preserve">id, room_id, identifier, is_functional</w:t>
            </w:r>
          </w:p>
        </w:tc>
        <w:tc>
          <w:tcPr>
            <w:tcW w:type="pct" w:w="30%"/>
            <w:shd w:fill="FFFFFF" w:val="clear"/>
            <w:tcMar>
              <w:top w:type="dxa" w:w="50"/>
              <w:left w:type="dxa" w:w="100"/>
              <w:bottom w:type="dxa" w:w="50"/>
              <w:right w:type="dxa" w:w="100"/>
            </w:tcMar>
          </w:tcPr>
          <w:p>
            <w:r>
              <w:rPr>
                <w:rFonts w:ascii="Calibri" w:cs="Calibri" w:eastAsia="Calibri" w:hAnsi="Calibri"/>
                <w:color w:val="1A2332"/>
                <w:sz w:val="19"/>
                <w:szCs w:val="19"/>
              </w:rPr>
              <w:t xml:space="preserve">Poste informatique</w:t>
            </w:r>
          </w:p>
        </w:tc>
      </w:tr>
    </w:tbl>
    <w:p>
      <w:pPr>
        <w:pStyle w:val="Heading2"/>
        <w:spacing w:after="120" w:before="240" w:line="312"/>
      </w:pPr>
      <w:bookmarkStart w:id="100056" w:name="_Toc100056"/>
      <w:r>
        <w:rPr>
          <w:rFonts w:ascii="Calibri" w:cs="Calibri" w:eastAsia="Calibri" w:hAnsi="Calibri"/>
          <w:b/>
          <w:bCs/>
          <w:color w:val="2C5F8A"/>
          <w:sz w:val="22"/>
          <w:szCs w:val="22"/>
        </w:rPr>
        <w:t xml:space="preserve">10.5 Schéma audit</w:t>
      </w:r>
      <w:bookmarkEnd w:id="100056"/>
    </w:p>
    <w:tbl>
      <w:tblPr>
        <w:tblW w:type="pct" w:w="100%"/>
        <w:tblBorders>
          <w:top w:val="single" w:color="D0D5DD" w:sz="1"/>
          <w:left w:val="single" w:color="D0D5DD" w:sz="1"/>
          <w:bottom w:val="single" w:color="D0D5DD" w:sz="1"/>
          <w:right w:val="single" w:color="D0D5DD" w:sz="1"/>
          <w:insideH w:val="single" w:color="D0D5DD" w:sz="1"/>
          <w:insideV w:val="single" w:color="D0D5DD" w:sz="1"/>
        </w:tblBorders>
      </w:tblPr>
      <w:tblGrid>
        <w:gridCol w:w="100"/>
        <w:gridCol w:w="100"/>
        <w:gridCol w:w="100"/>
      </w:tblGrid>
      <w:tr>
        <w:trPr>
          <w:cantSplit/>
          <w:tblHeader/>
        </w:trPr>
        <w:tc>
          <w:tcPr>
            <w:tcW w:type="pct" w:w="20%"/>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Entité</w:t>
            </w:r>
          </w:p>
        </w:tc>
        <w:tc>
          <w:tcPr>
            <w:tcW w:type="pct" w:w="50%"/>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Colonnes clés</w:t>
            </w:r>
          </w:p>
        </w:tc>
        <w:tc>
          <w:tcPr>
            <w:tcW w:type="pct" w:w="30%"/>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r>
      <w:tr>
        <w:trPr>
          <w:cantSplit/>
        </w:trPr>
        <w:tc>
          <w:tcPr>
            <w:tcW w:type="pct" w:w="20%"/>
            <w:shd w:fill="FFFFFF" w:val="clear"/>
            <w:tcMar>
              <w:top w:type="dxa" w:w="50"/>
              <w:left w:type="dxa" w:w="100"/>
              <w:bottom w:type="dxa" w:w="50"/>
              <w:right w:type="dxa" w:w="100"/>
            </w:tcMar>
          </w:tcPr>
          <w:p>
            <w:r>
              <w:rPr>
                <w:rFonts w:ascii="Calibri" w:cs="Calibri" w:eastAsia="Calibri" w:hAnsi="Calibri"/>
                <w:color w:val="1A2332"/>
                <w:sz w:val="19"/>
                <w:szCs w:val="19"/>
              </w:rPr>
              <w:t xml:space="preserve">AuditLog</w:t>
            </w:r>
          </w:p>
        </w:tc>
        <w:tc>
          <w:tcPr>
            <w:tcW w:type="pct" w:w="50%"/>
            <w:shd w:fill="FFFFFF" w:val="clear"/>
            <w:tcMar>
              <w:top w:type="dxa" w:w="50"/>
              <w:left w:type="dxa" w:w="100"/>
              <w:bottom w:type="dxa" w:w="50"/>
              <w:right w:type="dxa" w:w="100"/>
            </w:tcMar>
          </w:tcPr>
          <w:p>
            <w:r>
              <w:rPr>
                <w:rFonts w:ascii="Calibri" w:cs="Calibri" w:eastAsia="Calibri" w:hAnsi="Calibri"/>
                <w:color w:val="1A2332"/>
                <w:sz w:val="19"/>
                <w:szCs w:val="19"/>
              </w:rPr>
              <w:t xml:space="preserve">id, user_id, action, entity_type, ip_address</w:t>
            </w:r>
          </w:p>
        </w:tc>
        <w:tc>
          <w:tcPr>
            <w:tcW w:type="pct" w:w="30%"/>
            <w:shd w:fill="FFFFFF" w:val="clear"/>
            <w:tcMar>
              <w:top w:type="dxa" w:w="50"/>
              <w:left w:type="dxa" w:w="100"/>
              <w:bottom w:type="dxa" w:w="50"/>
              <w:right w:type="dxa" w:w="100"/>
            </w:tcMar>
          </w:tcPr>
          <w:p>
            <w:r>
              <w:rPr>
                <w:rFonts w:ascii="Calibri" w:cs="Calibri" w:eastAsia="Calibri" w:hAnsi="Calibri"/>
                <w:color w:val="1A2332"/>
                <w:sz w:val="19"/>
                <w:szCs w:val="19"/>
              </w:rPr>
              <w:t xml:space="preserve">Journal d’audit complet</w:t>
            </w:r>
          </w:p>
        </w:tc>
      </w:tr>
      <w:tr>
        <w:trPr>
          <w:cantSplit/>
        </w:trPr>
        <w:tc>
          <w:tcPr>
            <w:tcW w:type="pct" w:w="20%"/>
            <w:shd w:fill="F5F7FA" w:val="clear"/>
            <w:tcMar>
              <w:top w:type="dxa" w:w="50"/>
              <w:left w:type="dxa" w:w="100"/>
              <w:bottom w:type="dxa" w:w="50"/>
              <w:right w:type="dxa" w:w="100"/>
            </w:tcMar>
          </w:tcPr>
          <w:p>
            <w:r>
              <w:rPr>
                <w:rFonts w:ascii="Calibri" w:cs="Calibri" w:eastAsia="Calibri" w:hAnsi="Calibri"/>
                <w:color w:val="1A2332"/>
                <w:sz w:val="19"/>
                <w:szCs w:val="19"/>
              </w:rPr>
              <w:t xml:space="preserve">FraudAlert</w:t>
            </w:r>
          </w:p>
        </w:tc>
        <w:tc>
          <w:tcPr>
            <w:tcW w:type="pct" w:w="50%"/>
            <w:shd w:fill="F5F7FA" w:val="clear"/>
            <w:tcMar>
              <w:top w:type="dxa" w:w="50"/>
              <w:left w:type="dxa" w:w="100"/>
              <w:bottom w:type="dxa" w:w="50"/>
              <w:right w:type="dxa" w:w="100"/>
            </w:tcMar>
          </w:tcPr>
          <w:p>
            <w:r>
              <w:rPr>
                <w:rFonts w:ascii="Calibri" w:cs="Calibri" w:eastAsia="Calibri" w:hAnsi="Calibri"/>
                <w:color w:val="1A2332"/>
                <w:sz w:val="19"/>
                <w:szCs w:val="19"/>
              </w:rPr>
              <w:t xml:space="preserve">id, attempt_id, center_id, alert_type, severity, is_resolved</w:t>
            </w:r>
          </w:p>
        </w:tc>
        <w:tc>
          <w:tcPr>
            <w:tcW w:type="pct" w:w="30%"/>
            <w:shd w:fill="F5F7FA" w:val="clear"/>
            <w:tcMar>
              <w:top w:type="dxa" w:w="50"/>
              <w:left w:type="dxa" w:w="100"/>
              <w:bottom w:type="dxa" w:w="50"/>
              <w:right w:type="dxa" w:w="100"/>
            </w:tcMar>
          </w:tcPr>
          <w:p>
            <w:r>
              <w:rPr>
                <w:rFonts w:ascii="Calibri" w:cs="Calibri" w:eastAsia="Calibri" w:hAnsi="Calibri"/>
                <w:color w:val="1A2332"/>
                <w:sz w:val="19"/>
                <w:szCs w:val="19"/>
              </w:rPr>
              <w:t xml:space="preserve">Alerte de fraude détectée</w:t>
            </w:r>
          </w:p>
        </w:tc>
      </w:tr>
      <w:tr>
        <w:trPr>
          <w:cantSplit/>
        </w:trPr>
        <w:tc>
          <w:tcPr>
            <w:tcW w:type="pct" w:w="20%"/>
            <w:shd w:fill="FFFFFF" w:val="clear"/>
            <w:tcMar>
              <w:top w:type="dxa" w:w="50"/>
              <w:left w:type="dxa" w:w="100"/>
              <w:bottom w:type="dxa" w:w="50"/>
              <w:right w:type="dxa" w:w="100"/>
            </w:tcMar>
          </w:tcPr>
          <w:p>
            <w:r>
              <w:rPr>
                <w:rFonts w:ascii="Calibri" w:cs="Calibri" w:eastAsia="Calibri" w:hAnsi="Calibri"/>
                <w:color w:val="1A2332"/>
                <w:sz w:val="19"/>
                <w:szCs w:val="19"/>
              </w:rPr>
              <w:t xml:space="preserve">SessionIncident</w:t>
            </w:r>
          </w:p>
        </w:tc>
        <w:tc>
          <w:tcPr>
            <w:tcW w:type="pct" w:w="50%"/>
            <w:shd w:fill="FFFFFF" w:val="clear"/>
            <w:tcMar>
              <w:top w:type="dxa" w:w="50"/>
              <w:left w:type="dxa" w:w="100"/>
              <w:bottom w:type="dxa" w:w="50"/>
              <w:right w:type="dxa" w:w="100"/>
            </w:tcMar>
          </w:tcPr>
          <w:p>
            <w:r>
              <w:rPr>
                <w:rFonts w:ascii="Calibri" w:cs="Calibri" w:eastAsia="Calibri" w:hAnsi="Calibri"/>
                <w:color w:val="1A2332"/>
                <w:sz w:val="19"/>
                <w:szCs w:val="19"/>
              </w:rPr>
              <w:t xml:space="preserve">id, session_id, incident_type, description</w:t>
            </w:r>
          </w:p>
        </w:tc>
        <w:tc>
          <w:tcPr>
            <w:tcW w:type="pct" w:w="30%"/>
            <w:shd w:fill="FFFFFF" w:val="clear"/>
            <w:tcMar>
              <w:top w:type="dxa" w:w="50"/>
              <w:left w:type="dxa" w:w="100"/>
              <w:bottom w:type="dxa" w:w="50"/>
              <w:right w:type="dxa" w:w="100"/>
            </w:tcMar>
          </w:tcPr>
          <w:p>
            <w:r>
              <w:rPr>
                <w:rFonts w:ascii="Calibri" w:cs="Calibri" w:eastAsia="Calibri" w:hAnsi="Calibri"/>
                <w:color w:val="1A2332"/>
                <w:sz w:val="19"/>
                <w:szCs w:val="19"/>
              </w:rPr>
              <w:t xml:space="preserve">Incident de session</w:t>
            </w:r>
          </w:p>
        </w:tc>
      </w:tr>
    </w:tbl>
    <w:p>
      <w:pPr>
        <w:pStyle w:val="Heading1"/>
        <w:spacing w:after="200" w:before="360" w:line="312"/>
      </w:pPr>
      <w:bookmarkStart w:id="100057" w:name="_Toc100057"/>
      <w:r>
        <w:rPr>
          <w:rFonts w:ascii="Calibri" w:cs="Calibri" w:eastAsia="Calibri" w:hAnsi="Calibri"/>
          <w:b/>
          <w:bCs/>
          <w:color w:val="1A2332"/>
          <w:sz w:val="28"/>
          <w:szCs w:val="28"/>
        </w:rPr>
        <w:t xml:space="preserve">11. Règles d’examen et agrément</w:t>
      </w:r>
      <w:bookmarkEnd w:id="100057"/>
    </w:p>
    <w:p>
      <w:pPr>
        <w:pBdr>
          <w:bottom w:val="single" w:color="CE1126" w:sz="6"/>
        </w:pBdr>
        <w:spacing w:after="160"/>
      </w:pPr>
    </w:p>
    <w:p>
      <w:pPr>
        <w:pStyle w:val="Heading2"/>
        <w:spacing w:after="120" w:before="240" w:line="312"/>
      </w:pPr>
      <w:bookmarkStart w:id="100058" w:name="_Toc100058"/>
      <w:r>
        <w:rPr>
          <w:rFonts w:ascii="Calibri" w:cs="Calibri" w:eastAsia="Calibri" w:hAnsi="Calibri"/>
          <w:b/>
          <w:bCs/>
          <w:color w:val="2C5F8A"/>
          <w:sz w:val="22"/>
          <w:szCs w:val="22"/>
        </w:rPr>
        <w:t xml:space="preserve">11.1 Paramétrage de l’examen</w:t>
      </w:r>
      <w:bookmarkEnd w:id="100058"/>
    </w:p>
    <w:tbl>
      <w:tblPr>
        <w:tblW w:type="pct" w:w="100%"/>
        <w:tblBorders>
          <w:top w:val="single" w:color="D0D5DD" w:sz="1"/>
          <w:left w:val="single" w:color="D0D5DD" w:sz="1"/>
          <w:bottom w:val="single" w:color="D0D5DD" w:sz="1"/>
          <w:right w:val="single" w:color="D0D5DD" w:sz="1"/>
          <w:insideH w:val="single" w:color="D0D5DD" w:sz="1"/>
          <w:insideV w:val="single" w:color="D0D5DD" w:sz="1"/>
        </w:tblBorders>
      </w:tblPr>
      <w:tblGrid>
        <w:gridCol w:w="100"/>
        <w:gridCol w:w="100"/>
        <w:gridCol w:w="100"/>
      </w:tblGrid>
      <w:tr>
        <w:trPr>
          <w:cantSplit/>
          <w:tblHeader/>
        </w:trPr>
        <w:tc>
          <w:tcPr>
            <w:tcW w:type="pct" w:w="35%"/>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Paramètre</w:t>
            </w:r>
          </w:p>
        </w:tc>
        <w:tc>
          <w:tcPr>
            <w:tcW w:type="pct" w:w="35%"/>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Valeur proposée</w:t>
            </w:r>
          </w:p>
        </w:tc>
        <w:tc>
          <w:tcPr>
            <w:tcW w:type="pct" w:w="30%"/>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Configurable</w:t>
            </w:r>
          </w:p>
        </w:tc>
      </w:tr>
      <w:tr>
        <w:trPr>
          <w:cantSplit/>
        </w:trPr>
        <w:tc>
          <w:tcPr>
            <w:tcW w:type="pct" w:w="35%"/>
            <w:shd w:fill="FFFFFF" w:val="clear"/>
            <w:tcMar>
              <w:top w:type="dxa" w:w="50"/>
              <w:left w:type="dxa" w:w="100"/>
              <w:bottom w:type="dxa" w:w="50"/>
              <w:right w:type="dxa" w:w="100"/>
            </w:tcMar>
          </w:tcPr>
          <w:p>
            <w:r>
              <w:rPr>
                <w:rFonts w:ascii="Calibri" w:cs="Calibri" w:eastAsia="Calibri" w:hAnsi="Calibri"/>
                <w:color w:val="1A2332"/>
                <w:sz w:val="19"/>
                <w:szCs w:val="19"/>
              </w:rPr>
              <w:t xml:space="preserve">Nombre de questions</w:t>
            </w:r>
          </w:p>
        </w:tc>
        <w:tc>
          <w:tcPr>
            <w:tcW w:type="pct" w:w="35%"/>
            <w:shd w:fill="FFFFFF" w:val="clear"/>
            <w:tcMar>
              <w:top w:type="dxa" w:w="50"/>
              <w:left w:type="dxa" w:w="100"/>
              <w:bottom w:type="dxa" w:w="50"/>
              <w:right w:type="dxa" w:w="100"/>
            </w:tcMar>
          </w:tcPr>
          <w:p>
            <w:r>
              <w:rPr>
                <w:rFonts w:ascii="Calibri" w:cs="Calibri" w:eastAsia="Calibri" w:hAnsi="Calibri"/>
                <w:color w:val="1A2332"/>
                <w:sz w:val="19"/>
                <w:szCs w:val="19"/>
              </w:rPr>
              <w:t xml:space="preserve">40</w:t>
            </w:r>
          </w:p>
        </w:tc>
        <w:tc>
          <w:tcPr>
            <w:tcW w:type="pct" w:w="30%"/>
            <w:shd w:fill="FFFFFF" w:val="clear"/>
            <w:tcMar>
              <w:top w:type="dxa" w:w="50"/>
              <w:left w:type="dxa" w:w="100"/>
              <w:bottom w:type="dxa" w:w="50"/>
              <w:right w:type="dxa" w:w="100"/>
            </w:tcMar>
          </w:tcPr>
          <w:p>
            <w:r>
              <w:rPr>
                <w:rFonts w:ascii="Calibri" w:cs="Calibri" w:eastAsia="Calibri" w:hAnsi="Calibri"/>
                <w:color w:val="1A2332"/>
                <w:sz w:val="19"/>
                <w:szCs w:val="19"/>
              </w:rPr>
              <w:t xml:space="preserve">Oui</w:t>
            </w:r>
          </w:p>
        </w:tc>
      </w:tr>
      <w:tr>
        <w:trPr>
          <w:cantSplit/>
        </w:trPr>
        <w:tc>
          <w:tcPr>
            <w:tcW w:type="pct" w:w="35%"/>
            <w:shd w:fill="F5F7FA" w:val="clear"/>
            <w:tcMar>
              <w:top w:type="dxa" w:w="50"/>
              <w:left w:type="dxa" w:w="100"/>
              <w:bottom w:type="dxa" w:w="50"/>
              <w:right w:type="dxa" w:w="100"/>
            </w:tcMar>
          </w:tcPr>
          <w:p>
            <w:r>
              <w:rPr>
                <w:rFonts w:ascii="Calibri" w:cs="Calibri" w:eastAsia="Calibri" w:hAnsi="Calibri"/>
                <w:color w:val="1A2332"/>
                <w:sz w:val="19"/>
                <w:szCs w:val="19"/>
              </w:rPr>
              <w:t xml:space="preserve">Durée</w:t>
            </w:r>
          </w:p>
        </w:tc>
        <w:tc>
          <w:tcPr>
            <w:tcW w:type="pct" w:w="35%"/>
            <w:shd w:fill="F5F7FA" w:val="clear"/>
            <w:tcMar>
              <w:top w:type="dxa" w:w="50"/>
              <w:left w:type="dxa" w:w="100"/>
              <w:bottom w:type="dxa" w:w="50"/>
              <w:right w:type="dxa" w:w="100"/>
            </w:tcMar>
          </w:tcPr>
          <w:p>
            <w:r>
              <w:rPr>
                <w:rFonts w:ascii="Calibri" w:cs="Calibri" w:eastAsia="Calibri" w:hAnsi="Calibri"/>
                <w:color w:val="1A2332"/>
                <w:sz w:val="19"/>
                <w:szCs w:val="19"/>
              </w:rPr>
              <w:t xml:space="preserve">30 minutes</w:t>
            </w:r>
          </w:p>
        </w:tc>
        <w:tc>
          <w:tcPr>
            <w:tcW w:type="pct" w:w="30%"/>
            <w:shd w:fill="F5F7FA" w:val="clear"/>
            <w:tcMar>
              <w:top w:type="dxa" w:w="50"/>
              <w:left w:type="dxa" w:w="100"/>
              <w:bottom w:type="dxa" w:w="50"/>
              <w:right w:type="dxa" w:w="100"/>
            </w:tcMar>
          </w:tcPr>
          <w:p>
            <w:r>
              <w:rPr>
                <w:rFonts w:ascii="Calibri" w:cs="Calibri" w:eastAsia="Calibri" w:hAnsi="Calibri"/>
                <w:color w:val="1A2332"/>
                <w:sz w:val="19"/>
                <w:szCs w:val="19"/>
              </w:rPr>
              <w:t xml:space="preserve">Oui</w:t>
            </w:r>
          </w:p>
        </w:tc>
      </w:tr>
      <w:tr>
        <w:trPr>
          <w:cantSplit/>
        </w:trPr>
        <w:tc>
          <w:tcPr>
            <w:tcW w:type="pct" w:w="35%"/>
            <w:shd w:fill="FFFFFF" w:val="clear"/>
            <w:tcMar>
              <w:top w:type="dxa" w:w="50"/>
              <w:left w:type="dxa" w:w="100"/>
              <w:bottom w:type="dxa" w:w="50"/>
              <w:right w:type="dxa" w:w="100"/>
            </w:tcMar>
          </w:tcPr>
          <w:p>
            <w:r>
              <w:rPr>
                <w:rFonts w:ascii="Calibri" w:cs="Calibri" w:eastAsia="Calibri" w:hAnsi="Calibri"/>
                <w:color w:val="1A2332"/>
                <w:sz w:val="19"/>
                <w:szCs w:val="19"/>
              </w:rPr>
              <w:t xml:space="preserve">Seuil de réussite</w:t>
            </w:r>
          </w:p>
        </w:tc>
        <w:tc>
          <w:tcPr>
            <w:tcW w:type="pct" w:w="35%"/>
            <w:shd w:fill="FFFFFF" w:val="clear"/>
            <w:tcMar>
              <w:top w:type="dxa" w:w="50"/>
              <w:left w:type="dxa" w:w="100"/>
              <w:bottom w:type="dxa" w:w="50"/>
              <w:right w:type="dxa" w:w="100"/>
            </w:tcMar>
          </w:tcPr>
          <w:p>
            <w:r>
              <w:rPr>
                <w:rFonts w:ascii="Calibri" w:cs="Calibri" w:eastAsia="Calibri" w:hAnsi="Calibri"/>
                <w:color w:val="1A2332"/>
                <w:sz w:val="19"/>
                <w:szCs w:val="19"/>
              </w:rPr>
              <w:t xml:space="preserve">35 bonnes réponses / 40</w:t>
            </w:r>
          </w:p>
        </w:tc>
        <w:tc>
          <w:tcPr>
            <w:tcW w:type="pct" w:w="30%"/>
            <w:shd w:fill="FFFFFF" w:val="clear"/>
            <w:tcMar>
              <w:top w:type="dxa" w:w="50"/>
              <w:left w:type="dxa" w:w="100"/>
              <w:bottom w:type="dxa" w:w="50"/>
              <w:right w:type="dxa" w:w="100"/>
            </w:tcMar>
          </w:tcPr>
          <w:p>
            <w:r>
              <w:rPr>
                <w:rFonts w:ascii="Calibri" w:cs="Calibri" w:eastAsia="Calibri" w:hAnsi="Calibri"/>
                <w:color w:val="1A2332"/>
                <w:sz w:val="19"/>
                <w:szCs w:val="19"/>
              </w:rPr>
              <w:t xml:space="preserve">Oui</w:t>
            </w:r>
          </w:p>
        </w:tc>
      </w:tr>
      <w:tr>
        <w:trPr>
          <w:cantSplit/>
        </w:trPr>
        <w:tc>
          <w:tcPr>
            <w:tcW w:type="pct" w:w="35%"/>
            <w:shd w:fill="F5F7FA" w:val="clear"/>
            <w:tcMar>
              <w:top w:type="dxa" w:w="50"/>
              <w:left w:type="dxa" w:w="100"/>
              <w:bottom w:type="dxa" w:w="50"/>
              <w:right w:type="dxa" w:w="100"/>
            </w:tcMar>
          </w:tcPr>
          <w:p>
            <w:r>
              <w:rPr>
                <w:rFonts w:ascii="Calibri" w:cs="Calibri" w:eastAsia="Calibri" w:hAnsi="Calibri"/>
                <w:color w:val="1A2332"/>
                <w:sz w:val="19"/>
                <w:szCs w:val="19"/>
              </w:rPr>
              <w:t xml:space="preserve">Tirage des questions</w:t>
            </w:r>
          </w:p>
        </w:tc>
        <w:tc>
          <w:tcPr>
            <w:tcW w:type="pct" w:w="35%"/>
            <w:shd w:fill="F5F7FA" w:val="clear"/>
            <w:tcMar>
              <w:top w:type="dxa" w:w="50"/>
              <w:left w:type="dxa" w:w="100"/>
              <w:bottom w:type="dxa" w:w="50"/>
              <w:right w:type="dxa" w:w="100"/>
            </w:tcMar>
          </w:tcPr>
          <w:p>
            <w:r>
              <w:rPr>
                <w:rFonts w:ascii="Calibri" w:cs="Calibri" w:eastAsia="Calibri" w:hAnsi="Calibri"/>
                <w:color w:val="1A2332"/>
                <w:sz w:val="19"/>
                <w:szCs w:val="19"/>
              </w:rPr>
              <w:t xml:space="preserve">Aléatoire</w:t>
            </w:r>
          </w:p>
        </w:tc>
        <w:tc>
          <w:tcPr>
            <w:tcW w:type="pct" w:w="30%"/>
            <w:shd w:fill="F5F7FA" w:val="clear"/>
            <w:tcMar>
              <w:top w:type="dxa" w:w="50"/>
              <w:left w:type="dxa" w:w="100"/>
              <w:bottom w:type="dxa" w:w="50"/>
              <w:right w:type="dxa" w:w="100"/>
            </w:tcMar>
          </w:tcPr>
          <w:p>
            <w:r>
              <w:rPr>
                <w:rFonts w:ascii="Calibri" w:cs="Calibri" w:eastAsia="Calibri" w:hAnsi="Calibri"/>
                <w:color w:val="1A2332"/>
                <w:sz w:val="19"/>
                <w:szCs w:val="19"/>
              </w:rPr>
              <w:t xml:space="preserve">Non</w:t>
            </w:r>
          </w:p>
        </w:tc>
      </w:tr>
      <w:tr>
        <w:trPr>
          <w:cantSplit/>
        </w:trPr>
        <w:tc>
          <w:tcPr>
            <w:tcW w:type="pct" w:w="35%"/>
            <w:shd w:fill="FFFFFF" w:val="clear"/>
            <w:tcMar>
              <w:top w:type="dxa" w:w="50"/>
              <w:left w:type="dxa" w:w="100"/>
              <w:bottom w:type="dxa" w:w="50"/>
              <w:right w:type="dxa" w:w="100"/>
            </w:tcMar>
          </w:tcPr>
          <w:p>
            <w:r>
              <w:rPr>
                <w:rFonts w:ascii="Calibri" w:cs="Calibri" w:eastAsia="Calibri" w:hAnsi="Calibri"/>
                <w:color w:val="1A2332"/>
                <w:sz w:val="19"/>
                <w:szCs w:val="19"/>
              </w:rPr>
              <w:t xml:space="preserve">Type de réponses</w:t>
            </w:r>
          </w:p>
        </w:tc>
        <w:tc>
          <w:tcPr>
            <w:tcW w:type="pct" w:w="35%"/>
            <w:shd w:fill="FFFFFF" w:val="clear"/>
            <w:tcMar>
              <w:top w:type="dxa" w:w="50"/>
              <w:left w:type="dxa" w:w="100"/>
              <w:bottom w:type="dxa" w:w="50"/>
              <w:right w:type="dxa" w:w="100"/>
            </w:tcMar>
          </w:tcPr>
          <w:p>
            <w:r>
              <w:rPr>
                <w:rFonts w:ascii="Calibri" w:cs="Calibri" w:eastAsia="Calibri" w:hAnsi="Calibri"/>
                <w:color w:val="1A2332"/>
                <w:sz w:val="19"/>
                <w:szCs w:val="19"/>
              </w:rPr>
              <w:t xml:space="preserve">Une ou multiples selon le type</w:t>
            </w:r>
          </w:p>
        </w:tc>
        <w:tc>
          <w:tcPr>
            <w:tcW w:type="pct" w:w="30%"/>
            <w:shd w:fill="FFFFFF" w:val="clear"/>
            <w:tcMar>
              <w:top w:type="dxa" w:w="50"/>
              <w:left w:type="dxa" w:w="100"/>
              <w:bottom w:type="dxa" w:w="50"/>
              <w:right w:type="dxa" w:w="100"/>
            </w:tcMar>
          </w:tcPr>
          <w:p>
            <w:r>
              <w:rPr>
                <w:rFonts w:ascii="Calibri" w:cs="Calibri" w:eastAsia="Calibri" w:hAnsi="Calibri"/>
                <w:color w:val="1A2332"/>
                <w:sz w:val="19"/>
                <w:szCs w:val="19"/>
              </w:rPr>
              <w:t xml:space="preserve">Oui</w:t>
            </w:r>
          </w:p>
        </w:tc>
      </w:tr>
      <w:tr>
        <w:trPr>
          <w:cantSplit/>
        </w:trPr>
        <w:tc>
          <w:tcPr>
            <w:tcW w:type="pct" w:w="35%"/>
            <w:shd w:fill="F5F7FA" w:val="clear"/>
            <w:tcMar>
              <w:top w:type="dxa" w:w="50"/>
              <w:left w:type="dxa" w:w="100"/>
              <w:bottom w:type="dxa" w:w="50"/>
              <w:right w:type="dxa" w:w="100"/>
            </w:tcMar>
          </w:tcPr>
          <w:p>
            <w:r>
              <w:rPr>
                <w:rFonts w:ascii="Calibri" w:cs="Calibri" w:eastAsia="Calibri" w:hAnsi="Calibri"/>
                <w:color w:val="1A2332"/>
                <w:sz w:val="19"/>
                <w:szCs w:val="19"/>
              </w:rPr>
              <w:t xml:space="preserve">Résultat</w:t>
            </w:r>
          </w:p>
        </w:tc>
        <w:tc>
          <w:tcPr>
            <w:tcW w:type="pct" w:w="35%"/>
            <w:shd w:fill="F5F7FA" w:val="clear"/>
            <w:tcMar>
              <w:top w:type="dxa" w:w="50"/>
              <w:left w:type="dxa" w:w="100"/>
              <w:bottom w:type="dxa" w:w="50"/>
              <w:right w:type="dxa" w:w="100"/>
            </w:tcMar>
          </w:tcPr>
          <w:p>
            <w:r>
              <w:rPr>
                <w:rFonts w:ascii="Calibri" w:cs="Calibri" w:eastAsia="Calibri" w:hAnsi="Calibri"/>
                <w:color w:val="1A2332"/>
                <w:sz w:val="19"/>
                <w:szCs w:val="19"/>
              </w:rPr>
              <w:t xml:space="preserve">Immédiat</w:t>
            </w:r>
          </w:p>
        </w:tc>
        <w:tc>
          <w:tcPr>
            <w:tcW w:type="pct" w:w="30%"/>
            <w:shd w:fill="F5F7FA" w:val="clear"/>
            <w:tcMar>
              <w:top w:type="dxa" w:w="50"/>
              <w:left w:type="dxa" w:w="100"/>
              <w:bottom w:type="dxa" w:w="50"/>
              <w:right w:type="dxa" w:w="100"/>
            </w:tcMar>
          </w:tcPr>
          <w:p>
            <w:r>
              <w:rPr>
                <w:rFonts w:ascii="Calibri" w:cs="Calibri" w:eastAsia="Calibri" w:hAnsi="Calibri"/>
                <w:color w:val="1A2332"/>
                <w:sz w:val="19"/>
                <w:szCs w:val="19"/>
              </w:rPr>
              <w:t xml:space="preserve">Non</w:t>
            </w:r>
          </w:p>
        </w:tc>
      </w:tr>
      <w:tr>
        <w:trPr>
          <w:cantSplit/>
        </w:trPr>
        <w:tc>
          <w:tcPr>
            <w:tcW w:type="pct" w:w="35%"/>
            <w:shd w:fill="FFFFFF" w:val="clear"/>
            <w:tcMar>
              <w:top w:type="dxa" w:w="50"/>
              <w:left w:type="dxa" w:w="100"/>
              <w:bottom w:type="dxa" w:w="50"/>
              <w:right w:type="dxa" w:w="100"/>
            </w:tcMar>
          </w:tcPr>
          <w:p>
            <w:r>
              <w:rPr>
                <w:rFonts w:ascii="Calibri" w:cs="Calibri" w:eastAsia="Calibri" w:hAnsi="Calibri"/>
                <w:color w:val="1A2332"/>
                <w:sz w:val="19"/>
                <w:szCs w:val="19"/>
              </w:rPr>
              <w:t xml:space="preserve">Délai avant nouvelle tentative</w:t>
            </w:r>
          </w:p>
        </w:tc>
        <w:tc>
          <w:tcPr>
            <w:tcW w:type="pct" w:w="35%"/>
            <w:shd w:fill="FFFFFF" w:val="clear"/>
            <w:tcMar>
              <w:top w:type="dxa" w:w="50"/>
              <w:left w:type="dxa" w:w="100"/>
              <w:bottom w:type="dxa" w:w="50"/>
              <w:right w:type="dxa" w:w="100"/>
            </w:tcMar>
          </w:tcPr>
          <w:p>
            <w:r>
              <w:rPr>
                <w:rFonts w:ascii="Calibri" w:cs="Calibri" w:eastAsia="Calibri" w:hAnsi="Calibri"/>
                <w:color w:val="1A2332"/>
                <w:sz w:val="19"/>
                <w:szCs w:val="19"/>
              </w:rPr>
              <w:t xml:space="preserve">48h ou 7 jours</w:t>
            </w:r>
          </w:p>
        </w:tc>
        <w:tc>
          <w:tcPr>
            <w:tcW w:type="pct" w:w="30%"/>
            <w:shd w:fill="FFFFFF" w:val="clear"/>
            <w:tcMar>
              <w:top w:type="dxa" w:w="50"/>
              <w:left w:type="dxa" w:w="100"/>
              <w:bottom w:type="dxa" w:w="50"/>
              <w:right w:type="dxa" w:w="100"/>
            </w:tcMar>
          </w:tcPr>
          <w:p>
            <w:r>
              <w:rPr>
                <w:rFonts w:ascii="Calibri" w:cs="Calibri" w:eastAsia="Calibri" w:hAnsi="Calibri"/>
                <w:color w:val="1A2332"/>
                <w:sz w:val="19"/>
                <w:szCs w:val="19"/>
              </w:rPr>
              <w:t xml:space="preserve">Oui</w:t>
            </w:r>
          </w:p>
        </w:tc>
      </w:tr>
      <w:tr>
        <w:trPr>
          <w:cantSplit/>
        </w:trPr>
        <w:tc>
          <w:tcPr>
            <w:tcW w:type="pct" w:w="35%"/>
            <w:shd w:fill="F5F7FA" w:val="clear"/>
            <w:tcMar>
              <w:top w:type="dxa" w:w="50"/>
              <w:left w:type="dxa" w:w="100"/>
              <w:bottom w:type="dxa" w:w="50"/>
              <w:right w:type="dxa" w:w="100"/>
            </w:tcMar>
          </w:tcPr>
          <w:p>
            <w:r>
              <w:rPr>
                <w:rFonts w:ascii="Calibri" w:cs="Calibri" w:eastAsia="Calibri" w:hAnsi="Calibri"/>
                <w:color w:val="1A2332"/>
                <w:sz w:val="19"/>
                <w:szCs w:val="19"/>
              </w:rPr>
              <w:t xml:space="preserve">Certificat numérique</w:t>
            </w:r>
          </w:p>
        </w:tc>
        <w:tc>
          <w:tcPr>
            <w:tcW w:type="pct" w:w="35%"/>
            <w:shd w:fill="F5F7FA" w:val="clear"/>
            <w:tcMar>
              <w:top w:type="dxa" w:w="50"/>
              <w:left w:type="dxa" w:w="100"/>
              <w:bottom w:type="dxa" w:w="50"/>
              <w:right w:type="dxa" w:w="100"/>
            </w:tcMar>
          </w:tcPr>
          <w:p>
            <w:r>
              <w:rPr>
                <w:rFonts w:ascii="Calibri" w:cs="Calibri" w:eastAsia="Calibri" w:hAnsi="Calibri"/>
                <w:color w:val="1A2332"/>
                <w:sz w:val="19"/>
                <w:szCs w:val="19"/>
              </w:rPr>
              <w:t xml:space="preserve">Unique par réussite</w:t>
            </w:r>
          </w:p>
        </w:tc>
        <w:tc>
          <w:tcPr>
            <w:tcW w:type="pct" w:w="30%"/>
            <w:shd w:fill="F5F7FA" w:val="clear"/>
            <w:tcMar>
              <w:top w:type="dxa" w:w="50"/>
              <w:left w:type="dxa" w:w="100"/>
              <w:bottom w:type="dxa" w:w="50"/>
              <w:right w:type="dxa" w:w="100"/>
            </w:tcMar>
          </w:tcPr>
          <w:p>
            <w:r>
              <w:rPr>
                <w:rFonts w:ascii="Calibri" w:cs="Calibri" w:eastAsia="Calibri" w:hAnsi="Calibri"/>
                <w:color w:val="1A2332"/>
                <w:sz w:val="19"/>
                <w:szCs w:val="19"/>
              </w:rPr>
              <w:t xml:space="preserve">Non</w:t>
            </w:r>
          </w:p>
        </w:tc>
      </w:tr>
    </w:tbl>
    <w:p>
      <w:pPr>
        <w:pStyle w:val="Heading2"/>
        <w:spacing w:after="120" w:before="240" w:line="312"/>
      </w:pPr>
      <w:bookmarkStart w:id="100059" w:name="_Toc100059"/>
      <w:r>
        <w:rPr>
          <w:rFonts w:ascii="Calibri" w:cs="Calibri" w:eastAsia="Calibri" w:hAnsi="Calibri"/>
          <w:b/>
          <w:bCs/>
          <w:color w:val="2C5F8A"/>
          <w:sz w:val="22"/>
          <w:szCs w:val="22"/>
        </w:rPr>
        <w:t xml:space="preserve">11.2 Conditions d’agrément des centres</w:t>
      </w:r>
      <w:bookmarkEnd w:id="100059"/>
    </w:p>
    <w:p>
      <w:pPr>
        <w:spacing w:after="120" w:line="312"/>
        <w:jc w:val="both"/>
      </w:pPr>
      <w:r>
        <w:rPr>
          <w:rFonts w:ascii="Calibri" w:cs="Calibri" w:eastAsia="Calibri" w:hAnsi="Calibri"/>
          <w:color w:val="1A2332"/>
          <w:sz w:val="21"/>
          <w:szCs w:val="21"/>
        </w:rPr>
        <w:t xml:space="preserve">L’État ou l’autorité compétente définit un cahier des charges strict pour l’agrément des centres d’examen.</w:t>
      </w:r>
    </w:p>
    <w:tbl>
      <w:tblPr>
        <w:tblW w:type="pct" w:w="100%"/>
        <w:tblBorders>
          <w:top w:val="single" w:color="D0D5DD" w:sz="1"/>
          <w:left w:val="single" w:color="D0D5DD" w:sz="1"/>
          <w:bottom w:val="single" w:color="D0D5DD" w:sz="1"/>
          <w:right w:val="single" w:color="D0D5DD" w:sz="1"/>
          <w:insideH w:val="single" w:color="D0D5DD" w:sz="1"/>
          <w:insideV w:val="single" w:color="D0D5DD" w:sz="1"/>
        </w:tblBorders>
      </w:tblPr>
      <w:tblGrid>
        <w:gridCol w:w="100"/>
        <w:gridCol w:w="100"/>
        <w:gridCol w:w="100"/>
      </w:tblGrid>
      <w:tr>
        <w:trPr>
          <w:cantSplit/>
          <w:tblHeader/>
        </w:trPr>
        <w:tc>
          <w:tcPr>
            <w:tcW w:type="pct" w:w="25%"/>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Critère</w:t>
            </w:r>
          </w:p>
        </w:tc>
        <w:tc>
          <w:tcPr>
            <w:tcW w:type="pct" w:w="40%"/>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Exigence</w:t>
            </w:r>
          </w:p>
        </w:tc>
        <w:tc>
          <w:tcPr>
            <w:tcW w:type="pct" w:w="35%"/>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Vérification</w:t>
            </w:r>
          </w:p>
        </w:tc>
      </w:tr>
      <w:tr>
        <w:trPr>
          <w:cantSplit/>
        </w:trPr>
        <w:tc>
          <w:tcPr>
            <w:tcW w:type="pct" w:w="25%"/>
            <w:shd w:fill="FFFFFF" w:val="clear"/>
            <w:tcMar>
              <w:top w:type="dxa" w:w="50"/>
              <w:left w:type="dxa" w:w="100"/>
              <w:bottom w:type="dxa" w:w="50"/>
              <w:right w:type="dxa" w:w="100"/>
            </w:tcMar>
          </w:tcPr>
          <w:p>
            <w:r>
              <w:rPr>
                <w:rFonts w:ascii="Calibri" w:cs="Calibri" w:eastAsia="Calibri" w:hAnsi="Calibri"/>
                <w:color w:val="1A2332"/>
                <w:sz w:val="19"/>
                <w:szCs w:val="19"/>
              </w:rPr>
              <w:t xml:space="preserve">Salle</w:t>
            </w:r>
          </w:p>
        </w:tc>
        <w:tc>
          <w:tcPr>
            <w:tcW w:type="pct" w:w="40%"/>
            <w:shd w:fill="FFFFFF" w:val="clear"/>
            <w:tcMar>
              <w:top w:type="dxa" w:w="50"/>
              <w:left w:type="dxa" w:w="100"/>
              <w:bottom w:type="dxa" w:w="50"/>
              <w:right w:type="dxa" w:w="100"/>
            </w:tcMar>
          </w:tcPr>
          <w:p>
            <w:r>
              <w:rPr>
                <w:rFonts w:ascii="Calibri" w:cs="Calibri" w:eastAsia="Calibri" w:hAnsi="Calibri"/>
                <w:color w:val="1A2332"/>
                <w:sz w:val="19"/>
                <w:szCs w:val="19"/>
              </w:rPr>
              <w:t xml:space="preserve">Fermée et sécurisée</w:t>
            </w:r>
          </w:p>
        </w:tc>
        <w:tc>
          <w:tcPr>
            <w:tcW w:type="pct" w:w="35%"/>
            <w:shd w:fill="FFFFFF" w:val="clear"/>
            <w:tcMar>
              <w:top w:type="dxa" w:w="50"/>
              <w:left w:type="dxa" w:w="100"/>
              <w:bottom w:type="dxa" w:w="50"/>
              <w:right w:type="dxa" w:w="100"/>
            </w:tcMar>
          </w:tcPr>
          <w:p>
            <w:r>
              <w:rPr>
                <w:rFonts w:ascii="Calibri" w:cs="Calibri" w:eastAsia="Calibri" w:hAnsi="Calibri"/>
                <w:color w:val="1A2332"/>
                <w:sz w:val="19"/>
                <w:szCs w:val="19"/>
              </w:rPr>
              <w:t xml:space="preserve">Inspection physique</w:t>
            </w:r>
          </w:p>
        </w:tc>
      </w:tr>
      <w:tr>
        <w:trPr>
          <w:cantSplit/>
        </w:trPr>
        <w:tc>
          <w:tcPr>
            <w:tcW w:type="pct" w:w="25%"/>
            <w:shd w:fill="F5F7FA" w:val="clear"/>
            <w:tcMar>
              <w:top w:type="dxa" w:w="50"/>
              <w:left w:type="dxa" w:w="100"/>
              <w:bottom w:type="dxa" w:w="50"/>
              <w:right w:type="dxa" w:w="100"/>
            </w:tcMar>
          </w:tcPr>
          <w:p>
            <w:r>
              <w:rPr>
                <w:rFonts w:ascii="Calibri" w:cs="Calibri" w:eastAsia="Calibri" w:hAnsi="Calibri"/>
                <w:color w:val="1A2332"/>
                <w:sz w:val="19"/>
                <w:szCs w:val="19"/>
              </w:rPr>
              <w:t xml:space="preserve">Équipement</w:t>
            </w:r>
          </w:p>
        </w:tc>
        <w:tc>
          <w:tcPr>
            <w:tcW w:type="pct" w:w="40%"/>
            <w:shd w:fill="F5F7FA" w:val="clear"/>
            <w:tcMar>
              <w:top w:type="dxa" w:w="50"/>
              <w:left w:type="dxa" w:w="100"/>
              <w:bottom w:type="dxa" w:w="50"/>
              <w:right w:type="dxa" w:w="100"/>
            </w:tcMar>
          </w:tcPr>
          <w:p>
            <w:r>
              <w:rPr>
                <w:rFonts w:ascii="Calibri" w:cs="Calibri" w:eastAsia="Calibri" w:hAnsi="Calibri"/>
                <w:color w:val="1A2332"/>
                <w:sz w:val="19"/>
                <w:szCs w:val="19"/>
              </w:rPr>
              <w:t xml:space="preserve">Ordinateurs ou tablettes certifiés</w:t>
            </w:r>
          </w:p>
        </w:tc>
        <w:tc>
          <w:tcPr>
            <w:tcW w:type="pct" w:w="35%"/>
            <w:shd w:fill="F5F7FA" w:val="clear"/>
            <w:tcMar>
              <w:top w:type="dxa" w:w="50"/>
              <w:left w:type="dxa" w:w="100"/>
              <w:bottom w:type="dxa" w:w="50"/>
              <w:right w:type="dxa" w:w="100"/>
            </w:tcMar>
          </w:tcPr>
          <w:p>
            <w:r>
              <w:rPr>
                <w:rFonts w:ascii="Calibri" w:cs="Calibri" w:eastAsia="Calibri" w:hAnsi="Calibri"/>
                <w:color w:val="1A2332"/>
                <w:sz w:val="19"/>
                <w:szCs w:val="19"/>
              </w:rPr>
              <w:t xml:space="preserve">Inventaire technique</w:t>
            </w:r>
          </w:p>
        </w:tc>
      </w:tr>
      <w:tr>
        <w:trPr>
          <w:cantSplit/>
        </w:trPr>
        <w:tc>
          <w:tcPr>
            <w:tcW w:type="pct" w:w="25%"/>
            <w:shd w:fill="FFFFFF" w:val="clear"/>
            <w:tcMar>
              <w:top w:type="dxa" w:w="50"/>
              <w:left w:type="dxa" w:w="100"/>
              <w:bottom w:type="dxa" w:w="50"/>
              <w:right w:type="dxa" w:w="100"/>
            </w:tcMar>
          </w:tcPr>
          <w:p>
            <w:r>
              <w:rPr>
                <w:rFonts w:ascii="Calibri" w:cs="Calibri" w:eastAsia="Calibri" w:hAnsi="Calibri"/>
                <w:color w:val="1A2332"/>
                <w:sz w:val="19"/>
                <w:szCs w:val="19"/>
              </w:rPr>
              <w:t xml:space="preserve">Connectivité</w:t>
            </w:r>
          </w:p>
        </w:tc>
        <w:tc>
          <w:tcPr>
            <w:tcW w:type="pct" w:w="40%"/>
            <w:shd w:fill="FFFFFF" w:val="clear"/>
            <w:tcMar>
              <w:top w:type="dxa" w:w="50"/>
              <w:left w:type="dxa" w:w="100"/>
              <w:bottom w:type="dxa" w:w="50"/>
              <w:right w:type="dxa" w:w="100"/>
            </w:tcMar>
          </w:tcPr>
          <w:p>
            <w:r>
              <w:rPr>
                <w:rFonts w:ascii="Calibri" w:cs="Calibri" w:eastAsia="Calibri" w:hAnsi="Calibri"/>
                <w:color w:val="1A2332"/>
                <w:sz w:val="19"/>
                <w:szCs w:val="19"/>
              </w:rPr>
              <w:t xml:space="preserve">Connexion internet stable</w:t>
            </w:r>
          </w:p>
        </w:tc>
        <w:tc>
          <w:tcPr>
            <w:tcW w:type="pct" w:w="35%"/>
            <w:shd w:fill="FFFFFF" w:val="clear"/>
            <w:tcMar>
              <w:top w:type="dxa" w:w="50"/>
              <w:left w:type="dxa" w:w="100"/>
              <w:bottom w:type="dxa" w:w="50"/>
              <w:right w:type="dxa" w:w="100"/>
            </w:tcMar>
          </w:tcPr>
          <w:p>
            <w:r>
              <w:rPr>
                <w:rFonts w:ascii="Calibri" w:cs="Calibri" w:eastAsia="Calibri" w:hAnsi="Calibri"/>
                <w:color w:val="1A2332"/>
                <w:sz w:val="19"/>
                <w:szCs w:val="19"/>
              </w:rPr>
              <w:t xml:space="preserve">Test de débit</w:t>
            </w:r>
          </w:p>
        </w:tc>
      </w:tr>
      <w:tr>
        <w:trPr>
          <w:cantSplit/>
        </w:trPr>
        <w:tc>
          <w:tcPr>
            <w:tcW w:type="pct" w:w="25%"/>
            <w:shd w:fill="F5F7FA" w:val="clear"/>
            <w:tcMar>
              <w:top w:type="dxa" w:w="50"/>
              <w:left w:type="dxa" w:w="100"/>
              <w:bottom w:type="dxa" w:w="50"/>
              <w:right w:type="dxa" w:w="100"/>
            </w:tcMar>
          </w:tcPr>
          <w:p>
            <w:r>
              <w:rPr>
                <w:rFonts w:ascii="Calibri" w:cs="Calibri" w:eastAsia="Calibri" w:hAnsi="Calibri"/>
                <w:color w:val="1A2332"/>
                <w:sz w:val="19"/>
                <w:szCs w:val="19"/>
              </w:rPr>
              <w:t xml:space="preserve">Surveillance</w:t>
            </w:r>
          </w:p>
        </w:tc>
        <w:tc>
          <w:tcPr>
            <w:tcW w:type="pct" w:w="40%"/>
            <w:shd w:fill="F5F7FA" w:val="clear"/>
            <w:tcMar>
              <w:top w:type="dxa" w:w="50"/>
              <w:left w:type="dxa" w:w="100"/>
              <w:bottom w:type="dxa" w:w="50"/>
              <w:right w:type="dxa" w:w="100"/>
            </w:tcMar>
          </w:tcPr>
          <w:p>
            <w:r>
              <w:rPr>
                <w:rFonts w:ascii="Calibri" w:cs="Calibri" w:eastAsia="Calibri" w:hAnsi="Calibri"/>
                <w:color w:val="1A2332"/>
                <w:sz w:val="19"/>
                <w:szCs w:val="19"/>
              </w:rPr>
              <w:t xml:space="preserve">Caméra de surveillance</w:t>
            </w:r>
          </w:p>
        </w:tc>
        <w:tc>
          <w:tcPr>
            <w:tcW w:type="pct" w:w="35%"/>
            <w:shd w:fill="F5F7FA" w:val="clear"/>
            <w:tcMar>
              <w:top w:type="dxa" w:w="50"/>
              <w:left w:type="dxa" w:w="100"/>
              <w:bottom w:type="dxa" w:w="50"/>
              <w:right w:type="dxa" w:w="100"/>
            </w:tcMar>
          </w:tcPr>
          <w:p>
            <w:r>
              <w:rPr>
                <w:rFonts w:ascii="Calibri" w:cs="Calibri" w:eastAsia="Calibri" w:hAnsi="Calibri"/>
                <w:color w:val="1A2332"/>
                <w:sz w:val="19"/>
                <w:szCs w:val="19"/>
              </w:rPr>
              <w:t xml:space="preserve">Vérification installation</w:t>
            </w:r>
          </w:p>
        </w:tc>
      </w:tr>
      <w:tr>
        <w:trPr>
          <w:cantSplit/>
        </w:trPr>
        <w:tc>
          <w:tcPr>
            <w:tcW w:type="pct" w:w="25%"/>
            <w:shd w:fill="FFFFFF" w:val="clear"/>
            <w:tcMar>
              <w:top w:type="dxa" w:w="50"/>
              <w:left w:type="dxa" w:w="100"/>
              <w:bottom w:type="dxa" w:w="50"/>
              <w:right w:type="dxa" w:w="100"/>
            </w:tcMar>
          </w:tcPr>
          <w:p>
            <w:r>
              <w:rPr>
                <w:rFonts w:ascii="Calibri" w:cs="Calibri" w:eastAsia="Calibri" w:hAnsi="Calibri"/>
                <w:color w:val="1A2332"/>
                <w:sz w:val="19"/>
                <w:szCs w:val="19"/>
              </w:rPr>
              <w:t xml:space="preserve">Personnel</w:t>
            </w:r>
          </w:p>
        </w:tc>
        <w:tc>
          <w:tcPr>
            <w:tcW w:type="pct" w:w="40%"/>
            <w:shd w:fill="FFFFFF" w:val="clear"/>
            <w:tcMar>
              <w:top w:type="dxa" w:w="50"/>
              <w:left w:type="dxa" w:w="100"/>
              <w:bottom w:type="dxa" w:w="50"/>
              <w:right w:type="dxa" w:w="100"/>
            </w:tcMar>
          </w:tcPr>
          <w:p>
            <w:r>
              <w:rPr>
                <w:rFonts w:ascii="Calibri" w:cs="Calibri" w:eastAsia="Calibri" w:hAnsi="Calibri"/>
                <w:color w:val="1A2332"/>
                <w:sz w:val="19"/>
                <w:szCs w:val="19"/>
              </w:rPr>
              <w:t xml:space="preserve">Agent de supervision formé</w:t>
            </w:r>
          </w:p>
        </w:tc>
        <w:tc>
          <w:tcPr>
            <w:tcW w:type="pct" w:w="35%"/>
            <w:shd w:fill="FFFFFF" w:val="clear"/>
            <w:tcMar>
              <w:top w:type="dxa" w:w="50"/>
              <w:left w:type="dxa" w:w="100"/>
              <w:bottom w:type="dxa" w:w="50"/>
              <w:right w:type="dxa" w:w="100"/>
            </w:tcMar>
          </w:tcPr>
          <w:p>
            <w:r>
              <w:rPr>
                <w:rFonts w:ascii="Calibri" w:cs="Calibri" w:eastAsia="Calibri" w:hAnsi="Calibri"/>
                <w:color w:val="1A2332"/>
                <w:sz w:val="19"/>
                <w:szCs w:val="19"/>
              </w:rPr>
              <w:t xml:space="preserve">Certification formation</w:t>
            </w:r>
          </w:p>
        </w:tc>
      </w:tr>
      <w:tr>
        <w:trPr>
          <w:cantSplit/>
        </w:trPr>
        <w:tc>
          <w:tcPr>
            <w:tcW w:type="pct" w:w="25%"/>
            <w:shd w:fill="F5F7FA" w:val="clear"/>
            <w:tcMar>
              <w:top w:type="dxa" w:w="50"/>
              <w:left w:type="dxa" w:w="100"/>
              <w:bottom w:type="dxa" w:w="50"/>
              <w:right w:type="dxa" w:w="100"/>
            </w:tcMar>
          </w:tcPr>
          <w:p>
            <w:r>
              <w:rPr>
                <w:rFonts w:ascii="Calibri" w:cs="Calibri" w:eastAsia="Calibri" w:hAnsi="Calibri"/>
                <w:color w:val="1A2332"/>
                <w:sz w:val="19"/>
                <w:szCs w:val="19"/>
              </w:rPr>
              <w:t xml:space="preserve">Énergie</w:t>
            </w:r>
          </w:p>
        </w:tc>
        <w:tc>
          <w:tcPr>
            <w:tcW w:type="pct" w:w="40%"/>
            <w:shd w:fill="F5F7FA" w:val="clear"/>
            <w:tcMar>
              <w:top w:type="dxa" w:w="50"/>
              <w:left w:type="dxa" w:w="100"/>
              <w:bottom w:type="dxa" w:w="50"/>
              <w:right w:type="dxa" w:w="100"/>
            </w:tcMar>
          </w:tcPr>
          <w:p>
            <w:r>
              <w:rPr>
                <w:rFonts w:ascii="Calibri" w:cs="Calibri" w:eastAsia="Calibri" w:hAnsi="Calibri"/>
                <w:color w:val="1A2332"/>
                <w:sz w:val="19"/>
                <w:szCs w:val="19"/>
              </w:rPr>
              <w:t xml:space="preserve">Système électrique fiable + onduleur/générateur</w:t>
            </w:r>
          </w:p>
        </w:tc>
        <w:tc>
          <w:tcPr>
            <w:tcW w:type="pct" w:w="35%"/>
            <w:shd w:fill="F5F7FA" w:val="clear"/>
            <w:tcMar>
              <w:top w:type="dxa" w:w="50"/>
              <w:left w:type="dxa" w:w="100"/>
              <w:bottom w:type="dxa" w:w="50"/>
              <w:right w:type="dxa" w:w="100"/>
            </w:tcMar>
          </w:tcPr>
          <w:p>
            <w:r>
              <w:rPr>
                <w:rFonts w:ascii="Calibri" w:cs="Calibri" w:eastAsia="Calibri" w:hAnsi="Calibri"/>
                <w:color w:val="1A2332"/>
                <w:sz w:val="19"/>
                <w:szCs w:val="19"/>
              </w:rPr>
              <w:t xml:space="preserve">Test de continuité</w:t>
            </w:r>
          </w:p>
        </w:tc>
      </w:tr>
      <w:tr>
        <w:trPr>
          <w:cantSplit/>
        </w:trPr>
        <w:tc>
          <w:tcPr>
            <w:tcW w:type="pct" w:w="25%"/>
            <w:shd w:fill="FFFFFF" w:val="clear"/>
            <w:tcMar>
              <w:top w:type="dxa" w:w="50"/>
              <w:left w:type="dxa" w:w="100"/>
              <w:bottom w:type="dxa" w:w="50"/>
              <w:right w:type="dxa" w:w="100"/>
            </w:tcMar>
          </w:tcPr>
          <w:p>
            <w:r>
              <w:rPr>
                <w:rFonts w:ascii="Calibri" w:cs="Calibri" w:eastAsia="Calibri" w:hAnsi="Calibri"/>
                <w:color w:val="1A2332"/>
                <w:sz w:val="19"/>
                <w:szCs w:val="19"/>
              </w:rPr>
              <w:t xml:space="preserve">Agrément</w:t>
            </w:r>
          </w:p>
        </w:tc>
        <w:tc>
          <w:tcPr>
            <w:tcW w:type="pct" w:w="40%"/>
            <w:shd w:fill="FFFFFF" w:val="clear"/>
            <w:tcMar>
              <w:top w:type="dxa" w:w="50"/>
              <w:left w:type="dxa" w:w="100"/>
              <w:bottom w:type="dxa" w:w="50"/>
              <w:right w:type="dxa" w:w="100"/>
            </w:tcMar>
          </w:tcPr>
          <w:p>
            <w:r>
              <w:rPr>
                <w:rFonts w:ascii="Calibri" w:cs="Calibri" w:eastAsia="Calibri" w:hAnsi="Calibri"/>
                <w:color w:val="1A2332"/>
                <w:sz w:val="19"/>
                <w:szCs w:val="19"/>
              </w:rPr>
              <w:t xml:space="preserve">Valide 3 ans, renouvelable après contrôle</w:t>
            </w:r>
          </w:p>
        </w:tc>
        <w:tc>
          <w:tcPr>
            <w:tcW w:type="pct" w:w="35%"/>
            <w:shd w:fill="FFFFFF" w:val="clear"/>
            <w:tcMar>
              <w:top w:type="dxa" w:w="50"/>
              <w:left w:type="dxa" w:w="100"/>
              <w:bottom w:type="dxa" w:w="50"/>
              <w:right w:type="dxa" w:w="100"/>
            </w:tcMar>
          </w:tcPr>
          <w:p>
            <w:r>
              <w:rPr>
                <w:rFonts w:ascii="Calibri" w:cs="Calibri" w:eastAsia="Calibri" w:hAnsi="Calibri"/>
                <w:color w:val="1A2332"/>
                <w:sz w:val="19"/>
                <w:szCs w:val="19"/>
              </w:rPr>
              <w:t xml:space="preserve">Audit périodique</w:t>
            </w:r>
          </w:p>
        </w:tc>
      </w:tr>
    </w:tbl>
    <w:p>
      <w:pPr>
        <w:pStyle w:val="Heading1"/>
        <w:spacing w:after="200" w:before="360" w:line="312"/>
      </w:pPr>
      <w:bookmarkStart w:id="100060" w:name="_Toc100060"/>
      <w:r>
        <w:rPr>
          <w:rFonts w:ascii="Calibri" w:cs="Calibri" w:eastAsia="Calibri" w:hAnsi="Calibri"/>
          <w:b/>
          <w:bCs/>
          <w:color w:val="1A2332"/>
          <w:sz w:val="28"/>
          <w:szCs w:val="28"/>
        </w:rPr>
        <w:t xml:space="preserve">12. Dashboard national</w:t>
      </w:r>
      <w:bookmarkEnd w:id="100060"/>
    </w:p>
    <w:p>
      <w:pPr>
        <w:pBdr>
          <w:bottom w:val="single" w:color="CE1126" w:sz="6"/>
        </w:pBdr>
        <w:spacing w:after="160"/>
      </w:pPr>
    </w:p>
    <w:p>
      <w:pPr>
        <w:spacing w:after="120" w:line="312"/>
        <w:jc w:val="both"/>
      </w:pPr>
      <w:r>
        <w:rPr>
          <w:rFonts w:ascii="Calibri" w:cs="Calibri" w:eastAsia="Calibri" w:hAnsi="Calibri"/>
          <w:color w:val="1A2332"/>
          <w:sz w:val="21"/>
          <w:szCs w:val="21"/>
        </w:rPr>
        <w:t xml:space="preserve">Le tableau de bord national constitue l’outil de pilotage stratégique de l’administration. Il agrège en temps réel les données de l’ensemble des centres agréés et fournit des indicateurs clés de performance (KPI) pour orienter les décisions en matière de sécurité routière.</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Nombre de candidats inscrits (total et par période)</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Nombre d’examens passés et taux de réussite global</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Taux de réussite par ville, par centre et par auto-école</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Nombre de fraudes détectées et types de fraude</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Revenus générés et volume de paiements Mobile Money</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Questions les plus échouées (pour améliorer la formation)</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Évolution mensuelle des examens et tendances</w:t>
      </w:r>
    </w:p>
    <w:p>
      <w:pPr>
        <w:spacing w:after="120" w:line="312"/>
        <w:jc w:val="both"/>
      </w:pPr>
      <w:r>
        <w:rPr>
          <w:rFonts w:ascii="Calibri" w:cs="Calibri" w:eastAsia="Calibri" w:hAnsi="Calibri"/>
          <w:color w:val="1A2332"/>
          <w:sz w:val="21"/>
          <w:szCs w:val="21"/>
        </w:rPr>
        <w:t xml:space="preserve">Ce dashboard peut être connecté à des outils de Business Intelligence tels que Apache Superset pour des analyses avancées. Les données sont exportables en Excel et PDF pour les rapports institutionnels.</w:t>
      </w:r>
    </w:p>
    <w:p>
      <w:pPr>
        <w:pStyle w:val="Heading1"/>
        <w:spacing w:after="200" w:before="360" w:line="312"/>
      </w:pPr>
      <w:bookmarkStart w:id="100061" w:name="_Toc100061"/>
      <w:r>
        <w:rPr>
          <w:rFonts w:ascii="Calibri" w:cs="Calibri" w:eastAsia="Calibri" w:hAnsi="Calibri"/>
          <w:b/>
          <w:bCs/>
          <w:color w:val="1A2332"/>
          <w:sz w:val="28"/>
          <w:szCs w:val="28"/>
        </w:rPr>
        <w:t xml:space="preserve">13. Modèle économique</w:t>
      </w:r>
      <w:bookmarkEnd w:id="100061"/>
    </w:p>
    <w:p>
      <w:pPr>
        <w:pBdr>
          <w:bottom w:val="single" w:color="CE1126" w:sz="6"/>
        </w:pBdr>
        <w:spacing w:after="160"/>
      </w:pPr>
    </w:p>
    <w:p>
      <w:pPr>
        <w:spacing w:after="120" w:line="312"/>
        <w:jc w:val="both"/>
      </w:pPr>
      <w:r>
        <w:rPr>
          <w:rFonts w:ascii="Calibri" w:cs="Calibri" w:eastAsia="Calibri" w:hAnsi="Calibri"/>
          <w:color w:val="1A2332"/>
          <w:sz w:val="21"/>
          <w:szCs w:val="21"/>
        </w:rPr>
        <w:t xml:space="preserve">Trois modèles économiques sont envisageables pour CodeRoute Guinée. Chacun présente des avantages et des risques spécifiques.</w:t>
      </w:r>
    </w:p>
    <w:tbl>
      <w:tblPr>
        <w:tblW w:type="pct" w:w="100%"/>
        <w:tblBorders>
          <w:top w:val="single" w:color="D0D5DD" w:sz="1"/>
          <w:left w:val="single" w:color="D0D5DD" w:sz="1"/>
          <w:bottom w:val="single" w:color="D0D5DD" w:sz="1"/>
          <w:right w:val="single" w:color="D0D5DD" w:sz="1"/>
          <w:insideH w:val="single" w:color="D0D5DD" w:sz="1"/>
          <w:insideV w:val="single" w:color="D0D5DD" w:sz="1"/>
        </w:tblBorders>
      </w:tblPr>
      <w:tblGrid>
        <w:gridCol w:w="100"/>
        <w:gridCol w:w="100"/>
        <w:gridCol w:w="100"/>
        <w:gridCol w:w="100"/>
      </w:tblGrid>
      <w:tr>
        <w:trPr>
          <w:cantSplit/>
          <w:tblHeader/>
        </w:trPr>
        <w:tc>
          <w:tcPr>
            <w:tcW w:type="pct" w:w="15%"/>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Modèle</w:t>
            </w:r>
          </w:p>
        </w:tc>
        <w:tc>
          <w:tcPr>
            <w:tcW w:type="pct" w:w="30%"/>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c>
          <w:tcPr>
            <w:tcW w:type="pct" w:w="25%"/>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Avantages</w:t>
            </w:r>
          </w:p>
        </w:tc>
        <w:tc>
          <w:tcPr>
            <w:tcW w:type="pct" w:w="30%"/>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Risques</w:t>
            </w:r>
          </w:p>
        </w:tc>
      </w:tr>
      <w:tr>
        <w:trPr>
          <w:cantSplit/>
        </w:trPr>
        <w:tc>
          <w:tcPr>
            <w:tcW w:type="pct" w:w="15%"/>
            <w:shd w:fill="FFFFFF" w:val="clear"/>
            <w:tcMar>
              <w:top w:type="dxa" w:w="50"/>
              <w:left w:type="dxa" w:w="100"/>
              <w:bottom w:type="dxa" w:w="50"/>
              <w:right w:type="dxa" w:w="100"/>
            </w:tcMar>
          </w:tcPr>
          <w:p>
            <w:r>
              <w:rPr>
                <w:rFonts w:ascii="Calibri" w:cs="Calibri" w:eastAsia="Calibri" w:hAnsi="Calibri"/>
                <w:color w:val="1A2332"/>
                <w:sz w:val="19"/>
                <w:szCs w:val="19"/>
              </w:rPr>
              <w:t xml:space="preserve">Public</w:t>
            </w:r>
          </w:p>
        </w:tc>
        <w:tc>
          <w:tcPr>
            <w:tcW w:type="pct" w:w="30%"/>
            <w:shd w:fill="FFFFFF" w:val="clear"/>
            <w:tcMar>
              <w:top w:type="dxa" w:w="50"/>
              <w:left w:type="dxa" w:w="100"/>
              <w:bottom w:type="dxa" w:w="50"/>
              <w:right w:type="dxa" w:w="100"/>
            </w:tcMar>
          </w:tcPr>
          <w:p>
            <w:r>
              <w:rPr>
                <w:rFonts w:ascii="Calibri" w:cs="Calibri" w:eastAsia="Calibri" w:hAnsi="Calibri"/>
                <w:color w:val="1A2332"/>
                <w:sz w:val="19"/>
                <w:szCs w:val="19"/>
              </w:rPr>
              <w:t xml:space="preserve">L’État finance et contrôle toute la plateforme</w:t>
            </w:r>
          </w:p>
        </w:tc>
        <w:tc>
          <w:tcPr>
            <w:tcW w:type="pct" w:w="25%"/>
            <w:shd w:fill="FFFFFF" w:val="clear"/>
            <w:tcMar>
              <w:top w:type="dxa" w:w="50"/>
              <w:left w:type="dxa" w:w="100"/>
              <w:bottom w:type="dxa" w:w="50"/>
              <w:right w:type="dxa" w:w="100"/>
            </w:tcMar>
          </w:tcPr>
          <w:p>
            <w:r>
              <w:rPr>
                <w:rFonts w:ascii="Calibri" w:cs="Calibri" w:eastAsia="Calibri" w:hAnsi="Calibri"/>
                <w:color w:val="1A2332"/>
                <w:sz w:val="19"/>
                <w:szCs w:val="19"/>
              </w:rPr>
              <w:t xml:space="preserve">Contrôle total</w:t>
            </w:r>
          </w:p>
        </w:tc>
        <w:tc>
          <w:tcPr>
            <w:tcW w:type="pct" w:w="30%"/>
            <w:shd w:fill="FFFFFF" w:val="clear"/>
            <w:tcMar>
              <w:top w:type="dxa" w:w="50"/>
              <w:left w:type="dxa" w:w="100"/>
              <w:bottom w:type="dxa" w:w="50"/>
              <w:right w:type="dxa" w:w="100"/>
            </w:tcMar>
          </w:tcPr>
          <w:p>
            <w:r>
              <w:rPr>
                <w:rFonts w:ascii="Calibri" w:cs="Calibri" w:eastAsia="Calibri" w:hAnsi="Calibri"/>
                <w:color w:val="1A2332"/>
                <w:sz w:val="19"/>
                <w:szCs w:val="19"/>
              </w:rPr>
              <w:t xml:space="preserve">Coût élevé</w:t>
            </w:r>
          </w:p>
        </w:tc>
      </w:tr>
      <w:tr>
        <w:trPr>
          <w:cantSplit/>
        </w:trPr>
        <w:tc>
          <w:tcPr>
            <w:tcW w:type="pct" w:w="15%"/>
            <w:shd w:fill="F5F7FA" w:val="clear"/>
            <w:tcMar>
              <w:top w:type="dxa" w:w="50"/>
              <w:left w:type="dxa" w:w="100"/>
              <w:bottom w:type="dxa" w:w="50"/>
              <w:right w:type="dxa" w:w="100"/>
            </w:tcMar>
          </w:tcPr>
          <w:p>
            <w:r>
              <w:rPr>
                <w:rFonts w:ascii="Calibri" w:cs="Calibri" w:eastAsia="Calibri" w:hAnsi="Calibri"/>
                <w:color w:val="1A2332"/>
                <w:sz w:val="19"/>
                <w:szCs w:val="19"/>
              </w:rPr>
              <w:t xml:space="preserve">Délégation</w:t>
            </w:r>
          </w:p>
        </w:tc>
        <w:tc>
          <w:tcPr>
            <w:tcW w:type="pct" w:w="30%"/>
            <w:shd w:fill="F5F7FA" w:val="clear"/>
            <w:tcMar>
              <w:top w:type="dxa" w:w="50"/>
              <w:left w:type="dxa" w:w="100"/>
              <w:bottom w:type="dxa" w:w="50"/>
              <w:right w:type="dxa" w:w="100"/>
            </w:tcMar>
          </w:tcPr>
          <w:p>
            <w:r>
              <w:rPr>
                <w:rFonts w:ascii="Calibri" w:cs="Calibri" w:eastAsia="Calibri" w:hAnsi="Calibri"/>
                <w:color w:val="1A2332"/>
                <w:sz w:val="19"/>
                <w:szCs w:val="19"/>
              </w:rPr>
              <w:t xml:space="preserve">Centres privés sous contrôle public</w:t>
            </w:r>
          </w:p>
        </w:tc>
        <w:tc>
          <w:tcPr>
            <w:tcW w:type="pct" w:w="25%"/>
            <w:shd w:fill="F5F7FA" w:val="clear"/>
            <w:tcMar>
              <w:top w:type="dxa" w:w="50"/>
              <w:left w:type="dxa" w:w="100"/>
              <w:bottom w:type="dxa" w:w="50"/>
              <w:right w:type="dxa" w:w="100"/>
            </w:tcMar>
          </w:tcPr>
          <w:p>
            <w:r>
              <w:rPr>
                <w:rFonts w:ascii="Calibri" w:cs="Calibri" w:eastAsia="Calibri" w:hAnsi="Calibri"/>
                <w:color w:val="1A2332"/>
                <w:sz w:val="19"/>
                <w:szCs w:val="19"/>
              </w:rPr>
              <w:t xml:space="preserve">Efficacité</w:t>
            </w:r>
          </w:p>
        </w:tc>
        <w:tc>
          <w:tcPr>
            <w:tcW w:type="pct" w:w="30%"/>
            <w:shd w:fill="F5F7FA" w:val="clear"/>
            <w:tcMar>
              <w:top w:type="dxa" w:w="50"/>
              <w:left w:type="dxa" w:w="100"/>
              <w:bottom w:type="dxa" w:w="50"/>
              <w:right w:type="dxa" w:w="100"/>
            </w:tcMar>
          </w:tcPr>
          <w:p>
            <w:r>
              <w:rPr>
                <w:rFonts w:ascii="Calibri" w:cs="Calibri" w:eastAsia="Calibri" w:hAnsi="Calibri"/>
                <w:color w:val="1A2332"/>
                <w:sz w:val="19"/>
                <w:szCs w:val="19"/>
              </w:rPr>
              <w:t xml:space="preserve">Risque de fraude</w:t>
            </w:r>
          </w:p>
        </w:tc>
      </w:tr>
      <w:tr>
        <w:trPr>
          <w:cantSplit/>
        </w:trPr>
        <w:tc>
          <w:tcPr>
            <w:tcW w:type="pct" w:w="15%"/>
            <w:shd w:fill="FFFFFF" w:val="clear"/>
            <w:tcMar>
              <w:top w:type="dxa" w:w="50"/>
              <w:left w:type="dxa" w:w="100"/>
              <w:bottom w:type="dxa" w:w="50"/>
              <w:right w:type="dxa" w:w="100"/>
            </w:tcMar>
          </w:tcPr>
          <w:p>
            <w:r>
              <w:rPr>
                <w:rFonts w:ascii="Calibri" w:cs="Calibri" w:eastAsia="Calibri" w:hAnsi="Calibri"/>
                <w:color w:val="1A2332"/>
                <w:sz w:val="19"/>
                <w:szCs w:val="19"/>
              </w:rPr>
              <w:t xml:space="preserve">PPP</w:t>
            </w:r>
          </w:p>
        </w:tc>
        <w:tc>
          <w:tcPr>
            <w:tcW w:type="pct" w:w="30%"/>
            <w:shd w:fill="FFFFFF" w:val="clear"/>
            <w:tcMar>
              <w:top w:type="dxa" w:w="50"/>
              <w:left w:type="dxa" w:w="100"/>
              <w:bottom w:type="dxa" w:w="50"/>
              <w:right w:type="dxa" w:w="100"/>
            </w:tcMar>
          </w:tcPr>
          <w:p>
            <w:r>
              <w:rPr>
                <w:rFonts w:ascii="Calibri" w:cs="Calibri" w:eastAsia="Calibri" w:hAnsi="Calibri"/>
                <w:color w:val="1A2332"/>
                <w:sz w:val="19"/>
                <w:szCs w:val="19"/>
              </w:rPr>
              <w:t xml:space="preserve">Partenariat public-privé</w:t>
            </w:r>
          </w:p>
        </w:tc>
        <w:tc>
          <w:tcPr>
            <w:tcW w:type="pct" w:w="25%"/>
            <w:shd w:fill="FFFFFF" w:val="clear"/>
            <w:tcMar>
              <w:top w:type="dxa" w:w="50"/>
              <w:left w:type="dxa" w:w="100"/>
              <w:bottom w:type="dxa" w:w="50"/>
              <w:right w:type="dxa" w:w="100"/>
            </w:tcMar>
          </w:tcPr>
          <w:p>
            <w:r>
              <w:rPr>
                <w:rFonts w:ascii="Calibri" w:cs="Calibri" w:eastAsia="Calibri" w:hAnsi="Calibri"/>
                <w:color w:val="1A2332"/>
                <w:sz w:val="19"/>
                <w:szCs w:val="19"/>
              </w:rPr>
              <w:t xml:space="preserve">Équilibre</w:t>
            </w:r>
          </w:p>
        </w:tc>
        <w:tc>
          <w:tcPr>
            <w:tcW w:type="pct" w:w="30%"/>
            <w:shd w:fill="FFFFFF" w:val="clear"/>
            <w:tcMar>
              <w:top w:type="dxa" w:w="50"/>
              <w:left w:type="dxa" w:w="100"/>
              <w:bottom w:type="dxa" w:w="50"/>
              <w:right w:type="dxa" w:w="100"/>
            </w:tcMar>
          </w:tcPr>
          <w:p>
            <w:r>
              <w:rPr>
                <w:rFonts w:ascii="Calibri" w:cs="Calibri" w:eastAsia="Calibri" w:hAnsi="Calibri"/>
                <w:color w:val="1A2332"/>
                <w:sz w:val="19"/>
                <w:szCs w:val="19"/>
              </w:rPr>
              <w:t xml:space="preserve">Complexité contractuelle</w:t>
            </w:r>
          </w:p>
        </w:tc>
      </w:tr>
    </w:tbl>
    <w:p>
      <w:pPr>
        <w:pStyle w:val="Heading2"/>
        <w:spacing w:after="120" w:before="240" w:line="312"/>
      </w:pPr>
      <w:bookmarkStart w:id="100062" w:name="_Toc100062"/>
      <w:r>
        <w:rPr>
          <w:rFonts w:ascii="Calibri" w:cs="Calibri" w:eastAsia="Calibri" w:hAnsi="Calibri"/>
          <w:b/>
          <w:bCs/>
          <w:color w:val="2C5F8A"/>
          <w:sz w:val="22"/>
          <w:szCs w:val="22"/>
        </w:rPr>
        <w:t xml:space="preserve">13.1 Modèle recommandé : PPP</w:t>
      </w:r>
      <w:bookmarkEnd w:id="100062"/>
    </w:p>
    <w:p>
      <w:pPr>
        <w:spacing w:after="120" w:line="312"/>
        <w:jc w:val="both"/>
      </w:pPr>
      <w:r>
        <w:rPr>
          <w:rFonts w:ascii="Calibri" w:cs="Calibri" w:eastAsia="Calibri" w:hAnsi="Calibri"/>
          <w:color w:val="1A2332"/>
          <w:sz w:val="21"/>
          <w:szCs w:val="21"/>
        </w:rPr>
        <w:t xml:space="preserve">Le partenariat public-privé (PPP) est le modèle recommandé pour la Guinée. La répartition des rôles est la suivante :</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État : Réglementation, agrément des centres, contrôle, validation officielle</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Plateforme : Technologie, sécurité, supervision technique, maintenance</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Centres agréés : Accueil physique, surveillance des examens</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Auto-écoles : Préparation des candidats, inscription groupée</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Opérateurs Mobile Money : Paiement sécurisé des frais d’examen</w:t>
      </w:r>
    </w:p>
    <w:p>
      <w:pPr>
        <w:spacing w:after="120" w:line="312"/>
        <w:jc w:val="both"/>
      </w:pPr>
      <w:r>
        <w:rPr>
          <w:rFonts w:ascii="Calibri" w:cs="Calibri" w:eastAsia="Calibri" w:hAnsi="Calibri"/>
          <w:color w:val="1A2332"/>
          <w:sz w:val="21"/>
          <w:szCs w:val="21"/>
        </w:rPr>
        <w:t xml:space="preserve">Le tarif de l’examen est encadré par l’État et réparti entre les acteurs selon un schéma de commissions prédéfini. Par exemple, sur un tarif de 50 000 GNF : 30% pour le centre agréé, 40% pour la plateforme, 30% pour l’administration. Ces pourcentages sont configurables dans le système de paiement.</w:t>
      </w:r>
    </w:p>
    <w:p>
      <w:pPr>
        <w:pStyle w:val="Heading1"/>
        <w:spacing w:after="200" w:before="360" w:line="312"/>
      </w:pPr>
      <w:bookmarkStart w:id="100063" w:name="_Toc100063"/>
      <w:r>
        <w:rPr>
          <w:rFonts w:ascii="Calibri" w:cs="Calibri" w:eastAsia="Calibri" w:hAnsi="Calibri"/>
          <w:b/>
          <w:bCs/>
          <w:color w:val="1A2332"/>
          <w:sz w:val="28"/>
          <w:szCs w:val="28"/>
        </w:rPr>
        <w:t xml:space="preserve">14. Benchmark international</w:t>
      </w:r>
      <w:bookmarkEnd w:id="100063"/>
    </w:p>
    <w:p>
      <w:pPr>
        <w:pBdr>
          <w:bottom w:val="single" w:color="CE1126" w:sz="6"/>
        </w:pBdr>
        <w:spacing w:after="160"/>
      </w:pPr>
    </w:p>
    <w:p>
      <w:pPr>
        <w:spacing w:after="120" w:line="312"/>
        <w:jc w:val="both"/>
      </w:pPr>
      <w:r>
        <w:rPr>
          <w:rFonts w:ascii="Calibri" w:cs="Calibri" w:eastAsia="Calibri" w:hAnsi="Calibri"/>
          <w:color w:val="1A2332"/>
          <w:sz w:val="21"/>
          <w:szCs w:val="21"/>
        </w:rPr>
        <w:t xml:space="preserve">L’analyse des systèmes de code de la route dans d’autres pays permet d’identifier les bonnes pratiques et les pièges à éviter. Quatre pays ont été sélectionnés pour leur pertinence.</w:t>
      </w:r>
    </w:p>
    <w:tbl>
      <w:tblPr>
        <w:tblW w:type="pct" w:w="100%"/>
        <w:tblBorders>
          <w:top w:val="single" w:color="D0D5DD" w:sz="1"/>
          <w:left w:val="single" w:color="D0D5DD" w:sz="1"/>
          <w:bottom w:val="single" w:color="D0D5DD" w:sz="1"/>
          <w:right w:val="single" w:color="D0D5DD" w:sz="1"/>
          <w:insideH w:val="single" w:color="D0D5DD" w:sz="1"/>
          <w:insideV w:val="single" w:color="D0D5DD" w:sz="1"/>
        </w:tblBorders>
      </w:tblPr>
      <w:tblGrid>
        <w:gridCol w:w="100"/>
        <w:gridCol w:w="100"/>
        <w:gridCol w:w="100"/>
      </w:tblGrid>
      <w:tr>
        <w:trPr>
          <w:cantSplit/>
          <w:tblHeader/>
        </w:trPr>
        <w:tc>
          <w:tcPr>
            <w:tcW w:type="pct" w:w="15%"/>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Pays</w:t>
            </w:r>
          </w:p>
        </w:tc>
        <w:tc>
          <w:tcPr>
            <w:tcW w:type="pct" w:w="50%"/>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Modèle</w:t>
            </w:r>
          </w:p>
        </w:tc>
        <w:tc>
          <w:tcPr>
            <w:tcW w:type="pct" w:w="35%"/>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Leçon pour la Guinée</w:t>
            </w:r>
          </w:p>
        </w:tc>
      </w:tr>
      <w:tr>
        <w:trPr>
          <w:cantSplit/>
        </w:trPr>
        <w:tc>
          <w:tcPr>
            <w:tcW w:type="pct" w:w="15%"/>
            <w:shd w:fill="FFFFFF" w:val="clear"/>
            <w:tcMar>
              <w:top w:type="dxa" w:w="50"/>
              <w:left w:type="dxa" w:w="100"/>
              <w:bottom w:type="dxa" w:w="50"/>
              <w:right w:type="dxa" w:w="100"/>
            </w:tcMar>
          </w:tcPr>
          <w:p>
            <w:r>
              <w:rPr>
                <w:rFonts w:ascii="Calibri" w:cs="Calibri" w:eastAsia="Calibri" w:hAnsi="Calibri"/>
                <w:color w:val="1A2332"/>
                <w:sz w:val="19"/>
                <w:szCs w:val="19"/>
              </w:rPr>
              <w:t xml:space="preserve">France</w:t>
            </w:r>
          </w:p>
        </w:tc>
        <w:tc>
          <w:tcPr>
            <w:tcW w:type="pct" w:w="50%"/>
            <w:shd w:fill="FFFFFF" w:val="clear"/>
            <w:tcMar>
              <w:top w:type="dxa" w:w="50"/>
              <w:left w:type="dxa" w:w="100"/>
              <w:bottom w:type="dxa" w:w="50"/>
              <w:right w:type="dxa" w:w="100"/>
            </w:tcMar>
          </w:tcPr>
          <w:p>
            <w:r>
              <w:rPr>
                <w:rFonts w:ascii="Calibri" w:cs="Calibri" w:eastAsia="Calibri" w:hAnsi="Calibri"/>
                <w:color w:val="1A2332"/>
                <w:sz w:val="19"/>
                <w:szCs w:val="19"/>
              </w:rPr>
              <w:t xml:space="preserve">Délégation à des opérateurs privés agréés. Tarif encadré (30 EUR). Fraude détectée dans certains centres.</w:t>
            </w:r>
          </w:p>
        </w:tc>
        <w:tc>
          <w:tcPr>
            <w:tcW w:type="pct" w:w="35%"/>
            <w:shd w:fill="FFFFFF" w:val="clear"/>
            <w:tcMar>
              <w:top w:type="dxa" w:w="50"/>
              <w:left w:type="dxa" w:w="100"/>
              <w:bottom w:type="dxa" w:w="50"/>
              <w:right w:type="dxa" w:w="100"/>
            </w:tcMar>
          </w:tcPr>
          <w:p>
            <w:r>
              <w:rPr>
                <w:rFonts w:ascii="Calibri" w:cs="Calibri" w:eastAsia="Calibri" w:hAnsi="Calibri"/>
                <w:color w:val="1A2332"/>
                <w:sz w:val="19"/>
                <w:szCs w:val="19"/>
              </w:rPr>
              <w:t xml:space="preserve">Intégrer l’anti-fraude dès la conception</w:t>
            </w:r>
          </w:p>
        </w:tc>
      </w:tr>
      <w:tr>
        <w:trPr>
          <w:cantSplit/>
        </w:trPr>
        <w:tc>
          <w:tcPr>
            <w:tcW w:type="pct" w:w="15%"/>
            <w:shd w:fill="F5F7FA" w:val="clear"/>
            <w:tcMar>
              <w:top w:type="dxa" w:w="50"/>
              <w:left w:type="dxa" w:w="100"/>
              <w:bottom w:type="dxa" w:w="50"/>
              <w:right w:type="dxa" w:w="100"/>
            </w:tcMar>
          </w:tcPr>
          <w:p>
            <w:r>
              <w:rPr>
                <w:rFonts w:ascii="Calibri" w:cs="Calibri" w:eastAsia="Calibri" w:hAnsi="Calibri"/>
                <w:color w:val="1A2332"/>
                <w:sz w:val="19"/>
                <w:szCs w:val="19"/>
              </w:rPr>
              <w:t xml:space="preserve">Sénégal</w:t>
            </w:r>
          </w:p>
        </w:tc>
        <w:tc>
          <w:tcPr>
            <w:tcW w:type="pct" w:w="50%"/>
            <w:shd w:fill="F5F7FA" w:val="clear"/>
            <w:tcMar>
              <w:top w:type="dxa" w:w="50"/>
              <w:left w:type="dxa" w:w="100"/>
              <w:bottom w:type="dxa" w:w="50"/>
              <w:right w:type="dxa" w:w="100"/>
            </w:tcMar>
          </w:tcPr>
          <w:p>
            <w:r>
              <w:rPr>
                <w:rFonts w:ascii="Calibri" w:cs="Calibri" w:eastAsia="Calibri" w:hAnsi="Calibri"/>
                <w:color w:val="1A2332"/>
                <w:sz w:val="19"/>
                <w:szCs w:val="19"/>
              </w:rPr>
              <w:t xml:space="preserve">Modernisation progressive. Centres informatisés dans les grandes villes.</w:t>
            </w:r>
          </w:p>
        </w:tc>
        <w:tc>
          <w:tcPr>
            <w:tcW w:type="pct" w:w="35%"/>
            <w:shd w:fill="F5F7FA" w:val="clear"/>
            <w:tcMar>
              <w:top w:type="dxa" w:w="50"/>
              <w:left w:type="dxa" w:w="100"/>
              <w:bottom w:type="dxa" w:w="50"/>
              <w:right w:type="dxa" w:w="100"/>
            </w:tcMar>
          </w:tcPr>
          <w:p>
            <w:r>
              <w:rPr>
                <w:rFonts w:ascii="Calibri" w:cs="Calibri" w:eastAsia="Calibri" w:hAnsi="Calibri"/>
                <w:color w:val="1A2332"/>
                <w:sz w:val="19"/>
                <w:szCs w:val="19"/>
              </w:rPr>
              <w:t xml:space="preserve">Prévoir la couverture rurale</w:t>
            </w:r>
          </w:p>
        </w:tc>
      </w:tr>
      <w:tr>
        <w:trPr>
          <w:cantSplit/>
        </w:trPr>
        <w:tc>
          <w:tcPr>
            <w:tcW w:type="pct" w:w="15%"/>
            <w:shd w:fill="FFFFFF" w:val="clear"/>
            <w:tcMar>
              <w:top w:type="dxa" w:w="50"/>
              <w:left w:type="dxa" w:w="100"/>
              <w:bottom w:type="dxa" w:w="50"/>
              <w:right w:type="dxa" w:w="100"/>
            </w:tcMar>
          </w:tcPr>
          <w:p>
            <w:r>
              <w:rPr>
                <w:rFonts w:ascii="Calibri" w:cs="Calibri" w:eastAsia="Calibri" w:hAnsi="Calibri"/>
                <w:color w:val="1A2332"/>
                <w:sz w:val="19"/>
                <w:szCs w:val="19"/>
              </w:rPr>
              <w:t xml:space="preserve">Côte d’Ivoire</w:t>
            </w:r>
          </w:p>
        </w:tc>
        <w:tc>
          <w:tcPr>
            <w:tcW w:type="pct" w:w="50%"/>
            <w:shd w:fill="FFFFFF" w:val="clear"/>
            <w:tcMar>
              <w:top w:type="dxa" w:w="50"/>
              <w:left w:type="dxa" w:w="100"/>
              <w:bottom w:type="dxa" w:w="50"/>
              <w:right w:type="dxa" w:w="100"/>
            </w:tcMar>
          </w:tcPr>
          <w:p>
            <w:r>
              <w:rPr>
                <w:rFonts w:ascii="Calibri" w:cs="Calibri" w:eastAsia="Calibri" w:hAnsi="Calibri"/>
                <w:color w:val="1A2332"/>
                <w:sz w:val="19"/>
                <w:szCs w:val="19"/>
              </w:rPr>
              <w:t xml:space="preserve">Système en cours de digitalisation. Fraude encore significative.</w:t>
            </w:r>
          </w:p>
        </w:tc>
        <w:tc>
          <w:tcPr>
            <w:tcW w:type="pct" w:w="35%"/>
            <w:shd w:fill="FFFFFF" w:val="clear"/>
            <w:tcMar>
              <w:top w:type="dxa" w:w="50"/>
              <w:left w:type="dxa" w:w="100"/>
              <w:bottom w:type="dxa" w:w="50"/>
              <w:right w:type="dxa" w:w="100"/>
            </w:tcMar>
          </w:tcPr>
          <w:p>
            <w:r>
              <w:rPr>
                <w:rFonts w:ascii="Calibri" w:cs="Calibri" w:eastAsia="Calibri" w:hAnsi="Calibri"/>
                <w:color w:val="1A2332"/>
                <w:sz w:val="19"/>
                <w:szCs w:val="19"/>
              </w:rPr>
              <w:t xml:space="preserve">Ne pas sous-estimer le contrôle continu</w:t>
            </w:r>
          </w:p>
        </w:tc>
      </w:tr>
      <w:tr>
        <w:trPr>
          <w:cantSplit/>
        </w:trPr>
        <w:tc>
          <w:tcPr>
            <w:tcW w:type="pct" w:w="15%"/>
            <w:shd w:fill="F5F7FA" w:val="clear"/>
            <w:tcMar>
              <w:top w:type="dxa" w:w="50"/>
              <w:left w:type="dxa" w:w="100"/>
              <w:bottom w:type="dxa" w:w="50"/>
              <w:right w:type="dxa" w:w="100"/>
            </w:tcMar>
          </w:tcPr>
          <w:p>
            <w:r>
              <w:rPr>
                <w:rFonts w:ascii="Calibri" w:cs="Calibri" w:eastAsia="Calibri" w:hAnsi="Calibri"/>
                <w:color w:val="1A2332"/>
                <w:sz w:val="19"/>
                <w:szCs w:val="19"/>
              </w:rPr>
              <w:t xml:space="preserve">Maroc</w:t>
            </w:r>
          </w:p>
        </w:tc>
        <w:tc>
          <w:tcPr>
            <w:tcW w:type="pct" w:w="50%"/>
            <w:shd w:fill="F5F7FA" w:val="clear"/>
            <w:tcMar>
              <w:top w:type="dxa" w:w="50"/>
              <w:left w:type="dxa" w:w="100"/>
              <w:bottom w:type="dxa" w:w="50"/>
              <w:right w:type="dxa" w:w="100"/>
            </w:tcMar>
          </w:tcPr>
          <w:p>
            <w:r>
              <w:rPr>
                <w:rFonts w:ascii="Calibri" w:cs="Calibri" w:eastAsia="Calibri" w:hAnsi="Calibri"/>
                <w:color w:val="1A2332"/>
                <w:sz w:val="19"/>
                <w:szCs w:val="19"/>
              </w:rPr>
              <w:t xml:space="preserve">Digitalisation avancée avec NARSA. Surveillance caméra, score immédiat.</w:t>
            </w:r>
          </w:p>
        </w:tc>
        <w:tc>
          <w:tcPr>
            <w:tcW w:type="pct" w:w="35%"/>
            <w:shd w:fill="F5F7FA" w:val="clear"/>
            <w:tcMar>
              <w:top w:type="dxa" w:w="50"/>
              <w:left w:type="dxa" w:w="100"/>
              <w:bottom w:type="dxa" w:w="50"/>
              <w:right w:type="dxa" w:w="100"/>
            </w:tcMar>
          </w:tcPr>
          <w:p>
            <w:r>
              <w:rPr>
                <w:rFonts w:ascii="Calibri" w:cs="Calibri" w:eastAsia="Calibri" w:hAnsi="Calibri"/>
                <w:color w:val="1A2332"/>
                <w:sz w:val="19"/>
                <w:szCs w:val="19"/>
              </w:rPr>
              <w:t xml:space="preserve">La digitalisation complète est possible en Afrique du Nord</w:t>
            </w:r>
          </w:p>
        </w:tc>
      </w:tr>
    </w:tbl>
    <w:p>
      <w:pPr>
        <w:pStyle w:val="Heading2"/>
        <w:spacing w:after="120" w:before="240" w:line="312"/>
      </w:pPr>
      <w:bookmarkStart w:id="100064" w:name="_Toc100064"/>
      <w:r>
        <w:rPr>
          <w:rFonts w:ascii="Calibri" w:cs="Calibri" w:eastAsia="Calibri" w:hAnsi="Calibri"/>
          <w:b/>
          <w:bCs/>
          <w:color w:val="2C5F8A"/>
          <w:sz w:val="22"/>
          <w:szCs w:val="22"/>
        </w:rPr>
        <w:t xml:space="preserve">14.1 Enseignements clés</w:t>
      </w:r>
      <w:bookmarkEnd w:id="100064"/>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L’anti-fraude doit être un pilier de la conception, pas un ajout ultérieur.</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La couverture géographique doit être planifiée dès le départ pour ne pas pénaliser les zones rurales.</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Le paiement Mobile Money est un atout majeur en Afrique de l’Ouest et doit être intégré nativement.</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La transparence des résultats et la possibilité d’audit sont essentielles pour la crédibilité.</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Le modèle PPP offre le meilleur équilibre entre contrôle public et efficacité privée.</w:t>
      </w:r>
    </w:p>
    <w:p>
      <w:pPr>
        <w:pStyle w:val="Heading1"/>
        <w:spacing w:after="200" w:before="360" w:line="312"/>
      </w:pPr>
      <w:bookmarkStart w:id="100065" w:name="_Toc100065"/>
      <w:r>
        <w:rPr>
          <w:rFonts w:ascii="Calibri" w:cs="Calibri" w:eastAsia="Calibri" w:hAnsi="Calibri"/>
          <w:b/>
          <w:bCs/>
          <w:color w:val="1A2332"/>
          <w:sz w:val="28"/>
          <w:szCs w:val="28"/>
        </w:rPr>
        <w:t xml:space="preserve">15. Planning chiffré</w:t>
      </w:r>
      <w:bookmarkEnd w:id="100065"/>
    </w:p>
    <w:p>
      <w:pPr>
        <w:pBdr>
          <w:bottom w:val="single" w:color="CE1126" w:sz="6"/>
        </w:pBdr>
        <w:spacing w:after="160"/>
      </w:pPr>
    </w:p>
    <w:p>
      <w:pPr>
        <w:spacing w:after="120" w:line="312"/>
        <w:jc w:val="both"/>
      </w:pPr>
      <w:r>
        <w:rPr>
          <w:rFonts w:ascii="Calibri" w:cs="Calibri" w:eastAsia="Calibri" w:hAnsi="Calibri"/>
          <w:color w:val="1A2332"/>
          <w:sz w:val="21"/>
          <w:szCs w:val="21"/>
        </w:rPr>
        <w:t xml:space="preserve">Le déploiement est planifié en deux phases principales : le MVP (Phase 1) permettant un lancement rapide, et la V2 (Phase 2) enrichissant la plateforme.</w:t>
      </w:r>
    </w:p>
    <w:p>
      <w:pPr>
        <w:pStyle w:val="Heading2"/>
        <w:spacing w:after="120" w:before="240" w:line="312"/>
      </w:pPr>
      <w:bookmarkStart w:id="100066" w:name="_Toc100066"/>
      <w:r>
        <w:rPr>
          <w:rFonts w:ascii="Calibri" w:cs="Calibri" w:eastAsia="Calibri" w:hAnsi="Calibri"/>
          <w:b/>
          <w:bCs/>
          <w:color w:val="2C5F8A"/>
          <w:sz w:val="22"/>
          <w:szCs w:val="22"/>
        </w:rPr>
        <w:t xml:space="preserve">15.1 Phase 1 : MVP (Mois 1-6)</w:t>
      </w:r>
      <w:bookmarkEnd w:id="100066"/>
    </w:p>
    <w:tbl>
      <w:tblPr>
        <w:tblW w:type="pct" w:w="100%"/>
        <w:tblBorders>
          <w:top w:val="single" w:color="D0D5DD" w:sz="1"/>
          <w:left w:val="single" w:color="D0D5DD" w:sz="1"/>
          <w:bottom w:val="single" w:color="D0D5DD" w:sz="1"/>
          <w:right w:val="single" w:color="D0D5DD" w:sz="1"/>
          <w:insideH w:val="single" w:color="D0D5DD" w:sz="1"/>
          <w:insideV w:val="single" w:color="D0D5DD" w:sz="1"/>
        </w:tblBorders>
      </w:tblPr>
      <w:tblGrid>
        <w:gridCol w:w="100"/>
        <w:gridCol w:w="100"/>
        <w:gridCol w:w="100"/>
      </w:tblGrid>
      <w:tr>
        <w:trPr>
          <w:cantSplit/>
          <w:tblHeader/>
        </w:trPr>
        <w:tc>
          <w:tcPr>
            <w:tcW w:type="pct" w:w="15%"/>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Mois</w:t>
            </w:r>
          </w:p>
        </w:tc>
        <w:tc>
          <w:tcPr>
            <w:tcW w:type="pct" w:w="45%"/>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Activité</w:t>
            </w:r>
          </w:p>
        </w:tc>
        <w:tc>
          <w:tcPr>
            <w:tcW w:type="pct" w:w="40%"/>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Livrable</w:t>
            </w:r>
          </w:p>
        </w:tc>
      </w:tr>
      <w:tr>
        <w:trPr>
          <w:cantSplit/>
        </w:trPr>
        <w:tc>
          <w:tcPr>
            <w:tcW w:type="pct" w:w="15%"/>
            <w:shd w:fill="FFFFFF" w:val="clear"/>
            <w:tcMar>
              <w:top w:type="dxa" w:w="50"/>
              <w:left w:type="dxa" w:w="100"/>
              <w:bottom w:type="dxa" w:w="50"/>
              <w:right w:type="dxa" w:w="100"/>
            </w:tcMar>
          </w:tcPr>
          <w:p>
            <w:r>
              <w:rPr>
                <w:rFonts w:ascii="Calibri" w:cs="Calibri" w:eastAsia="Calibri" w:hAnsi="Calibri"/>
                <w:color w:val="1A2332"/>
                <w:sz w:val="19"/>
                <w:szCs w:val="19"/>
              </w:rPr>
              <w:t xml:space="preserve">1-2</w:t>
            </w:r>
          </w:p>
        </w:tc>
        <w:tc>
          <w:tcPr>
            <w:tcW w:type="pct" w:w="45%"/>
            <w:shd w:fill="FFFFFF" w:val="clear"/>
            <w:tcMar>
              <w:top w:type="dxa" w:w="50"/>
              <w:left w:type="dxa" w:w="100"/>
              <w:bottom w:type="dxa" w:w="50"/>
              <w:right w:type="dxa" w:w="100"/>
            </w:tcMar>
          </w:tcPr>
          <w:p>
            <w:r>
              <w:rPr>
                <w:rFonts w:ascii="Calibri" w:cs="Calibri" w:eastAsia="Calibri" w:hAnsi="Calibri"/>
                <w:color w:val="1A2332"/>
                <w:sz w:val="19"/>
                <w:szCs w:val="19"/>
              </w:rPr>
              <w:t xml:space="preserve">Conception UX/UI et architecture</w:t>
            </w:r>
          </w:p>
        </w:tc>
        <w:tc>
          <w:tcPr>
            <w:tcW w:type="pct" w:w="40%"/>
            <w:shd w:fill="FFFFFF" w:val="clear"/>
            <w:tcMar>
              <w:top w:type="dxa" w:w="50"/>
              <w:left w:type="dxa" w:w="100"/>
              <w:bottom w:type="dxa" w:w="50"/>
              <w:right w:type="dxa" w:w="100"/>
            </w:tcMar>
          </w:tcPr>
          <w:p>
            <w:r>
              <w:rPr>
                <w:rFonts w:ascii="Calibri" w:cs="Calibri" w:eastAsia="Calibri" w:hAnsi="Calibri"/>
                <w:color w:val="1A2332"/>
                <w:sz w:val="19"/>
                <w:szCs w:val="19"/>
              </w:rPr>
              <w:t xml:space="preserve">Maquettes Figma, spécifications</w:t>
            </w:r>
          </w:p>
        </w:tc>
      </w:tr>
      <w:tr>
        <w:trPr>
          <w:cantSplit/>
        </w:trPr>
        <w:tc>
          <w:tcPr>
            <w:tcW w:type="pct" w:w="15%"/>
            <w:shd w:fill="F5F7FA" w:val="clear"/>
            <w:tcMar>
              <w:top w:type="dxa" w:w="50"/>
              <w:left w:type="dxa" w:w="100"/>
              <w:bottom w:type="dxa" w:w="50"/>
              <w:right w:type="dxa" w:w="100"/>
            </w:tcMar>
          </w:tcPr>
          <w:p>
            <w:r>
              <w:rPr>
                <w:rFonts w:ascii="Calibri" w:cs="Calibri" w:eastAsia="Calibri" w:hAnsi="Calibri"/>
                <w:color w:val="1A2332"/>
                <w:sz w:val="19"/>
                <w:szCs w:val="19"/>
              </w:rPr>
              <w:t xml:space="preserve">2-4</w:t>
            </w:r>
          </w:p>
        </w:tc>
        <w:tc>
          <w:tcPr>
            <w:tcW w:type="pct" w:w="45%"/>
            <w:shd w:fill="F5F7FA" w:val="clear"/>
            <w:tcMar>
              <w:top w:type="dxa" w:w="50"/>
              <w:left w:type="dxa" w:w="100"/>
              <w:bottom w:type="dxa" w:w="50"/>
              <w:right w:type="dxa" w:w="100"/>
            </w:tcMar>
          </w:tcPr>
          <w:p>
            <w:r>
              <w:rPr>
                <w:rFonts w:ascii="Calibri" w:cs="Calibri" w:eastAsia="Calibri" w:hAnsi="Calibri"/>
                <w:color w:val="1A2332"/>
                <w:sz w:val="19"/>
                <w:szCs w:val="19"/>
              </w:rPr>
              <w:t xml:space="preserve">Développement backend</w:t>
            </w:r>
          </w:p>
        </w:tc>
        <w:tc>
          <w:tcPr>
            <w:tcW w:type="pct" w:w="40%"/>
            <w:shd w:fill="F5F7FA" w:val="clear"/>
            <w:tcMar>
              <w:top w:type="dxa" w:w="50"/>
              <w:left w:type="dxa" w:w="100"/>
              <w:bottom w:type="dxa" w:w="50"/>
              <w:right w:type="dxa" w:w="100"/>
            </w:tcMar>
          </w:tcPr>
          <w:p>
            <w:r>
              <w:rPr>
                <w:rFonts w:ascii="Calibri" w:cs="Calibri" w:eastAsia="Calibri" w:hAnsi="Calibri"/>
                <w:color w:val="1A2332"/>
                <w:sz w:val="19"/>
                <w:szCs w:val="19"/>
              </w:rPr>
              <w:t xml:space="preserve">API déployée en staging</w:t>
            </w:r>
          </w:p>
        </w:tc>
      </w:tr>
      <w:tr>
        <w:trPr>
          <w:cantSplit/>
        </w:trPr>
        <w:tc>
          <w:tcPr>
            <w:tcW w:type="pct" w:w="15%"/>
            <w:shd w:fill="FFFFFF" w:val="clear"/>
            <w:tcMar>
              <w:top w:type="dxa" w:w="50"/>
              <w:left w:type="dxa" w:w="100"/>
              <w:bottom w:type="dxa" w:w="50"/>
              <w:right w:type="dxa" w:w="100"/>
            </w:tcMar>
          </w:tcPr>
          <w:p>
            <w:r>
              <w:rPr>
                <w:rFonts w:ascii="Calibri" w:cs="Calibri" w:eastAsia="Calibri" w:hAnsi="Calibri"/>
                <w:color w:val="1A2332"/>
                <w:sz w:val="19"/>
                <w:szCs w:val="19"/>
              </w:rPr>
              <w:t xml:space="preserve">3-5</w:t>
            </w:r>
          </w:p>
        </w:tc>
        <w:tc>
          <w:tcPr>
            <w:tcW w:type="pct" w:w="45%"/>
            <w:shd w:fill="FFFFFF" w:val="clear"/>
            <w:tcMar>
              <w:top w:type="dxa" w:w="50"/>
              <w:left w:type="dxa" w:w="100"/>
              <w:bottom w:type="dxa" w:w="50"/>
              <w:right w:type="dxa" w:w="100"/>
            </w:tcMar>
          </w:tcPr>
          <w:p>
            <w:r>
              <w:rPr>
                <w:rFonts w:ascii="Calibri" w:cs="Calibri" w:eastAsia="Calibri" w:hAnsi="Calibri"/>
                <w:color w:val="1A2332"/>
                <w:sz w:val="19"/>
                <w:szCs w:val="19"/>
              </w:rPr>
              <w:t xml:space="preserve">Développement frontend</w:t>
            </w:r>
          </w:p>
        </w:tc>
        <w:tc>
          <w:tcPr>
            <w:tcW w:type="pct" w:w="40%"/>
            <w:shd w:fill="FFFFFF" w:val="clear"/>
            <w:tcMar>
              <w:top w:type="dxa" w:w="50"/>
              <w:left w:type="dxa" w:w="100"/>
              <w:bottom w:type="dxa" w:w="50"/>
              <w:right w:type="dxa" w:w="100"/>
            </w:tcMar>
          </w:tcPr>
          <w:p>
            <w:r>
              <w:rPr>
                <w:rFonts w:ascii="Calibri" w:cs="Calibri" w:eastAsia="Calibri" w:hAnsi="Calibri"/>
                <w:color w:val="1A2332"/>
                <w:sz w:val="19"/>
                <w:szCs w:val="19"/>
              </w:rPr>
              <w:t xml:space="preserve">Web app déployée en staging</w:t>
            </w:r>
          </w:p>
        </w:tc>
      </w:tr>
      <w:tr>
        <w:trPr>
          <w:cantSplit/>
        </w:trPr>
        <w:tc>
          <w:tcPr>
            <w:tcW w:type="pct" w:w="15%"/>
            <w:shd w:fill="F5F7FA" w:val="clear"/>
            <w:tcMar>
              <w:top w:type="dxa" w:w="50"/>
              <w:left w:type="dxa" w:w="100"/>
              <w:bottom w:type="dxa" w:w="50"/>
              <w:right w:type="dxa" w:w="100"/>
            </w:tcMar>
          </w:tcPr>
          <w:p>
            <w:r>
              <w:rPr>
                <w:rFonts w:ascii="Calibri" w:cs="Calibri" w:eastAsia="Calibri" w:hAnsi="Calibri"/>
                <w:color w:val="1A2332"/>
                <w:sz w:val="19"/>
                <w:szCs w:val="19"/>
              </w:rPr>
              <w:t xml:space="preserve">4-5</w:t>
            </w:r>
          </w:p>
        </w:tc>
        <w:tc>
          <w:tcPr>
            <w:tcW w:type="pct" w:w="45%"/>
            <w:shd w:fill="F5F7FA" w:val="clear"/>
            <w:tcMar>
              <w:top w:type="dxa" w:w="50"/>
              <w:left w:type="dxa" w:w="100"/>
              <w:bottom w:type="dxa" w:w="50"/>
              <w:right w:type="dxa" w:w="100"/>
            </w:tcMar>
          </w:tcPr>
          <w:p>
            <w:r>
              <w:rPr>
                <w:rFonts w:ascii="Calibri" w:cs="Calibri" w:eastAsia="Calibri" w:hAnsi="Calibri"/>
                <w:color w:val="1A2332"/>
                <w:sz w:val="19"/>
                <w:szCs w:val="19"/>
              </w:rPr>
              <w:t xml:space="preserve">Intégration Mobile Money sandbox</w:t>
            </w:r>
          </w:p>
        </w:tc>
        <w:tc>
          <w:tcPr>
            <w:tcW w:type="pct" w:w="40%"/>
            <w:shd w:fill="F5F7FA" w:val="clear"/>
            <w:tcMar>
              <w:top w:type="dxa" w:w="50"/>
              <w:left w:type="dxa" w:w="100"/>
              <w:bottom w:type="dxa" w:w="50"/>
              <w:right w:type="dxa" w:w="100"/>
            </w:tcMar>
          </w:tcPr>
          <w:p>
            <w:r>
              <w:rPr>
                <w:rFonts w:ascii="Calibri" w:cs="Calibri" w:eastAsia="Calibri" w:hAnsi="Calibri"/>
                <w:color w:val="1A2332"/>
                <w:sz w:val="19"/>
                <w:szCs w:val="19"/>
              </w:rPr>
              <w:t xml:space="preserve">Paiement test fonctionnel</w:t>
            </w:r>
          </w:p>
        </w:tc>
      </w:tr>
      <w:tr>
        <w:trPr>
          <w:cantSplit/>
        </w:trPr>
        <w:tc>
          <w:tcPr>
            <w:tcW w:type="pct" w:w="15%"/>
            <w:shd w:fill="FFFFFF" w:val="clear"/>
            <w:tcMar>
              <w:top w:type="dxa" w:w="50"/>
              <w:left w:type="dxa" w:w="100"/>
              <w:bottom w:type="dxa" w:w="50"/>
              <w:right w:type="dxa" w:w="100"/>
            </w:tcMar>
          </w:tcPr>
          <w:p>
            <w:r>
              <w:rPr>
                <w:rFonts w:ascii="Calibri" w:cs="Calibri" w:eastAsia="Calibri" w:hAnsi="Calibri"/>
                <w:color w:val="1A2332"/>
                <w:sz w:val="19"/>
                <w:szCs w:val="19"/>
              </w:rPr>
              <w:t xml:space="preserve">5-6</w:t>
            </w:r>
          </w:p>
        </w:tc>
        <w:tc>
          <w:tcPr>
            <w:tcW w:type="pct" w:w="45%"/>
            <w:shd w:fill="FFFFFF" w:val="clear"/>
            <w:tcMar>
              <w:top w:type="dxa" w:w="50"/>
              <w:left w:type="dxa" w:w="100"/>
              <w:bottom w:type="dxa" w:w="50"/>
              <w:right w:type="dxa" w:w="100"/>
            </w:tcMar>
          </w:tcPr>
          <w:p>
            <w:r>
              <w:rPr>
                <w:rFonts w:ascii="Calibri" w:cs="Calibri" w:eastAsia="Calibri" w:hAnsi="Calibri"/>
                <w:color w:val="1A2332"/>
                <w:sz w:val="19"/>
                <w:szCs w:val="19"/>
              </w:rPr>
              <w:t xml:space="preserve">Tests, sécurité, formation</w:t>
            </w:r>
          </w:p>
        </w:tc>
        <w:tc>
          <w:tcPr>
            <w:tcW w:type="pct" w:w="40%"/>
            <w:shd w:fill="FFFFFF" w:val="clear"/>
            <w:tcMar>
              <w:top w:type="dxa" w:w="50"/>
              <w:left w:type="dxa" w:w="100"/>
              <w:bottom w:type="dxa" w:w="50"/>
              <w:right w:type="dxa" w:w="100"/>
            </w:tcMar>
          </w:tcPr>
          <w:p>
            <w:r>
              <w:rPr>
                <w:rFonts w:ascii="Calibri" w:cs="Calibri" w:eastAsia="Calibri" w:hAnsi="Calibri"/>
                <w:color w:val="1A2332"/>
                <w:sz w:val="19"/>
                <w:szCs w:val="19"/>
              </w:rPr>
              <w:t xml:space="preserve">Rapport de tests, centres formés</w:t>
            </w:r>
          </w:p>
        </w:tc>
      </w:tr>
      <w:tr>
        <w:trPr>
          <w:cantSplit/>
        </w:trPr>
        <w:tc>
          <w:tcPr>
            <w:tcW w:type="pct" w:w="15%"/>
            <w:shd w:fill="F5F7FA" w:val="clear"/>
            <w:tcMar>
              <w:top w:type="dxa" w:w="50"/>
              <w:left w:type="dxa" w:w="100"/>
              <w:bottom w:type="dxa" w:w="50"/>
              <w:right w:type="dxa" w:w="100"/>
            </w:tcMar>
          </w:tcPr>
          <w:p>
            <w:r>
              <w:rPr>
                <w:rFonts w:ascii="Calibri" w:cs="Calibri" w:eastAsia="Calibri" w:hAnsi="Calibri"/>
                <w:color w:val="1A2332"/>
                <w:sz w:val="19"/>
                <w:szCs w:val="19"/>
              </w:rPr>
              <w:t xml:space="preserve">6</w:t>
            </w:r>
          </w:p>
        </w:tc>
        <w:tc>
          <w:tcPr>
            <w:tcW w:type="pct" w:w="45%"/>
            <w:shd w:fill="F5F7FA" w:val="clear"/>
            <w:tcMar>
              <w:top w:type="dxa" w:w="50"/>
              <w:left w:type="dxa" w:w="100"/>
              <w:bottom w:type="dxa" w:w="50"/>
              <w:right w:type="dxa" w:w="100"/>
            </w:tcMar>
          </w:tcPr>
          <w:p>
            <w:r>
              <w:rPr>
                <w:rFonts w:ascii="Calibri" w:cs="Calibri" w:eastAsia="Calibri" w:hAnsi="Calibri"/>
                <w:color w:val="1A2332"/>
                <w:sz w:val="19"/>
                <w:szCs w:val="19"/>
              </w:rPr>
              <w:t xml:space="preserve">Déploiement pilote à Conakry</w:t>
            </w:r>
          </w:p>
        </w:tc>
        <w:tc>
          <w:tcPr>
            <w:tcW w:type="pct" w:w="40%"/>
            <w:shd w:fill="F5F7FA" w:val="clear"/>
            <w:tcMar>
              <w:top w:type="dxa" w:w="50"/>
              <w:left w:type="dxa" w:w="100"/>
              <w:bottom w:type="dxa" w:w="50"/>
              <w:right w:type="dxa" w:w="100"/>
            </w:tcMar>
          </w:tcPr>
          <w:p>
            <w:r>
              <w:rPr>
                <w:rFonts w:ascii="Calibri" w:cs="Calibri" w:eastAsia="Calibri" w:hAnsi="Calibri"/>
                <w:color w:val="1A2332"/>
                <w:sz w:val="19"/>
                <w:szCs w:val="19"/>
              </w:rPr>
              <w:t xml:space="preserve">Plateforme en production</w:t>
            </w:r>
          </w:p>
        </w:tc>
      </w:tr>
    </w:tbl>
    <w:p>
      <w:pPr>
        <w:pStyle w:val="Heading2"/>
        <w:spacing w:after="120" w:before="240" w:line="312"/>
      </w:pPr>
      <w:bookmarkStart w:id="100067" w:name="_Toc100067"/>
      <w:r>
        <w:rPr>
          <w:rFonts w:ascii="Calibri" w:cs="Calibri" w:eastAsia="Calibri" w:hAnsi="Calibri"/>
          <w:b/>
          <w:bCs/>
          <w:color w:val="2C5F8A"/>
          <w:sz w:val="22"/>
          <w:szCs w:val="22"/>
        </w:rPr>
        <w:t xml:space="preserve">15.2 Phase 2 : V2 (Mois 7-14)</w:t>
      </w:r>
      <w:bookmarkEnd w:id="100067"/>
    </w:p>
    <w:tbl>
      <w:tblPr>
        <w:tblW w:type="pct" w:w="100%"/>
        <w:tblBorders>
          <w:top w:val="single" w:color="D0D5DD" w:sz="1"/>
          <w:left w:val="single" w:color="D0D5DD" w:sz="1"/>
          <w:bottom w:val="single" w:color="D0D5DD" w:sz="1"/>
          <w:right w:val="single" w:color="D0D5DD" w:sz="1"/>
          <w:insideH w:val="single" w:color="D0D5DD" w:sz="1"/>
          <w:insideV w:val="single" w:color="D0D5DD" w:sz="1"/>
        </w:tblBorders>
      </w:tblPr>
      <w:tblGrid>
        <w:gridCol w:w="100"/>
        <w:gridCol w:w="100"/>
        <w:gridCol w:w="100"/>
      </w:tblGrid>
      <w:tr>
        <w:trPr>
          <w:cantSplit/>
          <w:tblHeader/>
        </w:trPr>
        <w:tc>
          <w:tcPr>
            <w:tcW w:type="pct" w:w="15%"/>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Mois</w:t>
            </w:r>
          </w:p>
        </w:tc>
        <w:tc>
          <w:tcPr>
            <w:tcW w:type="pct" w:w="45%"/>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Activité</w:t>
            </w:r>
          </w:p>
        </w:tc>
        <w:tc>
          <w:tcPr>
            <w:tcW w:type="pct" w:w="40%"/>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Livrable</w:t>
            </w:r>
          </w:p>
        </w:tc>
      </w:tr>
      <w:tr>
        <w:trPr>
          <w:cantSplit/>
        </w:trPr>
        <w:tc>
          <w:tcPr>
            <w:tcW w:type="pct" w:w="15%"/>
            <w:shd w:fill="FFFFFF" w:val="clear"/>
            <w:tcMar>
              <w:top w:type="dxa" w:w="50"/>
              <w:left w:type="dxa" w:w="100"/>
              <w:bottom w:type="dxa" w:w="50"/>
              <w:right w:type="dxa" w:w="100"/>
            </w:tcMar>
          </w:tcPr>
          <w:p>
            <w:r>
              <w:rPr>
                <w:rFonts w:ascii="Calibri" w:cs="Calibri" w:eastAsia="Calibri" w:hAnsi="Calibri"/>
                <w:color w:val="1A2332"/>
                <w:sz w:val="19"/>
                <w:szCs w:val="19"/>
              </w:rPr>
              <w:t xml:space="preserve">7-8</w:t>
            </w:r>
          </w:p>
        </w:tc>
        <w:tc>
          <w:tcPr>
            <w:tcW w:type="pct" w:w="45%"/>
            <w:shd w:fill="FFFFFF" w:val="clear"/>
            <w:tcMar>
              <w:top w:type="dxa" w:w="50"/>
              <w:left w:type="dxa" w:w="100"/>
              <w:bottom w:type="dxa" w:w="50"/>
              <w:right w:type="dxa" w:w="100"/>
            </w:tcMar>
          </w:tcPr>
          <w:p>
            <w:r>
              <w:rPr>
                <w:rFonts w:ascii="Calibri" w:cs="Calibri" w:eastAsia="Calibri" w:hAnsi="Calibri"/>
                <w:color w:val="1A2332"/>
                <w:sz w:val="19"/>
                <w:szCs w:val="19"/>
              </w:rPr>
              <w:t xml:space="preserve">Reconnaissance faciale et webcam</w:t>
            </w:r>
          </w:p>
        </w:tc>
        <w:tc>
          <w:tcPr>
            <w:tcW w:type="pct" w:w="40%"/>
            <w:shd w:fill="FFFFFF" w:val="clear"/>
            <w:tcMar>
              <w:top w:type="dxa" w:w="50"/>
              <w:left w:type="dxa" w:w="100"/>
              <w:bottom w:type="dxa" w:w="50"/>
              <w:right w:type="dxa" w:w="100"/>
            </w:tcMar>
          </w:tcPr>
          <w:p>
            <w:r>
              <w:rPr>
                <w:rFonts w:ascii="Calibri" w:cs="Calibri" w:eastAsia="Calibri" w:hAnsi="Calibri"/>
                <w:color w:val="1A2332"/>
                <w:sz w:val="19"/>
                <w:szCs w:val="19"/>
              </w:rPr>
              <w:t xml:space="preserve">Module anti-fraude avancé</w:t>
            </w:r>
          </w:p>
        </w:tc>
      </w:tr>
      <w:tr>
        <w:trPr>
          <w:cantSplit/>
        </w:trPr>
        <w:tc>
          <w:tcPr>
            <w:tcW w:type="pct" w:w="15%"/>
            <w:shd w:fill="F5F7FA" w:val="clear"/>
            <w:tcMar>
              <w:top w:type="dxa" w:w="50"/>
              <w:left w:type="dxa" w:w="100"/>
              <w:bottom w:type="dxa" w:w="50"/>
              <w:right w:type="dxa" w:w="100"/>
            </w:tcMar>
          </w:tcPr>
          <w:p>
            <w:r>
              <w:rPr>
                <w:rFonts w:ascii="Calibri" w:cs="Calibri" w:eastAsia="Calibri" w:hAnsi="Calibri"/>
                <w:color w:val="1A2332"/>
                <w:sz w:val="19"/>
                <w:szCs w:val="19"/>
              </w:rPr>
              <w:t xml:space="preserve">8-9</w:t>
            </w:r>
          </w:p>
        </w:tc>
        <w:tc>
          <w:tcPr>
            <w:tcW w:type="pct" w:w="45%"/>
            <w:shd w:fill="F5F7FA" w:val="clear"/>
            <w:tcMar>
              <w:top w:type="dxa" w:w="50"/>
              <w:left w:type="dxa" w:w="100"/>
              <w:bottom w:type="dxa" w:w="50"/>
              <w:right w:type="dxa" w:w="100"/>
            </w:tcMar>
          </w:tcPr>
          <w:p>
            <w:r>
              <w:rPr>
                <w:rFonts w:ascii="Calibri" w:cs="Calibri" w:eastAsia="Calibri" w:hAnsi="Calibri"/>
                <w:color w:val="1A2332"/>
                <w:sz w:val="19"/>
                <w:szCs w:val="19"/>
              </w:rPr>
              <w:t xml:space="preserve">Intégration Mobile Money réelle</w:t>
            </w:r>
          </w:p>
        </w:tc>
        <w:tc>
          <w:tcPr>
            <w:tcW w:type="pct" w:w="40%"/>
            <w:shd w:fill="F5F7FA" w:val="clear"/>
            <w:tcMar>
              <w:top w:type="dxa" w:w="50"/>
              <w:left w:type="dxa" w:w="100"/>
              <w:bottom w:type="dxa" w:w="50"/>
              <w:right w:type="dxa" w:w="100"/>
            </w:tcMar>
          </w:tcPr>
          <w:p>
            <w:r>
              <w:rPr>
                <w:rFonts w:ascii="Calibri" w:cs="Calibri" w:eastAsia="Calibri" w:hAnsi="Calibri"/>
                <w:color w:val="1A2332"/>
                <w:sz w:val="19"/>
                <w:szCs w:val="19"/>
              </w:rPr>
              <w:t xml:space="preserve">Paiement en production</w:t>
            </w:r>
          </w:p>
        </w:tc>
      </w:tr>
      <w:tr>
        <w:trPr>
          <w:cantSplit/>
        </w:trPr>
        <w:tc>
          <w:tcPr>
            <w:tcW w:type="pct" w:w="15%"/>
            <w:shd w:fill="FFFFFF" w:val="clear"/>
            <w:tcMar>
              <w:top w:type="dxa" w:w="50"/>
              <w:left w:type="dxa" w:w="100"/>
              <w:bottom w:type="dxa" w:w="50"/>
              <w:right w:type="dxa" w:w="100"/>
            </w:tcMar>
          </w:tcPr>
          <w:p>
            <w:r>
              <w:rPr>
                <w:rFonts w:ascii="Calibri" w:cs="Calibri" w:eastAsia="Calibri" w:hAnsi="Calibri"/>
                <w:color w:val="1A2332"/>
                <w:sz w:val="19"/>
                <w:szCs w:val="19"/>
              </w:rPr>
              <w:t xml:space="preserve">9-10</w:t>
            </w:r>
          </w:p>
        </w:tc>
        <w:tc>
          <w:tcPr>
            <w:tcW w:type="pct" w:w="45%"/>
            <w:shd w:fill="FFFFFF" w:val="clear"/>
            <w:tcMar>
              <w:top w:type="dxa" w:w="50"/>
              <w:left w:type="dxa" w:w="100"/>
              <w:bottom w:type="dxa" w:w="50"/>
              <w:right w:type="dxa" w:w="100"/>
            </w:tcMar>
          </w:tcPr>
          <w:p>
            <w:r>
              <w:rPr>
                <w:rFonts w:ascii="Calibri" w:cs="Calibri" w:eastAsia="Calibri" w:hAnsi="Calibri"/>
                <w:color w:val="1A2332"/>
                <w:sz w:val="19"/>
                <w:szCs w:val="19"/>
              </w:rPr>
              <w:t xml:space="preserve">Application mobile React Native</w:t>
            </w:r>
          </w:p>
        </w:tc>
        <w:tc>
          <w:tcPr>
            <w:tcW w:type="pct" w:w="40%"/>
            <w:shd w:fill="FFFFFF" w:val="clear"/>
            <w:tcMar>
              <w:top w:type="dxa" w:w="50"/>
              <w:left w:type="dxa" w:w="100"/>
              <w:bottom w:type="dxa" w:w="50"/>
              <w:right w:type="dxa" w:w="100"/>
            </w:tcMar>
          </w:tcPr>
          <w:p>
            <w:r>
              <w:rPr>
                <w:rFonts w:ascii="Calibri" w:cs="Calibri" w:eastAsia="Calibri" w:hAnsi="Calibri"/>
                <w:color w:val="1A2332"/>
                <w:sz w:val="19"/>
                <w:szCs w:val="19"/>
              </w:rPr>
              <w:t xml:space="preserve">Apps iOS et Android</w:t>
            </w:r>
          </w:p>
        </w:tc>
      </w:tr>
      <w:tr>
        <w:trPr>
          <w:cantSplit/>
        </w:trPr>
        <w:tc>
          <w:tcPr>
            <w:tcW w:type="pct" w:w="15%"/>
            <w:shd w:fill="F5F7FA" w:val="clear"/>
            <w:tcMar>
              <w:top w:type="dxa" w:w="50"/>
              <w:left w:type="dxa" w:w="100"/>
              <w:bottom w:type="dxa" w:w="50"/>
              <w:right w:type="dxa" w:w="100"/>
            </w:tcMar>
          </w:tcPr>
          <w:p>
            <w:r>
              <w:rPr>
                <w:rFonts w:ascii="Calibri" w:cs="Calibri" w:eastAsia="Calibri" w:hAnsi="Calibri"/>
                <w:color w:val="1A2332"/>
                <w:sz w:val="19"/>
                <w:szCs w:val="19"/>
              </w:rPr>
              <w:t xml:space="preserve">10-11</w:t>
            </w:r>
          </w:p>
        </w:tc>
        <w:tc>
          <w:tcPr>
            <w:tcW w:type="pct" w:w="45%"/>
            <w:shd w:fill="F5F7FA" w:val="clear"/>
            <w:tcMar>
              <w:top w:type="dxa" w:w="50"/>
              <w:left w:type="dxa" w:w="100"/>
              <w:bottom w:type="dxa" w:w="50"/>
              <w:right w:type="dxa" w:w="100"/>
            </w:tcMar>
          </w:tcPr>
          <w:p>
            <w:r>
              <w:rPr>
                <w:rFonts w:ascii="Calibri" w:cs="Calibri" w:eastAsia="Calibri" w:hAnsi="Calibri"/>
                <w:color w:val="1A2332"/>
                <w:sz w:val="19"/>
                <w:szCs w:val="19"/>
              </w:rPr>
              <w:t xml:space="preserve">API permis biométrique</w:t>
            </w:r>
          </w:p>
        </w:tc>
        <w:tc>
          <w:tcPr>
            <w:tcW w:type="pct" w:w="40%"/>
            <w:shd w:fill="F5F7FA" w:val="clear"/>
            <w:tcMar>
              <w:top w:type="dxa" w:w="50"/>
              <w:left w:type="dxa" w:w="100"/>
              <w:bottom w:type="dxa" w:w="50"/>
              <w:right w:type="dxa" w:w="100"/>
            </w:tcMar>
          </w:tcPr>
          <w:p>
            <w:r>
              <w:rPr>
                <w:rFonts w:ascii="Calibri" w:cs="Calibri" w:eastAsia="Calibri" w:hAnsi="Calibri"/>
                <w:color w:val="1A2332"/>
                <w:sz w:val="19"/>
                <w:szCs w:val="19"/>
              </w:rPr>
              <w:t xml:space="preserve">Connexion au système national</w:t>
            </w:r>
          </w:p>
        </w:tc>
      </w:tr>
      <w:tr>
        <w:trPr>
          <w:cantSplit/>
        </w:trPr>
        <w:tc>
          <w:tcPr>
            <w:tcW w:type="pct" w:w="15%"/>
            <w:shd w:fill="FFFFFF" w:val="clear"/>
            <w:tcMar>
              <w:top w:type="dxa" w:w="50"/>
              <w:left w:type="dxa" w:w="100"/>
              <w:bottom w:type="dxa" w:w="50"/>
              <w:right w:type="dxa" w:w="100"/>
            </w:tcMar>
          </w:tcPr>
          <w:p>
            <w:r>
              <w:rPr>
                <w:rFonts w:ascii="Calibri" w:cs="Calibri" w:eastAsia="Calibri" w:hAnsi="Calibri"/>
                <w:color w:val="1A2332"/>
                <w:sz w:val="19"/>
                <w:szCs w:val="19"/>
              </w:rPr>
              <w:t xml:space="preserve">11-13</w:t>
            </w:r>
          </w:p>
        </w:tc>
        <w:tc>
          <w:tcPr>
            <w:tcW w:type="pct" w:w="45%"/>
            <w:shd w:fill="FFFFFF" w:val="clear"/>
            <w:tcMar>
              <w:top w:type="dxa" w:w="50"/>
              <w:left w:type="dxa" w:w="100"/>
              <w:bottom w:type="dxa" w:w="50"/>
              <w:right w:type="dxa" w:w="100"/>
            </w:tcMar>
          </w:tcPr>
          <w:p>
            <w:r>
              <w:rPr>
                <w:rFonts w:ascii="Calibri" w:cs="Calibri" w:eastAsia="Calibri" w:hAnsi="Calibri"/>
                <w:color w:val="1A2332"/>
                <w:sz w:val="19"/>
                <w:szCs w:val="19"/>
              </w:rPr>
              <w:t xml:space="preserve">Statistiques avancées et audit</w:t>
            </w:r>
          </w:p>
        </w:tc>
        <w:tc>
          <w:tcPr>
            <w:tcW w:type="pct" w:w="40%"/>
            <w:shd w:fill="FFFFFF" w:val="clear"/>
            <w:tcMar>
              <w:top w:type="dxa" w:w="50"/>
              <w:left w:type="dxa" w:w="100"/>
              <w:bottom w:type="dxa" w:w="50"/>
              <w:right w:type="dxa" w:w="100"/>
            </w:tcMar>
          </w:tcPr>
          <w:p>
            <w:r>
              <w:rPr>
                <w:rFonts w:ascii="Calibri" w:cs="Calibri" w:eastAsia="Calibri" w:hAnsi="Calibri"/>
                <w:color w:val="1A2332"/>
                <w:sz w:val="19"/>
                <w:szCs w:val="19"/>
              </w:rPr>
              <w:t xml:space="preserve">Dashboard BI, rapports automatiques</w:t>
            </w:r>
          </w:p>
        </w:tc>
      </w:tr>
      <w:tr>
        <w:trPr>
          <w:cantSplit/>
        </w:trPr>
        <w:tc>
          <w:tcPr>
            <w:tcW w:type="pct" w:w="15%"/>
            <w:shd w:fill="F5F7FA" w:val="clear"/>
            <w:tcMar>
              <w:top w:type="dxa" w:w="50"/>
              <w:left w:type="dxa" w:w="100"/>
              <w:bottom w:type="dxa" w:w="50"/>
              <w:right w:type="dxa" w:w="100"/>
            </w:tcMar>
          </w:tcPr>
          <w:p>
            <w:r>
              <w:rPr>
                <w:rFonts w:ascii="Calibri" w:cs="Calibri" w:eastAsia="Calibri" w:hAnsi="Calibri"/>
                <w:color w:val="1A2332"/>
                <w:sz w:val="19"/>
                <w:szCs w:val="19"/>
              </w:rPr>
              <w:t xml:space="preserve">13-14</w:t>
            </w:r>
          </w:p>
        </w:tc>
        <w:tc>
          <w:tcPr>
            <w:tcW w:type="pct" w:w="45%"/>
            <w:shd w:fill="F5F7FA" w:val="clear"/>
            <w:tcMar>
              <w:top w:type="dxa" w:w="50"/>
              <w:left w:type="dxa" w:w="100"/>
              <w:bottom w:type="dxa" w:w="50"/>
              <w:right w:type="dxa" w:w="100"/>
            </w:tcMar>
          </w:tcPr>
          <w:p>
            <w:r>
              <w:rPr>
                <w:rFonts w:ascii="Calibri" w:cs="Calibri" w:eastAsia="Calibri" w:hAnsi="Calibri"/>
                <w:color w:val="1A2332"/>
                <w:sz w:val="19"/>
                <w:szCs w:val="19"/>
              </w:rPr>
              <w:t xml:space="preserve">Extension nationale (10-15 centres)</w:t>
            </w:r>
          </w:p>
        </w:tc>
        <w:tc>
          <w:tcPr>
            <w:tcW w:type="pct" w:w="40%"/>
            <w:shd w:fill="F5F7FA" w:val="clear"/>
            <w:tcMar>
              <w:top w:type="dxa" w:w="50"/>
              <w:left w:type="dxa" w:w="100"/>
              <w:bottom w:type="dxa" w:w="50"/>
              <w:right w:type="dxa" w:w="100"/>
            </w:tcMar>
          </w:tcPr>
          <w:p>
            <w:r>
              <w:rPr>
                <w:rFonts w:ascii="Calibri" w:cs="Calibri" w:eastAsia="Calibri" w:hAnsi="Calibri"/>
                <w:color w:val="1A2332"/>
                <w:sz w:val="19"/>
                <w:szCs w:val="19"/>
              </w:rPr>
              <w:t xml:space="preserve">Couverture multi-régions</w:t>
            </w:r>
          </w:p>
        </w:tc>
      </w:tr>
    </w:tbl>
    <w:p>
      <w:pPr>
        <w:pStyle w:val="Heading1"/>
        <w:spacing w:after="200" w:before="360" w:line="312"/>
      </w:pPr>
      <w:bookmarkStart w:id="100068" w:name="_Toc100068"/>
      <w:r>
        <w:rPr>
          <w:rFonts w:ascii="Calibri" w:cs="Calibri" w:eastAsia="Calibri" w:hAnsi="Calibri"/>
          <w:b/>
          <w:bCs/>
          <w:color w:val="1A2332"/>
          <w:sz w:val="28"/>
          <w:szCs w:val="28"/>
        </w:rPr>
        <w:t xml:space="preserve">16. Budget estimatif</w:t>
      </w:r>
      <w:bookmarkEnd w:id="100068"/>
    </w:p>
    <w:p>
      <w:pPr>
        <w:pBdr>
          <w:bottom w:val="single" w:color="CE1126" w:sz="6"/>
        </w:pBdr>
        <w:spacing w:after="160"/>
      </w:pPr>
    </w:p>
    <w:p>
      <w:pPr>
        <w:spacing w:after="120" w:line="312"/>
        <w:jc w:val="both"/>
      </w:pPr>
      <w:r>
        <w:rPr>
          <w:rFonts w:ascii="Calibri" w:cs="Calibri" w:eastAsia="Calibri" w:hAnsi="Calibri"/>
          <w:color w:val="1A2332"/>
          <w:sz w:val="21"/>
          <w:szCs w:val="21"/>
        </w:rPr>
        <w:t xml:space="preserve">Le budget ci-dessous fournit une estimation indicative des coûts de développement, d’infrastructure et de fonctionnement. Les montants sont exprimés en euros (EUR).</w:t>
      </w:r>
    </w:p>
    <w:p>
      <w:pPr>
        <w:pStyle w:val="Heading2"/>
        <w:spacing w:after="120" w:before="240" w:line="312"/>
      </w:pPr>
      <w:bookmarkStart w:id="100069" w:name="_Toc100069"/>
      <w:r>
        <w:rPr>
          <w:rFonts w:ascii="Calibri" w:cs="Calibri" w:eastAsia="Calibri" w:hAnsi="Calibri"/>
          <w:b/>
          <w:bCs/>
          <w:color w:val="2C5F8A"/>
          <w:sz w:val="22"/>
          <w:szCs w:val="22"/>
        </w:rPr>
        <w:t xml:space="preserve">16.1 Coûts de développement (Phase 1 - MVP)</w:t>
      </w:r>
      <w:bookmarkEnd w:id="100069"/>
    </w:p>
    <w:tbl>
      <w:tblPr>
        <w:tblW w:type="pct" w:w="100%"/>
        <w:tblBorders>
          <w:top w:val="single" w:color="D0D5DD" w:sz="1"/>
          <w:left w:val="single" w:color="D0D5DD" w:sz="1"/>
          <w:bottom w:val="single" w:color="D0D5DD" w:sz="1"/>
          <w:right w:val="single" w:color="D0D5DD" w:sz="1"/>
          <w:insideH w:val="single" w:color="D0D5DD" w:sz="1"/>
          <w:insideV w:val="single" w:color="D0D5DD" w:sz="1"/>
        </w:tblBorders>
      </w:tblPr>
      <w:tblGrid>
        <w:gridCol w:w="100"/>
        <w:gridCol w:w="100"/>
        <w:gridCol w:w="100"/>
      </w:tblGrid>
      <w:tr>
        <w:trPr>
          <w:cantSplit/>
          <w:tblHeader/>
        </w:trPr>
        <w:tc>
          <w:tcPr>
            <w:tcW w:type="pct" w:w="25%"/>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Poste</w:t>
            </w:r>
          </w:p>
        </w:tc>
        <w:tc>
          <w:tcPr>
            <w:tcW w:type="pct" w:w="40%"/>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Détail</w:t>
            </w:r>
          </w:p>
        </w:tc>
        <w:tc>
          <w:tcPr>
            <w:tcW w:type="pct" w:w="35%"/>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Estimation (EUR)</w:t>
            </w:r>
          </w:p>
        </w:tc>
      </w:tr>
      <w:tr>
        <w:trPr>
          <w:cantSplit/>
        </w:trPr>
        <w:tc>
          <w:tcPr>
            <w:tcW w:type="pct" w:w="25%"/>
            <w:shd w:fill="FFFFFF" w:val="clear"/>
            <w:tcMar>
              <w:top w:type="dxa" w:w="50"/>
              <w:left w:type="dxa" w:w="100"/>
              <w:bottom w:type="dxa" w:w="50"/>
              <w:right w:type="dxa" w:w="100"/>
            </w:tcMar>
          </w:tcPr>
          <w:p>
            <w:r>
              <w:rPr>
                <w:rFonts w:ascii="Calibri" w:cs="Calibri" w:eastAsia="Calibri" w:hAnsi="Calibri"/>
                <w:color w:val="1A2332"/>
                <w:sz w:val="19"/>
                <w:szCs w:val="19"/>
              </w:rPr>
              <w:t xml:space="preserve">Conception UX/UI</w:t>
            </w:r>
          </w:p>
        </w:tc>
        <w:tc>
          <w:tcPr>
            <w:tcW w:type="pct" w:w="40%"/>
            <w:shd w:fill="FFFFFF" w:val="clear"/>
            <w:tcMar>
              <w:top w:type="dxa" w:w="50"/>
              <w:left w:type="dxa" w:w="100"/>
              <w:bottom w:type="dxa" w:w="50"/>
              <w:right w:type="dxa" w:w="100"/>
            </w:tcMar>
          </w:tcPr>
          <w:p>
            <w:r>
              <w:rPr>
                <w:rFonts w:ascii="Calibri" w:cs="Calibri" w:eastAsia="Calibri" w:hAnsi="Calibri"/>
                <w:color w:val="1A2332"/>
                <w:sz w:val="19"/>
                <w:szCs w:val="19"/>
              </w:rPr>
              <w:t xml:space="preserve">Maquettes, prototypes, tests utilisateurs</w:t>
            </w:r>
          </w:p>
        </w:tc>
        <w:tc>
          <w:tcPr>
            <w:tcW w:type="pct" w:w="35%"/>
            <w:shd w:fill="FFFFFF" w:val="clear"/>
            <w:tcMar>
              <w:top w:type="dxa" w:w="50"/>
              <w:left w:type="dxa" w:w="100"/>
              <w:bottom w:type="dxa" w:w="50"/>
              <w:right w:type="dxa" w:w="100"/>
            </w:tcMar>
          </w:tcPr>
          <w:p>
            <w:r>
              <w:rPr>
                <w:rFonts w:ascii="Calibri" w:cs="Calibri" w:eastAsia="Calibri" w:hAnsi="Calibri"/>
                <w:color w:val="1A2332"/>
                <w:sz w:val="19"/>
                <w:szCs w:val="19"/>
              </w:rPr>
              <w:t xml:space="preserve">15 000 - 25 000</w:t>
            </w:r>
          </w:p>
        </w:tc>
      </w:tr>
      <w:tr>
        <w:trPr>
          <w:cantSplit/>
        </w:trPr>
        <w:tc>
          <w:tcPr>
            <w:tcW w:type="pct" w:w="25%"/>
            <w:shd w:fill="F5F7FA" w:val="clear"/>
            <w:tcMar>
              <w:top w:type="dxa" w:w="50"/>
              <w:left w:type="dxa" w:w="100"/>
              <w:bottom w:type="dxa" w:w="50"/>
              <w:right w:type="dxa" w:w="100"/>
            </w:tcMar>
          </w:tcPr>
          <w:p>
            <w:r>
              <w:rPr>
                <w:rFonts w:ascii="Calibri" w:cs="Calibri" w:eastAsia="Calibri" w:hAnsi="Calibri"/>
                <w:color w:val="1A2332"/>
                <w:sz w:val="19"/>
                <w:szCs w:val="19"/>
              </w:rPr>
              <w:t xml:space="preserve">Développement Backend</w:t>
            </w:r>
          </w:p>
        </w:tc>
        <w:tc>
          <w:tcPr>
            <w:tcW w:type="pct" w:w="40%"/>
            <w:shd w:fill="F5F7FA" w:val="clear"/>
            <w:tcMar>
              <w:top w:type="dxa" w:w="50"/>
              <w:left w:type="dxa" w:w="100"/>
              <w:bottom w:type="dxa" w:w="50"/>
              <w:right w:type="dxa" w:w="100"/>
            </w:tcMar>
          </w:tcPr>
          <w:p>
            <w:r>
              <w:rPr>
                <w:rFonts w:ascii="Calibri" w:cs="Calibri" w:eastAsia="Calibri" w:hAnsi="Calibri"/>
                <w:color w:val="1A2332"/>
                <w:sz w:val="19"/>
                <w:szCs w:val="19"/>
              </w:rPr>
              <w:t xml:space="preserve">API, auth, examen, paiement, anti-fraude</w:t>
            </w:r>
          </w:p>
        </w:tc>
        <w:tc>
          <w:tcPr>
            <w:tcW w:type="pct" w:w="35%"/>
            <w:shd w:fill="F5F7FA" w:val="clear"/>
            <w:tcMar>
              <w:top w:type="dxa" w:w="50"/>
              <w:left w:type="dxa" w:w="100"/>
              <w:bottom w:type="dxa" w:w="50"/>
              <w:right w:type="dxa" w:w="100"/>
            </w:tcMar>
          </w:tcPr>
          <w:p>
            <w:r>
              <w:rPr>
                <w:rFonts w:ascii="Calibri" w:cs="Calibri" w:eastAsia="Calibri" w:hAnsi="Calibri"/>
                <w:color w:val="1A2332"/>
                <w:sz w:val="19"/>
                <w:szCs w:val="19"/>
              </w:rPr>
              <w:t xml:space="preserve">40 000 - 60 000</w:t>
            </w:r>
          </w:p>
        </w:tc>
      </w:tr>
      <w:tr>
        <w:trPr>
          <w:cantSplit/>
        </w:trPr>
        <w:tc>
          <w:tcPr>
            <w:tcW w:type="pct" w:w="25%"/>
            <w:shd w:fill="FFFFFF" w:val="clear"/>
            <w:tcMar>
              <w:top w:type="dxa" w:w="50"/>
              <w:left w:type="dxa" w:w="100"/>
              <w:bottom w:type="dxa" w:w="50"/>
              <w:right w:type="dxa" w:w="100"/>
            </w:tcMar>
          </w:tcPr>
          <w:p>
            <w:r>
              <w:rPr>
                <w:rFonts w:ascii="Calibri" w:cs="Calibri" w:eastAsia="Calibri" w:hAnsi="Calibri"/>
                <w:color w:val="1A2332"/>
                <w:sz w:val="19"/>
                <w:szCs w:val="19"/>
              </w:rPr>
              <w:t xml:space="preserve">Développement Frontend</w:t>
            </w:r>
          </w:p>
        </w:tc>
        <w:tc>
          <w:tcPr>
            <w:tcW w:type="pct" w:w="40%"/>
            <w:shd w:fill="FFFFFF" w:val="clear"/>
            <w:tcMar>
              <w:top w:type="dxa" w:w="50"/>
              <w:left w:type="dxa" w:w="100"/>
              <w:bottom w:type="dxa" w:w="50"/>
              <w:right w:type="dxa" w:w="100"/>
            </w:tcMar>
          </w:tcPr>
          <w:p>
            <w:r>
              <w:rPr>
                <w:rFonts w:ascii="Calibri" w:cs="Calibri" w:eastAsia="Calibri" w:hAnsi="Calibri"/>
                <w:color w:val="1A2332"/>
                <w:sz w:val="19"/>
                <w:szCs w:val="19"/>
              </w:rPr>
              <w:t xml:space="preserve">Web app candidat, centre, admin</w:t>
            </w:r>
          </w:p>
        </w:tc>
        <w:tc>
          <w:tcPr>
            <w:tcW w:type="pct" w:w="35%"/>
            <w:shd w:fill="FFFFFF" w:val="clear"/>
            <w:tcMar>
              <w:top w:type="dxa" w:w="50"/>
              <w:left w:type="dxa" w:w="100"/>
              <w:bottom w:type="dxa" w:w="50"/>
              <w:right w:type="dxa" w:w="100"/>
            </w:tcMar>
          </w:tcPr>
          <w:p>
            <w:r>
              <w:rPr>
                <w:rFonts w:ascii="Calibri" w:cs="Calibri" w:eastAsia="Calibri" w:hAnsi="Calibri"/>
                <w:color w:val="1A2332"/>
                <w:sz w:val="19"/>
                <w:szCs w:val="19"/>
              </w:rPr>
              <w:t xml:space="preserve">30 000 - 50 000</w:t>
            </w:r>
          </w:p>
        </w:tc>
      </w:tr>
      <w:tr>
        <w:trPr>
          <w:cantSplit/>
        </w:trPr>
        <w:tc>
          <w:tcPr>
            <w:tcW w:type="pct" w:w="25%"/>
            <w:shd w:fill="F5F7FA" w:val="clear"/>
            <w:tcMar>
              <w:top w:type="dxa" w:w="50"/>
              <w:left w:type="dxa" w:w="100"/>
              <w:bottom w:type="dxa" w:w="50"/>
              <w:right w:type="dxa" w:w="100"/>
            </w:tcMar>
          </w:tcPr>
          <w:p>
            <w:r>
              <w:rPr>
                <w:rFonts w:ascii="Calibri" w:cs="Calibri" w:eastAsia="Calibri" w:hAnsi="Calibri"/>
                <w:color w:val="1A2332"/>
                <w:sz w:val="19"/>
                <w:szCs w:val="19"/>
              </w:rPr>
              <w:t xml:space="preserve">Intégration Mobile Money</w:t>
            </w:r>
          </w:p>
        </w:tc>
        <w:tc>
          <w:tcPr>
            <w:tcW w:type="pct" w:w="40%"/>
            <w:shd w:fill="F5F7FA" w:val="clear"/>
            <w:tcMar>
              <w:top w:type="dxa" w:w="50"/>
              <w:left w:type="dxa" w:w="100"/>
              <w:bottom w:type="dxa" w:w="50"/>
              <w:right w:type="dxa" w:w="100"/>
            </w:tcMar>
          </w:tcPr>
          <w:p>
            <w:r>
              <w:rPr>
                <w:rFonts w:ascii="Calibri" w:cs="Calibri" w:eastAsia="Calibri" w:hAnsi="Calibri"/>
                <w:color w:val="1A2332"/>
                <w:sz w:val="19"/>
                <w:szCs w:val="19"/>
              </w:rPr>
              <w:t xml:space="preserve">Orange Money + MTN</w:t>
            </w:r>
          </w:p>
        </w:tc>
        <w:tc>
          <w:tcPr>
            <w:tcW w:type="pct" w:w="35%"/>
            <w:shd w:fill="F5F7FA" w:val="clear"/>
            <w:tcMar>
              <w:top w:type="dxa" w:w="50"/>
              <w:left w:type="dxa" w:w="100"/>
              <w:bottom w:type="dxa" w:w="50"/>
              <w:right w:type="dxa" w:w="100"/>
            </w:tcMar>
          </w:tcPr>
          <w:p>
            <w:r>
              <w:rPr>
                <w:rFonts w:ascii="Calibri" w:cs="Calibri" w:eastAsia="Calibri" w:hAnsi="Calibri"/>
                <w:color w:val="1A2332"/>
                <w:sz w:val="19"/>
                <w:szCs w:val="19"/>
              </w:rPr>
              <w:t xml:space="preserve">10 000 - 15 000</w:t>
            </w:r>
          </w:p>
        </w:tc>
      </w:tr>
      <w:tr>
        <w:trPr>
          <w:cantSplit/>
        </w:trPr>
        <w:tc>
          <w:tcPr>
            <w:tcW w:type="pct" w:w="25%"/>
            <w:shd w:fill="FFFFFF" w:val="clear"/>
            <w:tcMar>
              <w:top w:type="dxa" w:w="50"/>
              <w:left w:type="dxa" w:w="100"/>
              <w:bottom w:type="dxa" w:w="50"/>
              <w:right w:type="dxa" w:w="100"/>
            </w:tcMar>
          </w:tcPr>
          <w:p>
            <w:r>
              <w:rPr>
                <w:rFonts w:ascii="Calibri" w:cs="Calibri" w:eastAsia="Calibri" w:hAnsi="Calibri"/>
                <w:color w:val="1A2332"/>
                <w:sz w:val="19"/>
                <w:szCs w:val="19"/>
              </w:rPr>
              <w:t xml:space="preserve">Tests et sécurité</w:t>
            </w:r>
          </w:p>
        </w:tc>
        <w:tc>
          <w:tcPr>
            <w:tcW w:type="pct" w:w="40%"/>
            <w:shd w:fill="FFFFFF" w:val="clear"/>
            <w:tcMar>
              <w:top w:type="dxa" w:w="50"/>
              <w:left w:type="dxa" w:w="100"/>
              <w:bottom w:type="dxa" w:w="50"/>
              <w:right w:type="dxa" w:w="100"/>
            </w:tcMar>
          </w:tcPr>
          <w:p>
            <w:r>
              <w:rPr>
                <w:rFonts w:ascii="Calibri" w:cs="Calibri" w:eastAsia="Calibri" w:hAnsi="Calibri"/>
                <w:color w:val="1A2332"/>
                <w:sz w:val="19"/>
                <w:szCs w:val="19"/>
              </w:rPr>
              <w:t xml:space="preserve">Tests fonctionnels, audit sécurité</w:t>
            </w:r>
          </w:p>
        </w:tc>
        <w:tc>
          <w:tcPr>
            <w:tcW w:type="pct" w:w="35%"/>
            <w:shd w:fill="FFFFFF" w:val="clear"/>
            <w:tcMar>
              <w:top w:type="dxa" w:w="50"/>
              <w:left w:type="dxa" w:w="100"/>
              <w:bottom w:type="dxa" w:w="50"/>
              <w:right w:type="dxa" w:w="100"/>
            </w:tcMar>
          </w:tcPr>
          <w:p>
            <w:r>
              <w:rPr>
                <w:rFonts w:ascii="Calibri" w:cs="Calibri" w:eastAsia="Calibri" w:hAnsi="Calibri"/>
                <w:color w:val="1A2332"/>
                <w:sz w:val="19"/>
                <w:szCs w:val="19"/>
              </w:rPr>
              <w:t xml:space="preserve">10 000 - 15 000</w:t>
            </w:r>
          </w:p>
        </w:tc>
      </w:tr>
      <w:tr>
        <w:trPr>
          <w:cantSplit/>
        </w:trPr>
        <w:tc>
          <w:tcPr>
            <w:tcW w:type="pct" w:w="25%"/>
            <w:shd w:fill="F5F7FA" w:val="clear"/>
            <w:tcMar>
              <w:top w:type="dxa" w:w="50"/>
              <w:left w:type="dxa" w:w="100"/>
              <w:bottom w:type="dxa" w:w="50"/>
              <w:right w:type="dxa" w:w="100"/>
            </w:tcMar>
          </w:tcPr>
          <w:p>
            <w:r>
              <w:rPr>
                <w:rFonts w:ascii="Calibri" w:cs="Calibri" w:eastAsia="Calibri" w:hAnsi="Calibri"/>
                <w:color w:val="1A2332"/>
                <w:sz w:val="19"/>
                <w:szCs w:val="19"/>
              </w:rPr>
              <w:t xml:space="preserve">Formation et documentation</w:t>
            </w:r>
          </w:p>
        </w:tc>
        <w:tc>
          <w:tcPr>
            <w:tcW w:type="pct" w:w="40%"/>
            <w:shd w:fill="F5F7FA" w:val="clear"/>
            <w:tcMar>
              <w:top w:type="dxa" w:w="50"/>
              <w:left w:type="dxa" w:w="100"/>
              <w:bottom w:type="dxa" w:w="50"/>
              <w:right w:type="dxa" w:w="100"/>
            </w:tcMar>
          </w:tcPr>
          <w:p>
            <w:r>
              <w:rPr>
                <w:rFonts w:ascii="Calibri" w:cs="Calibri" w:eastAsia="Calibri" w:hAnsi="Calibri"/>
                <w:color w:val="1A2332"/>
                <w:sz w:val="19"/>
                <w:szCs w:val="19"/>
              </w:rPr>
              <w:t xml:space="preserve">Formation centres pilotes, manuels</w:t>
            </w:r>
          </w:p>
        </w:tc>
        <w:tc>
          <w:tcPr>
            <w:tcW w:type="pct" w:w="35%"/>
            <w:shd w:fill="F5F7FA" w:val="clear"/>
            <w:tcMar>
              <w:top w:type="dxa" w:w="50"/>
              <w:left w:type="dxa" w:w="100"/>
              <w:bottom w:type="dxa" w:w="50"/>
              <w:right w:type="dxa" w:w="100"/>
            </w:tcMar>
          </w:tcPr>
          <w:p>
            <w:r>
              <w:rPr>
                <w:rFonts w:ascii="Calibri" w:cs="Calibri" w:eastAsia="Calibri" w:hAnsi="Calibri"/>
                <w:color w:val="1A2332"/>
                <w:sz w:val="19"/>
                <w:szCs w:val="19"/>
              </w:rPr>
              <w:t xml:space="preserve">5 000 - 8 000</w:t>
            </w:r>
          </w:p>
        </w:tc>
      </w:tr>
      <w:tr>
        <w:trPr>
          <w:cantSplit/>
        </w:trPr>
        <w:tc>
          <w:tcPr>
            <w:tcW w:type="pct" w:w="25%"/>
            <w:shd w:fill="FFFFFF" w:val="clear"/>
            <w:tcMar>
              <w:top w:type="dxa" w:w="50"/>
              <w:left w:type="dxa" w:w="100"/>
              <w:bottom w:type="dxa" w:w="50"/>
              <w:right w:type="dxa" w:w="100"/>
            </w:tcMar>
          </w:tcPr>
          <w:p>
            <w:r>
              <w:rPr>
                <w:rFonts w:ascii="Calibri" w:cs="Calibri" w:eastAsia="Calibri" w:hAnsi="Calibri"/>
                <w:color w:val="1A2332"/>
                <w:sz w:val="19"/>
                <w:szCs w:val="19"/>
              </w:rPr>
              <w:t xml:space="preserve">Sous-total Phase 1</w:t>
            </w:r>
          </w:p>
        </w:tc>
        <w:tc>
          <w:tcPr>
            <w:tcW w:type="pct" w:w="40%"/>
            <w:shd w:fill="FFFFFF" w:val="clear"/>
            <w:tcMar>
              <w:top w:type="dxa" w:w="50"/>
              <w:left w:type="dxa" w:w="100"/>
              <w:bottom w:type="dxa" w:w="50"/>
              <w:right w:type="dxa" w:w="100"/>
            </w:tcMar>
          </w:tcPr>
          <w:p>
            <w:r>
              <w:rPr>
                <w:rFonts w:ascii="Calibri" w:cs="Calibri" w:eastAsia="Calibri" w:hAnsi="Calibri"/>
                <w:color w:val="1A2332"/>
                <w:sz w:val="19"/>
                <w:szCs w:val="19"/>
              </w:rPr>
              <w:t xml:space="preserve"/>
            </w:r>
          </w:p>
        </w:tc>
        <w:tc>
          <w:tcPr>
            <w:tcW w:type="pct" w:w="35%"/>
            <w:shd w:fill="FFFFFF" w:val="clear"/>
            <w:tcMar>
              <w:top w:type="dxa" w:w="50"/>
              <w:left w:type="dxa" w:w="100"/>
              <w:bottom w:type="dxa" w:w="50"/>
              <w:right w:type="dxa" w:w="100"/>
            </w:tcMar>
          </w:tcPr>
          <w:p>
            <w:r>
              <w:rPr>
                <w:rFonts w:ascii="Calibri" w:cs="Calibri" w:eastAsia="Calibri" w:hAnsi="Calibri"/>
                <w:color w:val="1A2332"/>
                <w:sz w:val="19"/>
                <w:szCs w:val="19"/>
              </w:rPr>
              <w:t xml:space="preserve">110 000 - 173 000</w:t>
            </w:r>
          </w:p>
        </w:tc>
      </w:tr>
    </w:tbl>
    <w:p>
      <w:pPr>
        <w:pStyle w:val="Heading2"/>
        <w:spacing w:after="120" w:before="240" w:line="312"/>
      </w:pPr>
      <w:bookmarkStart w:id="100070" w:name="_Toc100070"/>
      <w:r>
        <w:rPr>
          <w:rFonts w:ascii="Calibri" w:cs="Calibri" w:eastAsia="Calibri" w:hAnsi="Calibri"/>
          <w:b/>
          <w:bCs/>
          <w:color w:val="2C5F8A"/>
          <w:sz w:val="22"/>
          <w:szCs w:val="22"/>
        </w:rPr>
        <w:t xml:space="preserve">16.2 Coûts de développement (Phase 2 - V2)</w:t>
      </w:r>
      <w:bookmarkEnd w:id="100070"/>
    </w:p>
    <w:tbl>
      <w:tblPr>
        <w:tblW w:type="pct" w:w="100%"/>
        <w:tblBorders>
          <w:top w:val="single" w:color="D0D5DD" w:sz="1"/>
          <w:left w:val="single" w:color="D0D5DD" w:sz="1"/>
          <w:bottom w:val="single" w:color="D0D5DD" w:sz="1"/>
          <w:right w:val="single" w:color="D0D5DD" w:sz="1"/>
          <w:insideH w:val="single" w:color="D0D5DD" w:sz="1"/>
          <w:insideV w:val="single" w:color="D0D5DD" w:sz="1"/>
        </w:tblBorders>
      </w:tblPr>
      <w:tblGrid>
        <w:gridCol w:w="100"/>
        <w:gridCol w:w="100"/>
      </w:tblGrid>
      <w:tr>
        <w:trPr>
          <w:cantSplit/>
          <w:tblHeader/>
        </w:trPr>
        <w:tc>
          <w:tcPr>
            <w:tcW w:type="pct" w:w="50%"/>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Poste</w:t>
            </w:r>
          </w:p>
        </w:tc>
        <w:tc>
          <w:tcPr>
            <w:tcW w:type="pct" w:w="50%"/>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Estimation (EUR)</w:t>
            </w:r>
          </w:p>
        </w:tc>
      </w:tr>
      <w:tr>
        <w:trPr>
          <w:cantSplit/>
        </w:trPr>
        <w:tc>
          <w:tcPr>
            <w:tcW w:type="pct" w:w="50%"/>
            <w:shd w:fill="FFFFFF" w:val="clear"/>
            <w:tcMar>
              <w:top w:type="dxa" w:w="50"/>
              <w:left w:type="dxa" w:w="100"/>
              <w:bottom w:type="dxa" w:w="50"/>
              <w:right w:type="dxa" w:w="100"/>
            </w:tcMar>
          </w:tcPr>
          <w:p>
            <w:r>
              <w:rPr>
                <w:rFonts w:ascii="Calibri" w:cs="Calibri" w:eastAsia="Calibri" w:hAnsi="Calibri"/>
                <w:color w:val="1A2332"/>
                <w:sz w:val="19"/>
                <w:szCs w:val="19"/>
              </w:rPr>
              <w:t xml:space="preserve">Reconnaissance faciale : 15 000 - 25 000</w:t>
            </w:r>
          </w:p>
        </w:tc>
      </w:tr>
      <w:tr>
        <w:trPr>
          <w:cantSplit/>
        </w:trPr>
        <w:tc>
          <w:tcPr>
            <w:tcW w:type="pct" w:w="50%"/>
            <w:shd w:fill="F5F7FA" w:val="clear"/>
            <w:tcMar>
              <w:top w:type="dxa" w:w="50"/>
              <w:left w:type="dxa" w:w="100"/>
              <w:bottom w:type="dxa" w:w="50"/>
              <w:right w:type="dxa" w:w="100"/>
            </w:tcMar>
          </w:tcPr>
          <w:p>
            <w:r>
              <w:rPr>
                <w:rFonts w:ascii="Calibri" w:cs="Calibri" w:eastAsia="Calibri" w:hAnsi="Calibri"/>
                <w:color w:val="1A2332"/>
                <w:sz w:val="19"/>
                <w:szCs w:val="19"/>
              </w:rPr>
              <w:t xml:space="preserve">Application mobile : 25 000 - 40 000</w:t>
            </w:r>
          </w:p>
        </w:tc>
      </w:tr>
      <w:tr>
        <w:trPr>
          <w:cantSplit/>
        </w:trPr>
        <w:tc>
          <w:tcPr>
            <w:tcW w:type="pct" w:w="50%"/>
            <w:shd w:fill="FFFFFF" w:val="clear"/>
            <w:tcMar>
              <w:top w:type="dxa" w:w="50"/>
              <w:left w:type="dxa" w:w="100"/>
              <w:bottom w:type="dxa" w:w="50"/>
              <w:right w:type="dxa" w:w="100"/>
            </w:tcMar>
          </w:tcPr>
          <w:p>
            <w:r>
              <w:rPr>
                <w:rFonts w:ascii="Calibri" w:cs="Calibri" w:eastAsia="Calibri" w:hAnsi="Calibri"/>
                <w:color w:val="1A2332"/>
                <w:sz w:val="19"/>
                <w:szCs w:val="19"/>
              </w:rPr>
              <w:t xml:space="preserve">API permis biométrique : 10 000 - 20 000</w:t>
            </w:r>
          </w:p>
        </w:tc>
      </w:tr>
      <w:tr>
        <w:trPr>
          <w:cantSplit/>
        </w:trPr>
        <w:tc>
          <w:tcPr>
            <w:tcW w:type="pct" w:w="50%"/>
            <w:shd w:fill="F5F7FA" w:val="clear"/>
            <w:tcMar>
              <w:top w:type="dxa" w:w="50"/>
              <w:left w:type="dxa" w:w="100"/>
              <w:bottom w:type="dxa" w:w="50"/>
              <w:right w:type="dxa" w:w="100"/>
            </w:tcMar>
          </w:tcPr>
          <w:p>
            <w:r>
              <w:rPr>
                <w:rFonts w:ascii="Calibri" w:cs="Calibri" w:eastAsia="Calibri" w:hAnsi="Calibri"/>
                <w:color w:val="1A2332"/>
                <w:sz w:val="19"/>
                <w:szCs w:val="19"/>
              </w:rPr>
              <w:t xml:space="preserve">Dashboard BI avancé : 15 000 - 25 000</w:t>
            </w:r>
          </w:p>
        </w:tc>
      </w:tr>
      <w:tr>
        <w:trPr>
          <w:cantSplit/>
        </w:trPr>
        <w:tc>
          <w:tcPr>
            <w:tcW w:type="pct" w:w="50%"/>
            <w:shd w:fill="FFFFFF" w:val="clear"/>
            <w:tcMar>
              <w:top w:type="dxa" w:w="50"/>
              <w:left w:type="dxa" w:w="100"/>
              <w:bottom w:type="dxa" w:w="50"/>
              <w:right w:type="dxa" w:w="100"/>
            </w:tcMar>
          </w:tcPr>
          <w:p>
            <w:r>
              <w:rPr>
                <w:rFonts w:ascii="Calibri" w:cs="Calibri" w:eastAsia="Calibri" w:hAnsi="Calibri"/>
                <w:color w:val="1A2332"/>
                <w:sz w:val="19"/>
                <w:szCs w:val="19"/>
              </w:rPr>
              <w:t xml:space="preserve">Audit automatisé : 8 000 - 12 000</w:t>
            </w:r>
          </w:p>
        </w:tc>
      </w:tr>
      <w:tr>
        <w:trPr>
          <w:cantSplit/>
        </w:trPr>
        <w:tc>
          <w:tcPr>
            <w:tcW w:type="pct" w:w="50%"/>
            <w:shd w:fill="F5F7FA" w:val="clear"/>
            <w:tcMar>
              <w:top w:type="dxa" w:w="50"/>
              <w:left w:type="dxa" w:w="100"/>
              <w:bottom w:type="dxa" w:w="50"/>
              <w:right w:type="dxa" w:w="100"/>
            </w:tcMar>
          </w:tcPr>
          <w:p>
            <w:r>
              <w:rPr>
                <w:rFonts w:ascii="Calibri" w:cs="Calibri" w:eastAsia="Calibri" w:hAnsi="Calibri"/>
                <w:color w:val="1A2332"/>
                <w:sz w:val="19"/>
                <w:szCs w:val="19"/>
              </w:rPr>
              <w:t xml:space="preserve">Sous-total Phase 2 : 73 000 - 122 000</w:t>
            </w:r>
          </w:p>
        </w:tc>
      </w:tr>
    </w:tbl>
    <w:p>
      <w:pPr>
        <w:pStyle w:val="Heading2"/>
        <w:spacing w:after="120" w:before="240" w:line="312"/>
      </w:pPr>
      <w:bookmarkStart w:id="100071" w:name="_Toc100071"/>
      <w:r>
        <w:rPr>
          <w:rFonts w:ascii="Calibri" w:cs="Calibri" w:eastAsia="Calibri" w:hAnsi="Calibri"/>
          <w:b/>
          <w:bCs/>
          <w:color w:val="2C5F8A"/>
          <w:sz w:val="22"/>
          <w:szCs w:val="22"/>
        </w:rPr>
        <w:t xml:space="preserve">16.3 Coûts d’infrastructure annuelle</w:t>
      </w:r>
      <w:bookmarkEnd w:id="100071"/>
    </w:p>
    <w:tbl>
      <w:tblPr>
        <w:tblW w:type="pct" w:w="100%"/>
        <w:tblBorders>
          <w:top w:val="single" w:color="D0D5DD" w:sz="1"/>
          <w:left w:val="single" w:color="D0D5DD" w:sz="1"/>
          <w:bottom w:val="single" w:color="D0D5DD" w:sz="1"/>
          <w:right w:val="single" w:color="D0D5DD" w:sz="1"/>
          <w:insideH w:val="single" w:color="D0D5DD" w:sz="1"/>
          <w:insideV w:val="single" w:color="D0D5DD" w:sz="1"/>
        </w:tblBorders>
      </w:tblPr>
      <w:tblGrid>
        <w:gridCol w:w="100"/>
        <w:gridCol w:w="100"/>
      </w:tblGrid>
      <w:tr>
        <w:trPr>
          <w:cantSplit/>
          <w:tblHeader/>
        </w:trPr>
        <w:tc>
          <w:tcPr>
            <w:tcW w:type="pct" w:w="50%"/>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Poste</w:t>
            </w:r>
          </w:p>
        </w:tc>
        <w:tc>
          <w:tcPr>
            <w:tcW w:type="pct" w:w="50%"/>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Estimation annuelle (EUR)</w:t>
            </w:r>
          </w:p>
        </w:tc>
      </w:tr>
      <w:tr>
        <w:trPr>
          <w:cantSplit/>
        </w:trPr>
        <w:tc>
          <w:tcPr>
            <w:tcW w:type="pct" w:w="50%"/>
            <w:shd w:fill="FFFFFF" w:val="clear"/>
            <w:tcMar>
              <w:top w:type="dxa" w:w="50"/>
              <w:left w:type="dxa" w:w="100"/>
              <w:bottom w:type="dxa" w:w="50"/>
              <w:right w:type="dxa" w:w="100"/>
            </w:tcMar>
          </w:tcPr>
          <w:p>
            <w:r>
              <w:rPr>
                <w:rFonts w:ascii="Calibri" w:cs="Calibri" w:eastAsia="Calibri" w:hAnsi="Calibri"/>
                <w:color w:val="1A2332"/>
                <w:sz w:val="19"/>
                <w:szCs w:val="19"/>
              </w:rPr>
              <w:t xml:space="preserve">Hébergement cloud hybride : 12 000 - 24 000</w:t>
            </w:r>
          </w:p>
        </w:tc>
      </w:tr>
      <w:tr>
        <w:trPr>
          <w:cantSplit/>
        </w:trPr>
        <w:tc>
          <w:tcPr>
            <w:tcW w:type="pct" w:w="50%"/>
            <w:shd w:fill="F5F7FA" w:val="clear"/>
            <w:tcMar>
              <w:top w:type="dxa" w:w="50"/>
              <w:left w:type="dxa" w:w="100"/>
              <w:bottom w:type="dxa" w:w="50"/>
              <w:right w:type="dxa" w:w="100"/>
            </w:tcMar>
          </w:tcPr>
          <w:p>
            <w:r>
              <w:rPr>
                <w:rFonts w:ascii="Calibri" w:cs="Calibri" w:eastAsia="Calibri" w:hAnsi="Calibri"/>
                <w:color w:val="1A2332"/>
                <w:sz w:val="19"/>
                <w:szCs w:val="19"/>
              </w:rPr>
              <w:t xml:space="preserve">Services SMS / WhatsApp : 5 000 - 10 000</w:t>
            </w:r>
          </w:p>
        </w:tc>
      </w:tr>
      <w:tr>
        <w:trPr>
          <w:cantSplit/>
        </w:trPr>
        <w:tc>
          <w:tcPr>
            <w:tcW w:type="pct" w:w="50%"/>
            <w:shd w:fill="FFFFFF" w:val="clear"/>
            <w:tcMar>
              <w:top w:type="dxa" w:w="50"/>
              <w:left w:type="dxa" w:w="100"/>
              <w:bottom w:type="dxa" w:w="50"/>
              <w:right w:type="dxa" w:w="100"/>
            </w:tcMar>
          </w:tcPr>
          <w:p>
            <w:r>
              <w:rPr>
                <w:rFonts w:ascii="Calibri" w:cs="Calibri" w:eastAsia="Calibri" w:hAnsi="Calibri"/>
                <w:color w:val="1A2332"/>
                <w:sz w:val="19"/>
                <w:szCs w:val="19"/>
              </w:rPr>
              <w:t xml:space="preserve">Licences et outils DevOps : 3 000 - 6 000</w:t>
            </w:r>
          </w:p>
        </w:tc>
      </w:tr>
      <w:tr>
        <w:trPr>
          <w:cantSplit/>
        </w:trPr>
        <w:tc>
          <w:tcPr>
            <w:tcW w:type="pct" w:w="50%"/>
            <w:shd w:fill="F5F7FA" w:val="clear"/>
            <w:tcMar>
              <w:top w:type="dxa" w:w="50"/>
              <w:left w:type="dxa" w:w="100"/>
              <w:bottom w:type="dxa" w:w="50"/>
              <w:right w:type="dxa" w:w="100"/>
            </w:tcMar>
          </w:tcPr>
          <w:p>
            <w:r>
              <w:rPr>
                <w:rFonts w:ascii="Calibri" w:cs="Calibri" w:eastAsia="Calibri" w:hAnsi="Calibri"/>
                <w:color w:val="1A2332"/>
                <w:sz w:val="19"/>
                <w:szCs w:val="19"/>
              </w:rPr>
              <w:t xml:space="preserve">Maintenance et support : 15 000 - 25 000</w:t>
            </w:r>
          </w:p>
        </w:tc>
      </w:tr>
      <w:tr>
        <w:trPr>
          <w:cantSplit/>
        </w:trPr>
        <w:tc>
          <w:tcPr>
            <w:tcW w:type="pct" w:w="50%"/>
            <w:shd w:fill="FFFFFF" w:val="clear"/>
            <w:tcMar>
              <w:top w:type="dxa" w:w="50"/>
              <w:left w:type="dxa" w:w="100"/>
              <w:bottom w:type="dxa" w:w="50"/>
              <w:right w:type="dxa" w:w="100"/>
            </w:tcMar>
          </w:tcPr>
          <w:p>
            <w:r>
              <w:rPr>
                <w:rFonts w:ascii="Calibri" w:cs="Calibri" w:eastAsia="Calibri" w:hAnsi="Calibri"/>
                <w:color w:val="1A2332"/>
                <w:sz w:val="19"/>
                <w:szCs w:val="19"/>
              </w:rPr>
              <w:t xml:space="preserve">Sous-total annuel : 35 000 - 65 000</w:t>
            </w:r>
          </w:p>
        </w:tc>
      </w:tr>
    </w:tbl>
    <w:p>
      <w:pPr>
        <w:spacing w:after="120" w:line="312"/>
        <w:jc w:val="both"/>
      </w:pPr>
      <w:r>
        <w:rPr>
          <w:rFonts w:ascii="Calibri" w:cs="Calibri" w:eastAsia="Calibri" w:hAnsi="Calibri"/>
          <w:color w:val="1A2332"/>
          <w:sz w:val="21"/>
          <w:szCs w:val="21"/>
        </w:rPr>
        <w:t xml:space="preserve">Estimation totale sur 2 ans (développement + infrastructure) : 253 000 - 425 000 EUR, soit environ 280 000 000 - 470 000 000 GNF au taux actuel. Ce budget peut être partiellement couvert par les revenus générés par les frais d’examen dès la première année de fonctionnement.</w:t>
      </w:r>
    </w:p>
    <w:p>
      <w:pPr>
        <w:pStyle w:val="Heading1"/>
        <w:spacing w:after="200" w:before="360" w:line="312"/>
      </w:pPr>
      <w:bookmarkStart w:id="100072" w:name="_Toc100072"/>
      <w:r>
        <w:rPr>
          <w:rFonts w:ascii="Calibri" w:cs="Calibri" w:eastAsia="Calibri" w:hAnsi="Calibri"/>
          <w:b/>
          <w:bCs/>
          <w:color w:val="1A2332"/>
          <w:sz w:val="28"/>
          <w:szCs w:val="28"/>
        </w:rPr>
        <w:t xml:space="preserve">17. Analyse des risques</w:t>
      </w:r>
      <w:bookmarkEnd w:id="100072"/>
    </w:p>
    <w:p>
      <w:pPr>
        <w:pBdr>
          <w:bottom w:val="single" w:color="CE1126" w:sz="6"/>
        </w:pBdr>
        <w:spacing w:after="160"/>
      </w:pPr>
    </w:p>
    <w:p>
      <w:pPr>
        <w:spacing w:after="120" w:line="312"/>
        <w:jc w:val="both"/>
      </w:pPr>
      <w:r>
        <w:rPr>
          <w:rFonts w:ascii="Calibri" w:cs="Calibri" w:eastAsia="Calibri" w:hAnsi="Calibri"/>
          <w:color w:val="1A2332"/>
          <w:sz w:val="21"/>
          <w:szCs w:val="21"/>
        </w:rPr>
        <w:t xml:space="preserve">L’analyse des risques identifie les menaces principales pesant sur le projet, qu’elles soient techniques, organisationnelles ou juridiques. Pour chaque risque, une stratégie d’atténuation est proposée.</w:t>
      </w:r>
    </w:p>
    <w:tbl>
      <w:tblPr>
        <w:tblW w:type="pct" w:w="100%"/>
        <w:tblBorders>
          <w:top w:val="single" w:color="D0D5DD" w:sz="1"/>
          <w:left w:val="single" w:color="D0D5DD" w:sz="1"/>
          <w:bottom w:val="single" w:color="D0D5DD" w:sz="1"/>
          <w:right w:val="single" w:color="D0D5DD" w:sz="1"/>
          <w:insideH w:val="single" w:color="D0D5DD" w:sz="1"/>
          <w:insideV w:val="single" w:color="D0D5DD" w:sz="1"/>
        </w:tblBorders>
      </w:tblPr>
      <w:tblGrid>
        <w:gridCol w:w="100"/>
        <w:gridCol w:w="100"/>
        <w:gridCol w:w="100"/>
        <w:gridCol w:w="100"/>
        <w:gridCol w:w="100"/>
      </w:tblGrid>
      <w:tr>
        <w:trPr>
          <w:cantSplit/>
          <w:tblHeader/>
        </w:trPr>
        <w:tc>
          <w:tcPr>
            <w:tcW w:type="pct" w:w="20%"/>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Risque</w:t>
            </w:r>
          </w:p>
        </w:tc>
        <w:tc>
          <w:tcPr>
            <w:tcW w:type="pct" w:w="15%"/>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Catégorie</w:t>
            </w:r>
          </w:p>
        </w:tc>
        <w:tc>
          <w:tcPr>
            <w:tcW w:type="pct" w:w="12%"/>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Probabilité</w:t>
            </w:r>
          </w:p>
        </w:tc>
        <w:tc>
          <w:tcPr>
            <w:tcW w:type="pct" w:w="12%"/>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Impact</w:t>
            </w:r>
          </w:p>
        </w:tc>
        <w:tc>
          <w:tcPr>
            <w:tcW w:type="pct" w:w="41%"/>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Atténuation</w:t>
            </w:r>
          </w:p>
        </w:tc>
      </w:tr>
      <w:tr>
        <w:trPr>
          <w:cantSplit/>
        </w:trPr>
        <w:tc>
          <w:tcPr>
            <w:tcW w:type="pct" w:w="20%"/>
            <w:shd w:fill="FFFFFF" w:val="clear"/>
            <w:tcMar>
              <w:top w:type="dxa" w:w="50"/>
              <w:left w:type="dxa" w:w="100"/>
              <w:bottom w:type="dxa" w:w="50"/>
              <w:right w:type="dxa" w:w="100"/>
            </w:tcMar>
          </w:tcPr>
          <w:p>
            <w:r>
              <w:rPr>
                <w:rFonts w:ascii="Calibri" w:cs="Calibri" w:eastAsia="Calibri" w:hAnsi="Calibri"/>
                <w:color w:val="1A2332"/>
                <w:sz w:val="19"/>
                <w:szCs w:val="19"/>
              </w:rPr>
              <w:t xml:space="preserve">Fraude malgré le dispositif</w:t>
            </w:r>
          </w:p>
        </w:tc>
        <w:tc>
          <w:tcPr>
            <w:tcW w:type="pct" w:w="15%"/>
            <w:shd w:fill="FFFFFF" w:val="clear"/>
            <w:tcMar>
              <w:top w:type="dxa" w:w="50"/>
              <w:left w:type="dxa" w:w="100"/>
              <w:bottom w:type="dxa" w:w="50"/>
              <w:right w:type="dxa" w:w="100"/>
            </w:tcMar>
          </w:tcPr>
          <w:p>
            <w:r>
              <w:rPr>
                <w:rFonts w:ascii="Calibri" w:cs="Calibri" w:eastAsia="Calibri" w:hAnsi="Calibri"/>
                <w:color w:val="1A2332"/>
                <w:sz w:val="19"/>
                <w:szCs w:val="19"/>
              </w:rPr>
              <w:t xml:space="preserve">Technique</w:t>
            </w:r>
          </w:p>
        </w:tc>
        <w:tc>
          <w:tcPr>
            <w:tcW w:type="pct" w:w="12%"/>
            <w:shd w:fill="FFFFFF" w:val="clear"/>
            <w:tcMar>
              <w:top w:type="dxa" w:w="50"/>
              <w:left w:type="dxa" w:w="100"/>
              <w:bottom w:type="dxa" w:w="50"/>
              <w:right w:type="dxa" w:w="100"/>
            </w:tcMar>
          </w:tcPr>
          <w:p>
            <w:r>
              <w:rPr>
                <w:rFonts w:ascii="Calibri" w:cs="Calibri" w:eastAsia="Calibri" w:hAnsi="Calibri"/>
                <w:color w:val="1A2332"/>
                <w:sz w:val="19"/>
                <w:szCs w:val="19"/>
              </w:rPr>
              <w:t xml:space="preserve">Moyenne</w:t>
            </w:r>
          </w:p>
        </w:tc>
        <w:tc>
          <w:tcPr>
            <w:tcW w:type="pct" w:w="12%"/>
            <w:shd w:fill="FFFFFF" w:val="clear"/>
            <w:tcMar>
              <w:top w:type="dxa" w:w="50"/>
              <w:left w:type="dxa" w:w="100"/>
              <w:bottom w:type="dxa" w:w="50"/>
              <w:right w:type="dxa" w:w="100"/>
            </w:tcMar>
          </w:tcPr>
          <w:p>
            <w:r>
              <w:rPr>
                <w:rFonts w:ascii="Calibri" w:cs="Calibri" w:eastAsia="Calibri" w:hAnsi="Calibri"/>
                <w:color w:val="1A2332"/>
                <w:sz w:val="19"/>
                <w:szCs w:val="19"/>
              </w:rPr>
              <w:t xml:space="preserve">Élevé</w:t>
            </w:r>
          </w:p>
        </w:tc>
        <w:tc>
          <w:tcPr>
            <w:tcW w:type="pct" w:w="41%"/>
            <w:shd w:fill="FFFFFF" w:val="clear"/>
            <w:tcMar>
              <w:top w:type="dxa" w:w="50"/>
              <w:left w:type="dxa" w:w="100"/>
              <w:bottom w:type="dxa" w:w="50"/>
              <w:right w:type="dxa" w:w="100"/>
            </w:tcMar>
          </w:tcPr>
          <w:p>
            <w:r>
              <w:rPr>
                <w:rFonts w:ascii="Calibri" w:cs="Calibri" w:eastAsia="Calibri" w:hAnsi="Calibri"/>
                <w:color w:val="1A2332"/>
                <w:sz w:val="19"/>
                <w:szCs w:val="19"/>
              </w:rPr>
              <w:t xml:space="preserve">Monitoring continu, audits aléatoires</w:t>
            </w:r>
          </w:p>
        </w:tc>
      </w:tr>
      <w:tr>
        <w:trPr>
          <w:cantSplit/>
        </w:trPr>
        <w:tc>
          <w:tcPr>
            <w:tcW w:type="pct" w:w="20%"/>
            <w:shd w:fill="F5F7FA" w:val="clear"/>
            <w:tcMar>
              <w:top w:type="dxa" w:w="50"/>
              <w:left w:type="dxa" w:w="100"/>
              <w:bottom w:type="dxa" w:w="50"/>
              <w:right w:type="dxa" w:w="100"/>
            </w:tcMar>
          </w:tcPr>
          <w:p>
            <w:r>
              <w:rPr>
                <w:rFonts w:ascii="Calibri" w:cs="Calibri" w:eastAsia="Calibri" w:hAnsi="Calibri"/>
                <w:color w:val="1A2332"/>
                <w:sz w:val="19"/>
                <w:szCs w:val="19"/>
              </w:rPr>
              <w:t xml:space="preserve">Panne de connectivité</w:t>
            </w:r>
          </w:p>
        </w:tc>
        <w:tc>
          <w:tcPr>
            <w:tcW w:type="pct" w:w="15%"/>
            <w:shd w:fill="F5F7FA" w:val="clear"/>
            <w:tcMar>
              <w:top w:type="dxa" w:w="50"/>
              <w:left w:type="dxa" w:w="100"/>
              <w:bottom w:type="dxa" w:w="50"/>
              <w:right w:type="dxa" w:w="100"/>
            </w:tcMar>
          </w:tcPr>
          <w:p>
            <w:r>
              <w:rPr>
                <w:rFonts w:ascii="Calibri" w:cs="Calibri" w:eastAsia="Calibri" w:hAnsi="Calibri"/>
                <w:color w:val="1A2332"/>
                <w:sz w:val="19"/>
                <w:szCs w:val="19"/>
              </w:rPr>
              <w:t xml:space="preserve">Technique</w:t>
            </w:r>
          </w:p>
        </w:tc>
        <w:tc>
          <w:tcPr>
            <w:tcW w:type="pct" w:w="12%"/>
            <w:shd w:fill="F5F7FA" w:val="clear"/>
            <w:tcMar>
              <w:top w:type="dxa" w:w="50"/>
              <w:left w:type="dxa" w:w="100"/>
              <w:bottom w:type="dxa" w:w="50"/>
              <w:right w:type="dxa" w:w="100"/>
            </w:tcMar>
          </w:tcPr>
          <w:p>
            <w:r>
              <w:rPr>
                <w:rFonts w:ascii="Calibri" w:cs="Calibri" w:eastAsia="Calibri" w:hAnsi="Calibri"/>
                <w:color w:val="1A2332"/>
                <w:sz w:val="19"/>
                <w:szCs w:val="19"/>
              </w:rPr>
              <w:t xml:space="preserve">Élevée</w:t>
            </w:r>
          </w:p>
        </w:tc>
        <w:tc>
          <w:tcPr>
            <w:tcW w:type="pct" w:w="12%"/>
            <w:shd w:fill="F5F7FA" w:val="clear"/>
            <w:tcMar>
              <w:top w:type="dxa" w:w="50"/>
              <w:left w:type="dxa" w:w="100"/>
              <w:bottom w:type="dxa" w:w="50"/>
              <w:right w:type="dxa" w:w="100"/>
            </w:tcMar>
          </w:tcPr>
          <w:p>
            <w:r>
              <w:rPr>
                <w:rFonts w:ascii="Calibri" w:cs="Calibri" w:eastAsia="Calibri" w:hAnsi="Calibri"/>
                <w:color w:val="1A2332"/>
                <w:sz w:val="19"/>
                <w:szCs w:val="19"/>
              </w:rPr>
              <w:t xml:space="preserve">Élevé</w:t>
            </w:r>
          </w:p>
        </w:tc>
        <w:tc>
          <w:tcPr>
            <w:tcW w:type="pct" w:w="41%"/>
            <w:shd w:fill="F5F7FA" w:val="clear"/>
            <w:tcMar>
              <w:top w:type="dxa" w:w="50"/>
              <w:left w:type="dxa" w:w="100"/>
              <w:bottom w:type="dxa" w:w="50"/>
              <w:right w:type="dxa" w:w="100"/>
            </w:tcMar>
          </w:tcPr>
          <w:p>
            <w:r>
              <w:rPr>
                <w:rFonts w:ascii="Calibri" w:cs="Calibri" w:eastAsia="Calibri" w:hAnsi="Calibri"/>
                <w:color w:val="1A2332"/>
                <w:sz w:val="19"/>
                <w:szCs w:val="19"/>
              </w:rPr>
              <w:t xml:space="preserve">Onduleur, mode hors-ligne, lien redondant</w:t>
            </w:r>
          </w:p>
        </w:tc>
      </w:tr>
      <w:tr>
        <w:trPr>
          <w:cantSplit/>
        </w:trPr>
        <w:tc>
          <w:tcPr>
            <w:tcW w:type="pct" w:w="20%"/>
            <w:shd w:fill="FFFFFF" w:val="clear"/>
            <w:tcMar>
              <w:top w:type="dxa" w:w="50"/>
              <w:left w:type="dxa" w:w="100"/>
              <w:bottom w:type="dxa" w:w="50"/>
              <w:right w:type="dxa" w:w="100"/>
            </w:tcMar>
          </w:tcPr>
          <w:p>
            <w:r>
              <w:rPr>
                <w:rFonts w:ascii="Calibri" w:cs="Calibri" w:eastAsia="Calibri" w:hAnsi="Calibri"/>
                <w:color w:val="1A2332"/>
                <w:sz w:val="19"/>
                <w:szCs w:val="19"/>
              </w:rPr>
              <w:t xml:space="preserve">Corruption des agents</w:t>
            </w:r>
          </w:p>
        </w:tc>
        <w:tc>
          <w:tcPr>
            <w:tcW w:type="pct" w:w="15%"/>
            <w:shd w:fill="FFFFFF" w:val="clear"/>
            <w:tcMar>
              <w:top w:type="dxa" w:w="50"/>
              <w:left w:type="dxa" w:w="100"/>
              <w:bottom w:type="dxa" w:w="50"/>
              <w:right w:type="dxa" w:w="100"/>
            </w:tcMar>
          </w:tcPr>
          <w:p>
            <w:r>
              <w:rPr>
                <w:rFonts w:ascii="Calibri" w:cs="Calibri" w:eastAsia="Calibri" w:hAnsi="Calibri"/>
                <w:color w:val="1A2332"/>
                <w:sz w:val="19"/>
                <w:szCs w:val="19"/>
              </w:rPr>
              <w:t xml:space="preserve">Organisationnel</w:t>
            </w:r>
          </w:p>
        </w:tc>
        <w:tc>
          <w:tcPr>
            <w:tcW w:type="pct" w:w="12%"/>
            <w:shd w:fill="FFFFFF" w:val="clear"/>
            <w:tcMar>
              <w:top w:type="dxa" w:w="50"/>
              <w:left w:type="dxa" w:w="100"/>
              <w:bottom w:type="dxa" w:w="50"/>
              <w:right w:type="dxa" w:w="100"/>
            </w:tcMar>
          </w:tcPr>
          <w:p>
            <w:r>
              <w:rPr>
                <w:rFonts w:ascii="Calibri" w:cs="Calibri" w:eastAsia="Calibri" w:hAnsi="Calibri"/>
                <w:color w:val="1A2332"/>
                <w:sz w:val="19"/>
                <w:szCs w:val="19"/>
              </w:rPr>
              <w:t xml:space="preserve">Moyenne</w:t>
            </w:r>
          </w:p>
        </w:tc>
        <w:tc>
          <w:tcPr>
            <w:tcW w:type="pct" w:w="12%"/>
            <w:shd w:fill="FFFFFF" w:val="clear"/>
            <w:tcMar>
              <w:top w:type="dxa" w:w="50"/>
              <w:left w:type="dxa" w:w="100"/>
              <w:bottom w:type="dxa" w:w="50"/>
              <w:right w:type="dxa" w:w="100"/>
            </w:tcMar>
          </w:tcPr>
          <w:p>
            <w:r>
              <w:rPr>
                <w:rFonts w:ascii="Calibri" w:cs="Calibri" w:eastAsia="Calibri" w:hAnsi="Calibri"/>
                <w:color w:val="1A2332"/>
                <w:sz w:val="19"/>
                <w:szCs w:val="19"/>
              </w:rPr>
              <w:t xml:space="preserve">Élevé</w:t>
            </w:r>
          </w:p>
        </w:tc>
        <w:tc>
          <w:tcPr>
            <w:tcW w:type="pct" w:w="41%"/>
            <w:shd w:fill="FFFFFF" w:val="clear"/>
            <w:tcMar>
              <w:top w:type="dxa" w:w="50"/>
              <w:left w:type="dxa" w:w="100"/>
              <w:bottom w:type="dxa" w:w="50"/>
              <w:right w:type="dxa" w:w="100"/>
            </w:tcMar>
          </w:tcPr>
          <w:p>
            <w:r>
              <w:rPr>
                <w:rFonts w:ascii="Calibri" w:cs="Calibri" w:eastAsia="Calibri" w:hAnsi="Calibri"/>
                <w:color w:val="1A2332"/>
                <w:sz w:val="19"/>
                <w:szCs w:val="19"/>
              </w:rPr>
              <w:t xml:space="preserve">Rotation, surveillance vidéo, signalement anonyme</w:t>
            </w:r>
          </w:p>
        </w:tc>
      </w:tr>
      <w:tr>
        <w:trPr>
          <w:cantSplit/>
        </w:trPr>
        <w:tc>
          <w:tcPr>
            <w:tcW w:type="pct" w:w="20%"/>
            <w:shd w:fill="F5F7FA" w:val="clear"/>
            <w:tcMar>
              <w:top w:type="dxa" w:w="50"/>
              <w:left w:type="dxa" w:w="100"/>
              <w:bottom w:type="dxa" w:w="50"/>
              <w:right w:type="dxa" w:w="100"/>
            </w:tcMar>
          </w:tcPr>
          <w:p>
            <w:r>
              <w:rPr>
                <w:rFonts w:ascii="Calibri" w:cs="Calibri" w:eastAsia="Calibri" w:hAnsi="Calibri"/>
                <w:color w:val="1A2332"/>
                <w:sz w:val="19"/>
                <w:szCs w:val="19"/>
              </w:rPr>
              <w:t xml:space="preserve">Résistance au changement</w:t>
            </w:r>
          </w:p>
        </w:tc>
        <w:tc>
          <w:tcPr>
            <w:tcW w:type="pct" w:w="15%"/>
            <w:shd w:fill="F5F7FA" w:val="clear"/>
            <w:tcMar>
              <w:top w:type="dxa" w:w="50"/>
              <w:left w:type="dxa" w:w="100"/>
              <w:bottom w:type="dxa" w:w="50"/>
              <w:right w:type="dxa" w:w="100"/>
            </w:tcMar>
          </w:tcPr>
          <w:p>
            <w:r>
              <w:rPr>
                <w:rFonts w:ascii="Calibri" w:cs="Calibri" w:eastAsia="Calibri" w:hAnsi="Calibri"/>
                <w:color w:val="1A2332"/>
                <w:sz w:val="19"/>
                <w:szCs w:val="19"/>
              </w:rPr>
              <w:t xml:space="preserve">Organisationnel</w:t>
            </w:r>
          </w:p>
        </w:tc>
        <w:tc>
          <w:tcPr>
            <w:tcW w:type="pct" w:w="12%"/>
            <w:shd w:fill="F5F7FA" w:val="clear"/>
            <w:tcMar>
              <w:top w:type="dxa" w:w="50"/>
              <w:left w:type="dxa" w:w="100"/>
              <w:bottom w:type="dxa" w:w="50"/>
              <w:right w:type="dxa" w:w="100"/>
            </w:tcMar>
          </w:tcPr>
          <w:p>
            <w:r>
              <w:rPr>
                <w:rFonts w:ascii="Calibri" w:cs="Calibri" w:eastAsia="Calibri" w:hAnsi="Calibri"/>
                <w:color w:val="1A2332"/>
                <w:sz w:val="19"/>
                <w:szCs w:val="19"/>
              </w:rPr>
              <w:t xml:space="preserve">Élevée</w:t>
            </w:r>
          </w:p>
        </w:tc>
        <w:tc>
          <w:tcPr>
            <w:tcW w:type="pct" w:w="12%"/>
            <w:shd w:fill="F5F7FA" w:val="clear"/>
            <w:tcMar>
              <w:top w:type="dxa" w:w="50"/>
              <w:left w:type="dxa" w:w="100"/>
              <w:bottom w:type="dxa" w:w="50"/>
              <w:right w:type="dxa" w:w="100"/>
            </w:tcMar>
          </w:tcPr>
          <w:p>
            <w:r>
              <w:rPr>
                <w:rFonts w:ascii="Calibri" w:cs="Calibri" w:eastAsia="Calibri" w:hAnsi="Calibri"/>
                <w:color w:val="1A2332"/>
                <w:sz w:val="19"/>
                <w:szCs w:val="19"/>
              </w:rPr>
              <w:t xml:space="preserve">Moyen</w:t>
            </w:r>
          </w:p>
        </w:tc>
        <w:tc>
          <w:tcPr>
            <w:tcW w:type="pct" w:w="41%"/>
            <w:shd w:fill="F5F7FA" w:val="clear"/>
            <w:tcMar>
              <w:top w:type="dxa" w:w="50"/>
              <w:left w:type="dxa" w:w="100"/>
              <w:bottom w:type="dxa" w:w="50"/>
              <w:right w:type="dxa" w:w="100"/>
            </w:tcMar>
          </w:tcPr>
          <w:p>
            <w:r>
              <w:rPr>
                <w:rFonts w:ascii="Calibri" w:cs="Calibri" w:eastAsia="Calibri" w:hAnsi="Calibri"/>
                <w:color w:val="1A2332"/>
                <w:sz w:val="19"/>
                <w:szCs w:val="19"/>
              </w:rPr>
              <w:t xml:space="preserve">Formation, communication, période de transition</w:t>
            </w:r>
          </w:p>
        </w:tc>
      </w:tr>
      <w:tr>
        <w:trPr>
          <w:cantSplit/>
        </w:trPr>
        <w:tc>
          <w:tcPr>
            <w:tcW w:type="pct" w:w="20%"/>
            <w:shd w:fill="FFFFFF" w:val="clear"/>
            <w:tcMar>
              <w:top w:type="dxa" w:w="50"/>
              <w:left w:type="dxa" w:w="100"/>
              <w:bottom w:type="dxa" w:w="50"/>
              <w:right w:type="dxa" w:w="100"/>
            </w:tcMar>
          </w:tcPr>
          <w:p>
            <w:r>
              <w:rPr>
                <w:rFonts w:ascii="Calibri" w:cs="Calibri" w:eastAsia="Calibri" w:hAnsi="Calibri"/>
                <w:color w:val="1A2332"/>
                <w:sz w:val="19"/>
                <w:szCs w:val="19"/>
              </w:rPr>
              <w:t xml:space="preserve">Données compromises</w:t>
            </w:r>
          </w:p>
        </w:tc>
        <w:tc>
          <w:tcPr>
            <w:tcW w:type="pct" w:w="15%"/>
            <w:shd w:fill="FFFFFF" w:val="clear"/>
            <w:tcMar>
              <w:top w:type="dxa" w:w="50"/>
              <w:left w:type="dxa" w:w="100"/>
              <w:bottom w:type="dxa" w:w="50"/>
              <w:right w:type="dxa" w:w="100"/>
            </w:tcMar>
          </w:tcPr>
          <w:p>
            <w:r>
              <w:rPr>
                <w:rFonts w:ascii="Calibri" w:cs="Calibri" w:eastAsia="Calibri" w:hAnsi="Calibri"/>
                <w:color w:val="1A2332"/>
                <w:sz w:val="19"/>
                <w:szCs w:val="19"/>
              </w:rPr>
              <w:t xml:space="preserve">Juridique</w:t>
            </w:r>
          </w:p>
        </w:tc>
        <w:tc>
          <w:tcPr>
            <w:tcW w:type="pct" w:w="12%"/>
            <w:shd w:fill="FFFFFF" w:val="clear"/>
            <w:tcMar>
              <w:top w:type="dxa" w:w="50"/>
              <w:left w:type="dxa" w:w="100"/>
              <w:bottom w:type="dxa" w:w="50"/>
              <w:right w:type="dxa" w:w="100"/>
            </w:tcMar>
          </w:tcPr>
          <w:p>
            <w:r>
              <w:rPr>
                <w:rFonts w:ascii="Calibri" w:cs="Calibri" w:eastAsia="Calibri" w:hAnsi="Calibri"/>
                <w:color w:val="1A2332"/>
                <w:sz w:val="19"/>
                <w:szCs w:val="19"/>
              </w:rPr>
              <w:t xml:space="preserve">Faible</w:t>
            </w:r>
          </w:p>
        </w:tc>
        <w:tc>
          <w:tcPr>
            <w:tcW w:type="pct" w:w="12%"/>
            <w:shd w:fill="FFFFFF" w:val="clear"/>
            <w:tcMar>
              <w:top w:type="dxa" w:w="50"/>
              <w:left w:type="dxa" w:w="100"/>
              <w:bottom w:type="dxa" w:w="50"/>
              <w:right w:type="dxa" w:w="100"/>
            </w:tcMar>
          </w:tcPr>
          <w:p>
            <w:r>
              <w:rPr>
                <w:rFonts w:ascii="Calibri" w:cs="Calibri" w:eastAsia="Calibri" w:hAnsi="Calibri"/>
                <w:color w:val="1A2332"/>
                <w:sz w:val="19"/>
                <w:szCs w:val="19"/>
              </w:rPr>
              <w:t xml:space="preserve">Élevé</w:t>
            </w:r>
          </w:p>
        </w:tc>
        <w:tc>
          <w:tcPr>
            <w:tcW w:type="pct" w:w="41%"/>
            <w:shd w:fill="FFFFFF" w:val="clear"/>
            <w:tcMar>
              <w:top w:type="dxa" w:w="50"/>
              <w:left w:type="dxa" w:w="100"/>
              <w:bottom w:type="dxa" w:w="50"/>
              <w:right w:type="dxa" w:w="100"/>
            </w:tcMar>
          </w:tcPr>
          <w:p>
            <w:r>
              <w:rPr>
                <w:rFonts w:ascii="Calibri" w:cs="Calibri" w:eastAsia="Calibri" w:hAnsi="Calibri"/>
                <w:color w:val="1A2332"/>
                <w:sz w:val="19"/>
                <w:szCs w:val="19"/>
              </w:rPr>
              <w:t xml:space="preserve">Chiffrement, RGPD-like, DPO, audits</w:t>
            </w:r>
          </w:p>
        </w:tc>
      </w:tr>
      <w:tr>
        <w:trPr>
          <w:cantSplit/>
        </w:trPr>
        <w:tc>
          <w:tcPr>
            <w:tcW w:type="pct" w:w="20%"/>
            <w:shd w:fill="F5F7FA" w:val="clear"/>
            <w:tcMar>
              <w:top w:type="dxa" w:w="50"/>
              <w:left w:type="dxa" w:w="100"/>
              <w:bottom w:type="dxa" w:w="50"/>
              <w:right w:type="dxa" w:w="100"/>
            </w:tcMar>
          </w:tcPr>
          <w:p>
            <w:r>
              <w:rPr>
                <w:rFonts w:ascii="Calibri" w:cs="Calibri" w:eastAsia="Calibri" w:hAnsi="Calibri"/>
                <w:color w:val="1A2332"/>
                <w:sz w:val="19"/>
                <w:szCs w:val="19"/>
              </w:rPr>
              <w:t xml:space="preserve">Attaque informatique</w:t>
            </w:r>
          </w:p>
        </w:tc>
        <w:tc>
          <w:tcPr>
            <w:tcW w:type="pct" w:w="15%"/>
            <w:shd w:fill="F5F7FA" w:val="clear"/>
            <w:tcMar>
              <w:top w:type="dxa" w:w="50"/>
              <w:left w:type="dxa" w:w="100"/>
              <w:bottom w:type="dxa" w:w="50"/>
              <w:right w:type="dxa" w:w="100"/>
            </w:tcMar>
          </w:tcPr>
          <w:p>
            <w:r>
              <w:rPr>
                <w:rFonts w:ascii="Calibri" w:cs="Calibri" w:eastAsia="Calibri" w:hAnsi="Calibri"/>
                <w:color w:val="1A2332"/>
                <w:sz w:val="19"/>
                <w:szCs w:val="19"/>
              </w:rPr>
              <w:t xml:space="preserve">Technique</w:t>
            </w:r>
          </w:p>
        </w:tc>
        <w:tc>
          <w:tcPr>
            <w:tcW w:type="pct" w:w="12%"/>
            <w:shd w:fill="F5F7FA" w:val="clear"/>
            <w:tcMar>
              <w:top w:type="dxa" w:w="50"/>
              <w:left w:type="dxa" w:w="100"/>
              <w:bottom w:type="dxa" w:w="50"/>
              <w:right w:type="dxa" w:w="100"/>
            </w:tcMar>
          </w:tcPr>
          <w:p>
            <w:r>
              <w:rPr>
                <w:rFonts w:ascii="Calibri" w:cs="Calibri" w:eastAsia="Calibri" w:hAnsi="Calibri"/>
                <w:color w:val="1A2332"/>
                <w:sz w:val="19"/>
                <w:szCs w:val="19"/>
              </w:rPr>
              <w:t xml:space="preserve">Moyenne</w:t>
            </w:r>
          </w:p>
        </w:tc>
        <w:tc>
          <w:tcPr>
            <w:tcW w:type="pct" w:w="12%"/>
            <w:shd w:fill="F5F7FA" w:val="clear"/>
            <w:tcMar>
              <w:top w:type="dxa" w:w="50"/>
              <w:left w:type="dxa" w:w="100"/>
              <w:bottom w:type="dxa" w:w="50"/>
              <w:right w:type="dxa" w:w="100"/>
            </w:tcMar>
          </w:tcPr>
          <w:p>
            <w:r>
              <w:rPr>
                <w:rFonts w:ascii="Calibri" w:cs="Calibri" w:eastAsia="Calibri" w:hAnsi="Calibri"/>
                <w:color w:val="1A2332"/>
                <w:sz w:val="19"/>
                <w:szCs w:val="19"/>
              </w:rPr>
              <w:t xml:space="preserve">Élevé</w:t>
            </w:r>
          </w:p>
        </w:tc>
        <w:tc>
          <w:tcPr>
            <w:tcW w:type="pct" w:w="41%"/>
            <w:shd w:fill="F5F7FA" w:val="clear"/>
            <w:tcMar>
              <w:top w:type="dxa" w:w="50"/>
              <w:left w:type="dxa" w:w="100"/>
              <w:bottom w:type="dxa" w:w="50"/>
              <w:right w:type="dxa" w:w="100"/>
            </w:tcMar>
          </w:tcPr>
          <w:p>
            <w:r>
              <w:rPr>
                <w:rFonts w:ascii="Calibri" w:cs="Calibri" w:eastAsia="Calibri" w:hAnsi="Calibri"/>
                <w:color w:val="1A2332"/>
                <w:sz w:val="19"/>
                <w:szCs w:val="19"/>
              </w:rPr>
              <w:t xml:space="preserve">WAF, rate limiting, plan de réponse aux incidents</w:t>
            </w:r>
          </w:p>
        </w:tc>
      </w:tr>
      <w:tr>
        <w:trPr>
          <w:cantSplit/>
        </w:trPr>
        <w:tc>
          <w:tcPr>
            <w:tcW w:type="pct" w:w="20%"/>
            <w:shd w:fill="FFFFFF" w:val="clear"/>
            <w:tcMar>
              <w:top w:type="dxa" w:w="50"/>
              <w:left w:type="dxa" w:w="100"/>
              <w:bottom w:type="dxa" w:w="50"/>
              <w:right w:type="dxa" w:w="100"/>
            </w:tcMar>
          </w:tcPr>
          <w:p>
            <w:r>
              <w:rPr>
                <w:rFonts w:ascii="Calibri" w:cs="Calibri" w:eastAsia="Calibri" w:hAnsi="Calibri"/>
                <w:color w:val="1A2332"/>
                <w:sz w:val="19"/>
                <w:szCs w:val="19"/>
              </w:rPr>
              <w:t xml:space="preserve">Cadre juridique insuffisant</w:t>
            </w:r>
          </w:p>
        </w:tc>
        <w:tc>
          <w:tcPr>
            <w:tcW w:type="pct" w:w="15%"/>
            <w:shd w:fill="FFFFFF" w:val="clear"/>
            <w:tcMar>
              <w:top w:type="dxa" w:w="50"/>
              <w:left w:type="dxa" w:w="100"/>
              <w:bottom w:type="dxa" w:w="50"/>
              <w:right w:type="dxa" w:w="100"/>
            </w:tcMar>
          </w:tcPr>
          <w:p>
            <w:r>
              <w:rPr>
                <w:rFonts w:ascii="Calibri" w:cs="Calibri" w:eastAsia="Calibri" w:hAnsi="Calibri"/>
                <w:color w:val="1A2332"/>
                <w:sz w:val="19"/>
                <w:szCs w:val="19"/>
              </w:rPr>
              <w:t xml:space="preserve">Juridique</w:t>
            </w:r>
          </w:p>
        </w:tc>
        <w:tc>
          <w:tcPr>
            <w:tcW w:type="pct" w:w="12%"/>
            <w:shd w:fill="FFFFFF" w:val="clear"/>
            <w:tcMar>
              <w:top w:type="dxa" w:w="50"/>
              <w:left w:type="dxa" w:w="100"/>
              <w:bottom w:type="dxa" w:w="50"/>
              <w:right w:type="dxa" w:w="100"/>
            </w:tcMar>
          </w:tcPr>
          <w:p>
            <w:r>
              <w:rPr>
                <w:rFonts w:ascii="Calibri" w:cs="Calibri" w:eastAsia="Calibri" w:hAnsi="Calibri"/>
                <w:color w:val="1A2332"/>
                <w:sz w:val="19"/>
                <w:szCs w:val="19"/>
              </w:rPr>
              <w:t xml:space="preserve">Moyenne</w:t>
            </w:r>
          </w:p>
        </w:tc>
        <w:tc>
          <w:tcPr>
            <w:tcW w:type="pct" w:w="12%"/>
            <w:shd w:fill="FFFFFF" w:val="clear"/>
            <w:tcMar>
              <w:top w:type="dxa" w:w="50"/>
              <w:left w:type="dxa" w:w="100"/>
              <w:bottom w:type="dxa" w:w="50"/>
              <w:right w:type="dxa" w:w="100"/>
            </w:tcMar>
          </w:tcPr>
          <w:p>
            <w:r>
              <w:rPr>
                <w:rFonts w:ascii="Calibri" w:cs="Calibri" w:eastAsia="Calibri" w:hAnsi="Calibri"/>
                <w:color w:val="1A2332"/>
                <w:sz w:val="19"/>
                <w:szCs w:val="19"/>
              </w:rPr>
              <w:t xml:space="preserve">Moyen</w:t>
            </w:r>
          </w:p>
        </w:tc>
        <w:tc>
          <w:tcPr>
            <w:tcW w:type="pct" w:w="41%"/>
            <w:shd w:fill="FFFFFF" w:val="clear"/>
            <w:tcMar>
              <w:top w:type="dxa" w:w="50"/>
              <w:left w:type="dxa" w:w="100"/>
              <w:bottom w:type="dxa" w:w="50"/>
              <w:right w:type="dxa" w:w="100"/>
            </w:tcMar>
          </w:tcPr>
          <w:p>
            <w:r>
              <w:rPr>
                <w:rFonts w:ascii="Calibri" w:cs="Calibri" w:eastAsia="Calibri" w:hAnsi="Calibri"/>
                <w:color w:val="1A2332"/>
                <w:sz w:val="19"/>
                <w:szCs w:val="19"/>
              </w:rPr>
              <w:t xml:space="preserve">Décret d’application, conformité légale</w:t>
            </w:r>
          </w:p>
        </w:tc>
      </w:tr>
    </w:tbl>
    <w:p>
      <w:pPr>
        <w:pStyle w:val="Heading1"/>
        <w:spacing w:after="200" w:before="360" w:line="312"/>
      </w:pPr>
      <w:bookmarkStart w:id="100073" w:name="_Toc100073"/>
      <w:r>
        <w:rPr>
          <w:rFonts w:ascii="Calibri" w:cs="Calibri" w:eastAsia="Calibri" w:hAnsi="Calibri"/>
          <w:b/>
          <w:bCs/>
          <w:color w:val="1A2332"/>
          <w:sz w:val="28"/>
          <w:szCs w:val="28"/>
        </w:rPr>
        <w:t xml:space="preserve">18. MVP — Phase 1</w:t>
      </w:r>
      <w:bookmarkEnd w:id="100073"/>
    </w:p>
    <w:p>
      <w:pPr>
        <w:pBdr>
          <w:bottom w:val="single" w:color="CE1126" w:sz="6"/>
        </w:pBdr>
        <w:spacing w:after="160"/>
      </w:pPr>
    </w:p>
    <w:p>
      <w:pPr>
        <w:spacing w:after="120" w:line="312"/>
        <w:jc w:val="both"/>
      </w:pPr>
      <w:r>
        <w:rPr>
          <w:rFonts w:ascii="Calibri" w:cs="Calibri" w:eastAsia="Calibri" w:hAnsi="Calibri"/>
          <w:color w:val="1A2332"/>
          <w:sz w:val="21"/>
          <w:szCs w:val="21"/>
        </w:rPr>
        <w:t xml:space="preserve">Le Produit Minimum Viable (MVP) constitue la première version déployable de la plateforme, intégrant les fonctionnalités essentielles pour un lancement pilote à Conakry.</w:t>
      </w:r>
    </w:p>
    <w:p>
      <w:pPr>
        <w:pStyle w:val="Heading2"/>
        <w:spacing w:after="120" w:before="240" w:line="312"/>
      </w:pPr>
      <w:bookmarkStart w:id="100074" w:name="_Toc100074"/>
      <w:r>
        <w:rPr>
          <w:rFonts w:ascii="Calibri" w:cs="Calibri" w:eastAsia="Calibri" w:hAnsi="Calibri"/>
          <w:b/>
          <w:bCs/>
          <w:color w:val="2C5F8A"/>
          <w:sz w:val="22"/>
          <w:szCs w:val="22"/>
        </w:rPr>
        <w:t xml:space="preserve">18.1 Modules du MVP</w:t>
      </w:r>
      <w:bookmarkEnd w:id="100074"/>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Authentification candidat, centre, admin (JWT, rôles)</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Inscription candidat avec upload de documents</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Gestion des centres agréés (création, modification, suspension)</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Réservation d’une session d’examen</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Paiement fictif ou Mobile Money sandbox</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Génération de convocation avec QR code</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Passage d’un examen en ligne (tirage aléatoire, chronomètre, correction auto)</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Résultat PDF avec certificat numérique</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Dashboard admin basique (statistiques, centres, candidats)</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Logs anti-fraude basiques (QR code, photo, verrouillage)</w:t>
      </w:r>
    </w:p>
    <w:p>
      <w:pPr>
        <w:pStyle w:val="Heading2"/>
        <w:spacing w:after="120" w:before="240" w:line="312"/>
      </w:pPr>
      <w:bookmarkStart w:id="100075" w:name="_Toc100075"/>
      <w:r>
        <w:rPr>
          <w:rFonts w:ascii="Calibri" w:cs="Calibri" w:eastAsia="Calibri" w:hAnsi="Calibri"/>
          <w:b/>
          <w:bCs/>
          <w:color w:val="2C5F8A"/>
          <w:sz w:val="22"/>
          <w:szCs w:val="22"/>
        </w:rPr>
        <w:t xml:space="preserve">18.2 Critères de succès du MVP</w:t>
      </w:r>
      <w:bookmarkEnd w:id="100075"/>
    </w:p>
    <w:tbl>
      <w:tblPr>
        <w:tblW w:type="pct" w:w="100%"/>
        <w:tblBorders>
          <w:top w:val="single" w:color="D0D5DD" w:sz="1"/>
          <w:left w:val="single" w:color="D0D5DD" w:sz="1"/>
          <w:bottom w:val="single" w:color="D0D5DD" w:sz="1"/>
          <w:right w:val="single" w:color="D0D5DD" w:sz="1"/>
          <w:insideH w:val="single" w:color="D0D5DD" w:sz="1"/>
          <w:insideV w:val="single" w:color="D0D5DD" w:sz="1"/>
        </w:tblBorders>
      </w:tblPr>
      <w:tblGrid>
        <w:gridCol w:w="100"/>
        <w:gridCol w:w="100"/>
      </w:tblGrid>
      <w:tr>
        <w:trPr>
          <w:cantSplit/>
          <w:tblHeader/>
        </w:trPr>
        <w:tc>
          <w:tcPr>
            <w:tcW w:type="pct" w:w="50%"/>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Critère</w:t>
            </w:r>
          </w:p>
        </w:tc>
        <w:tc>
          <w:tcPr>
            <w:tcW w:type="pct" w:w="50%"/>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Objectif</w:t>
            </w:r>
          </w:p>
        </w:tc>
      </w:tr>
      <w:tr>
        <w:trPr>
          <w:cantSplit/>
        </w:trPr>
        <w:tc>
          <w:tcPr>
            <w:tcW w:type="pct" w:w="50%"/>
            <w:shd w:fill="FFFFFF" w:val="clear"/>
            <w:tcMar>
              <w:top w:type="dxa" w:w="50"/>
              <w:left w:type="dxa" w:w="100"/>
              <w:bottom w:type="dxa" w:w="50"/>
              <w:right w:type="dxa" w:w="100"/>
            </w:tcMar>
          </w:tcPr>
          <w:p>
            <w:r>
              <w:rPr>
                <w:rFonts w:ascii="Calibri" w:cs="Calibri" w:eastAsia="Calibri" w:hAnsi="Calibri"/>
                <w:color w:val="1A2332"/>
                <w:sz w:val="19"/>
                <w:szCs w:val="19"/>
              </w:rPr>
              <w:t xml:space="preserve">Centres pilotes opérationnels</w:t>
            </w:r>
          </w:p>
        </w:tc>
        <w:tc>
          <w:tcPr>
            <w:tcW w:type="pct" w:w="50%"/>
            <w:shd w:fill="FFFFFF" w:val="clear"/>
            <w:tcMar>
              <w:top w:type="dxa" w:w="50"/>
              <w:left w:type="dxa" w:w="100"/>
              <w:bottom w:type="dxa" w:w="50"/>
              <w:right w:type="dxa" w:w="100"/>
            </w:tcMar>
          </w:tcPr>
          <w:p>
            <w:r>
              <w:rPr>
                <w:rFonts w:ascii="Calibri" w:cs="Calibri" w:eastAsia="Calibri" w:hAnsi="Calibri"/>
                <w:color w:val="1A2332"/>
                <w:sz w:val="19"/>
                <w:szCs w:val="19"/>
              </w:rPr>
              <w:t xml:space="preserve">3-5 centres à Conakry</w:t>
            </w:r>
          </w:p>
        </w:tc>
      </w:tr>
      <w:tr>
        <w:trPr>
          <w:cantSplit/>
        </w:trPr>
        <w:tc>
          <w:tcPr>
            <w:tcW w:type="pct" w:w="50%"/>
            <w:shd w:fill="F5F7FA" w:val="clear"/>
            <w:tcMar>
              <w:top w:type="dxa" w:w="50"/>
              <w:left w:type="dxa" w:w="100"/>
              <w:bottom w:type="dxa" w:w="50"/>
              <w:right w:type="dxa" w:w="100"/>
            </w:tcMar>
          </w:tcPr>
          <w:p>
            <w:r>
              <w:rPr>
                <w:rFonts w:ascii="Calibri" w:cs="Calibri" w:eastAsia="Calibri" w:hAnsi="Calibri"/>
                <w:color w:val="1A2332"/>
                <w:sz w:val="19"/>
                <w:szCs w:val="19"/>
              </w:rPr>
              <w:t xml:space="preserve">Candidats inscrits en mois 1</w:t>
            </w:r>
          </w:p>
        </w:tc>
        <w:tc>
          <w:tcPr>
            <w:tcW w:type="pct" w:w="50%"/>
            <w:shd w:fill="F5F7FA" w:val="clear"/>
            <w:tcMar>
              <w:top w:type="dxa" w:w="50"/>
              <w:left w:type="dxa" w:w="100"/>
              <w:bottom w:type="dxa" w:w="50"/>
              <w:right w:type="dxa" w:w="100"/>
            </w:tcMar>
          </w:tcPr>
          <w:p>
            <w:r>
              <w:rPr>
                <w:rFonts w:ascii="Calibri" w:cs="Calibri" w:eastAsia="Calibri" w:hAnsi="Calibri"/>
                <w:color w:val="1A2332"/>
                <w:sz w:val="19"/>
                <w:szCs w:val="19"/>
              </w:rPr>
              <w:t xml:space="preserve">&gt; 500</w:t>
            </w:r>
          </w:p>
        </w:tc>
      </w:tr>
      <w:tr>
        <w:trPr>
          <w:cantSplit/>
        </w:trPr>
        <w:tc>
          <w:tcPr>
            <w:tcW w:type="pct" w:w="50%"/>
            <w:shd w:fill="FFFFFF" w:val="clear"/>
            <w:tcMar>
              <w:top w:type="dxa" w:w="50"/>
              <w:left w:type="dxa" w:w="100"/>
              <w:bottom w:type="dxa" w:w="50"/>
              <w:right w:type="dxa" w:w="100"/>
            </w:tcMar>
          </w:tcPr>
          <w:p>
            <w:r>
              <w:rPr>
                <w:rFonts w:ascii="Calibri" w:cs="Calibri" w:eastAsia="Calibri" w:hAnsi="Calibri"/>
                <w:color w:val="1A2332"/>
                <w:sz w:val="19"/>
                <w:szCs w:val="19"/>
              </w:rPr>
              <w:t xml:space="preserve">Examens sans incident technique</w:t>
            </w:r>
          </w:p>
        </w:tc>
        <w:tc>
          <w:tcPr>
            <w:tcW w:type="pct" w:w="50%"/>
            <w:shd w:fill="FFFFFF" w:val="clear"/>
            <w:tcMar>
              <w:top w:type="dxa" w:w="50"/>
              <w:left w:type="dxa" w:w="100"/>
              <w:bottom w:type="dxa" w:w="50"/>
              <w:right w:type="dxa" w:w="100"/>
            </w:tcMar>
          </w:tcPr>
          <w:p>
            <w:r>
              <w:rPr>
                <w:rFonts w:ascii="Calibri" w:cs="Calibri" w:eastAsia="Calibri" w:hAnsi="Calibri"/>
                <w:color w:val="1A2332"/>
                <w:sz w:val="19"/>
                <w:szCs w:val="19"/>
              </w:rPr>
              <w:t xml:space="preserve">&gt; 95%</w:t>
            </w:r>
          </w:p>
        </w:tc>
      </w:tr>
      <w:tr>
        <w:trPr>
          <w:cantSplit/>
        </w:trPr>
        <w:tc>
          <w:tcPr>
            <w:tcW w:type="pct" w:w="50%"/>
            <w:shd w:fill="F5F7FA" w:val="clear"/>
            <w:tcMar>
              <w:top w:type="dxa" w:w="50"/>
              <w:left w:type="dxa" w:w="100"/>
              <w:bottom w:type="dxa" w:w="50"/>
              <w:right w:type="dxa" w:w="100"/>
            </w:tcMar>
          </w:tcPr>
          <w:p>
            <w:r>
              <w:rPr>
                <w:rFonts w:ascii="Calibri" w:cs="Calibri" w:eastAsia="Calibri" w:hAnsi="Calibri"/>
                <w:color w:val="1A2332"/>
                <w:sz w:val="19"/>
                <w:szCs w:val="19"/>
              </w:rPr>
              <w:t xml:space="preserve">Fraude détectée par le système</w:t>
            </w:r>
          </w:p>
        </w:tc>
        <w:tc>
          <w:tcPr>
            <w:tcW w:type="pct" w:w="50%"/>
            <w:shd w:fill="F5F7FA" w:val="clear"/>
            <w:tcMar>
              <w:top w:type="dxa" w:w="50"/>
              <w:left w:type="dxa" w:w="100"/>
              <w:bottom w:type="dxa" w:w="50"/>
              <w:right w:type="dxa" w:w="100"/>
            </w:tcMar>
          </w:tcPr>
          <w:p>
            <w:r>
              <w:rPr>
                <w:rFonts w:ascii="Calibri" w:cs="Calibri" w:eastAsia="Calibri" w:hAnsi="Calibri"/>
                <w:color w:val="1A2332"/>
                <w:sz w:val="19"/>
                <w:szCs w:val="19"/>
              </w:rPr>
              <w:t xml:space="preserve">&gt; 80% des cas simulés</w:t>
            </w:r>
          </w:p>
        </w:tc>
      </w:tr>
      <w:tr>
        <w:trPr>
          <w:cantSplit/>
        </w:trPr>
        <w:tc>
          <w:tcPr>
            <w:tcW w:type="pct" w:w="50%"/>
            <w:shd w:fill="FFFFFF" w:val="clear"/>
            <w:tcMar>
              <w:top w:type="dxa" w:w="50"/>
              <w:left w:type="dxa" w:w="100"/>
              <w:bottom w:type="dxa" w:w="50"/>
              <w:right w:type="dxa" w:w="100"/>
            </w:tcMar>
          </w:tcPr>
          <w:p>
            <w:r>
              <w:rPr>
                <w:rFonts w:ascii="Calibri" w:cs="Calibri" w:eastAsia="Calibri" w:hAnsi="Calibri"/>
                <w:color w:val="1A2332"/>
                <w:sz w:val="19"/>
                <w:szCs w:val="19"/>
              </w:rPr>
              <w:t xml:space="preserve">Temps de réponse de l’application</w:t>
            </w:r>
          </w:p>
        </w:tc>
        <w:tc>
          <w:tcPr>
            <w:tcW w:type="pct" w:w="50%"/>
            <w:shd w:fill="FFFFFF" w:val="clear"/>
            <w:tcMar>
              <w:top w:type="dxa" w:w="50"/>
              <w:left w:type="dxa" w:w="100"/>
              <w:bottom w:type="dxa" w:w="50"/>
              <w:right w:type="dxa" w:w="100"/>
            </w:tcMar>
          </w:tcPr>
          <w:p>
            <w:r>
              <w:rPr>
                <w:rFonts w:ascii="Calibri" w:cs="Calibri" w:eastAsia="Calibri" w:hAnsi="Calibri"/>
                <w:color w:val="1A2332"/>
                <w:sz w:val="19"/>
                <w:szCs w:val="19"/>
              </w:rPr>
              <w:t xml:space="preserve">&lt; 3 secondes</w:t>
            </w:r>
          </w:p>
        </w:tc>
      </w:tr>
      <w:tr>
        <w:trPr>
          <w:cantSplit/>
        </w:trPr>
        <w:tc>
          <w:tcPr>
            <w:tcW w:type="pct" w:w="50%"/>
            <w:shd w:fill="F5F7FA" w:val="clear"/>
            <w:tcMar>
              <w:top w:type="dxa" w:w="50"/>
              <w:left w:type="dxa" w:w="100"/>
              <w:bottom w:type="dxa" w:w="50"/>
              <w:right w:type="dxa" w:w="100"/>
            </w:tcMar>
          </w:tcPr>
          <w:p>
            <w:r>
              <w:rPr>
                <w:rFonts w:ascii="Calibri" w:cs="Calibri" w:eastAsia="Calibri" w:hAnsi="Calibri"/>
                <w:color w:val="1A2332"/>
                <w:sz w:val="19"/>
                <w:szCs w:val="19"/>
              </w:rPr>
              <w:t xml:space="preserve">Satisfaction candidat</w:t>
            </w:r>
          </w:p>
        </w:tc>
        <w:tc>
          <w:tcPr>
            <w:tcW w:type="pct" w:w="50%"/>
            <w:shd w:fill="F5F7FA" w:val="clear"/>
            <w:tcMar>
              <w:top w:type="dxa" w:w="50"/>
              <w:left w:type="dxa" w:w="100"/>
              <w:bottom w:type="dxa" w:w="50"/>
              <w:right w:type="dxa" w:w="100"/>
            </w:tcMar>
          </w:tcPr>
          <w:p>
            <w:r>
              <w:rPr>
                <w:rFonts w:ascii="Calibri" w:cs="Calibri" w:eastAsia="Calibri" w:hAnsi="Calibri"/>
                <w:color w:val="1A2332"/>
                <w:sz w:val="19"/>
                <w:szCs w:val="19"/>
              </w:rPr>
              <w:t xml:space="preserve">&gt; 80% positif</w:t>
            </w:r>
          </w:p>
        </w:tc>
      </w:tr>
    </w:tbl>
    <w:p>
      <w:pPr>
        <w:pStyle w:val="Heading1"/>
        <w:spacing w:after="200" w:before="360" w:line="312"/>
      </w:pPr>
      <w:bookmarkStart w:id="100076" w:name="_Toc100076"/>
      <w:r>
        <w:rPr>
          <w:rFonts w:ascii="Calibri" w:cs="Calibri" w:eastAsia="Calibri" w:hAnsi="Calibri"/>
          <w:b/>
          <w:bCs/>
          <w:color w:val="1A2332"/>
          <w:sz w:val="28"/>
          <w:szCs w:val="28"/>
        </w:rPr>
        <w:t xml:space="preserve">19. Vision finale et feuille de route</w:t>
      </w:r>
      <w:bookmarkEnd w:id="100076"/>
    </w:p>
    <w:p>
      <w:pPr>
        <w:pBdr>
          <w:bottom w:val="single" w:color="CE1126" w:sz="6"/>
        </w:pBdr>
        <w:spacing w:after="160"/>
      </w:pPr>
    </w:p>
    <w:p>
      <w:pPr>
        <w:spacing w:after="120" w:line="312"/>
        <w:jc w:val="both"/>
      </w:pPr>
      <w:r>
        <w:rPr>
          <w:rFonts w:ascii="Calibri" w:cs="Calibri" w:eastAsia="Calibri" w:hAnsi="Calibri"/>
          <w:color w:val="1A2332"/>
          <w:sz w:val="21"/>
          <w:szCs w:val="21"/>
        </w:rPr>
        <w:t xml:space="preserve">À terme, CodeRoute Guinée vise à devenir la plateforme nationale de référence pour la gestion complète du permis de conduire, bien au-delà de l’examen théorique du code de la route.</w:t>
      </w:r>
    </w:p>
    <w:p>
      <w:pPr>
        <w:pStyle w:val="Heading2"/>
        <w:spacing w:after="120" w:before="240" w:line="312"/>
      </w:pPr>
      <w:bookmarkStart w:id="100077" w:name="_Toc100077"/>
      <w:r>
        <w:rPr>
          <w:rFonts w:ascii="Calibri" w:cs="Calibri" w:eastAsia="Calibri" w:hAnsi="Calibri"/>
          <w:b/>
          <w:bCs/>
          <w:color w:val="2C5F8A"/>
          <w:sz w:val="22"/>
          <w:szCs w:val="22"/>
        </w:rPr>
        <w:t xml:space="preserve">19.1 Vision à long terme</w:t>
      </w:r>
      <w:bookmarkEnd w:id="100077"/>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Examen du code de la route (théorique) — Phase 1 et 2</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Examen pratique de conduite avec traçabilité numérique</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Gestion intégrée des auto-écoles et des moniteurs</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Paiement unifié de tous les frais liés au permis</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Statistiques nationales avancées et prédictives</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Contrôle anti-fraude de bout en bout (code + pratique + permis)</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Connexion au permis biométrique national</w:t>
      </w:r>
    </w:p>
    <w:p>
      <w:pPr>
        <w:spacing w:after="60" w:line="312"/>
        <w:ind w:left="480" w:hanging="240"/>
      </w:pPr>
      <w:r>
        <w:rPr>
          <w:rFonts w:ascii="Calibri" w:cs="Calibri" w:eastAsia="Calibri" w:hAnsi="Calibri"/>
          <w:color w:val="009460"/>
          <w:sz w:val="21"/>
          <w:szCs w:val="21"/>
        </w:rPr>
        <w:t xml:space="preserve">• </w:t>
      </w:r>
      <w:r>
        <w:rPr>
          <w:rFonts w:ascii="Calibri" w:cs="Calibri" w:eastAsia="Calibri" w:hAnsi="Calibri"/>
          <w:color w:val="1A2332"/>
          <w:sz w:val="21"/>
          <w:szCs w:val="21"/>
        </w:rPr>
        <w:t xml:space="preserve">Sensibilisation à la sécurité routière (campagnes, éducation)</w:t>
      </w:r>
    </w:p>
    <w:p>
      <w:pPr>
        <w:pStyle w:val="Heading2"/>
        <w:spacing w:after="120" w:before="240" w:line="312"/>
      </w:pPr>
      <w:bookmarkStart w:id="100078" w:name="_Toc100078"/>
      <w:r>
        <w:rPr>
          <w:rFonts w:ascii="Calibri" w:cs="Calibri" w:eastAsia="Calibri" w:hAnsi="Calibri"/>
          <w:b/>
          <w:bCs/>
          <w:color w:val="2C5F8A"/>
          <w:sz w:val="22"/>
          <w:szCs w:val="22"/>
        </w:rPr>
        <w:t xml:space="preserve">19.2 Feuille de route</w:t>
      </w:r>
      <w:bookmarkEnd w:id="100078"/>
    </w:p>
    <w:tbl>
      <w:tblPr>
        <w:tblW w:type="pct" w:w="100%"/>
        <w:tblBorders>
          <w:top w:val="single" w:color="D0D5DD" w:sz="1"/>
          <w:left w:val="single" w:color="D0D5DD" w:sz="1"/>
          <w:bottom w:val="single" w:color="D0D5DD" w:sz="1"/>
          <w:right w:val="single" w:color="D0D5DD" w:sz="1"/>
          <w:insideH w:val="single" w:color="D0D5DD" w:sz="1"/>
          <w:insideV w:val="single" w:color="D0D5DD" w:sz="1"/>
        </w:tblBorders>
      </w:tblPr>
      <w:tblGrid>
        <w:gridCol w:w="100"/>
        <w:gridCol w:w="100"/>
        <w:gridCol w:w="100"/>
      </w:tblGrid>
      <w:tr>
        <w:trPr>
          <w:cantSplit/>
          <w:tblHeader/>
        </w:trPr>
        <w:tc>
          <w:tcPr>
            <w:tcW w:type="pct" w:w="20%"/>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Période</w:t>
            </w:r>
          </w:p>
        </w:tc>
        <w:tc>
          <w:tcPr>
            <w:tcW w:type="pct" w:w="15%"/>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Phase</w:t>
            </w:r>
          </w:p>
        </w:tc>
        <w:tc>
          <w:tcPr>
            <w:tcW w:type="pct" w:w="65%"/>
            <w:shd w:fill="1A2332" w:val="clear"/>
            <w:tcMar>
              <w:top w:type="dxa" w:w="60"/>
              <w:left w:type="dxa" w:w="100"/>
              <w:bottom w:type="dxa" w:w="60"/>
              <w:right w:type="dxa" w:w="100"/>
            </w:tcMar>
          </w:tcPr>
          <w:p>
            <w:r>
              <w:rPr>
                <w:rFonts w:ascii="Calibri" w:cs="Calibri" w:eastAsia="Calibri" w:hAnsi="Calibri"/>
                <w:b/>
                <w:bCs/>
                <w:color w:val="FFFFFF"/>
                <w:sz w:val="19"/>
                <w:szCs w:val="19"/>
              </w:rPr>
              <w:t xml:space="preserve">Objectif clé</w:t>
            </w:r>
          </w:p>
        </w:tc>
      </w:tr>
      <w:tr>
        <w:trPr>
          <w:cantSplit/>
        </w:trPr>
        <w:tc>
          <w:tcPr>
            <w:tcW w:type="pct" w:w="20%"/>
            <w:shd w:fill="FFFFFF" w:val="clear"/>
            <w:tcMar>
              <w:top w:type="dxa" w:w="50"/>
              <w:left w:type="dxa" w:w="100"/>
              <w:bottom w:type="dxa" w:w="50"/>
              <w:right w:type="dxa" w:w="100"/>
            </w:tcMar>
          </w:tcPr>
          <w:p>
            <w:r>
              <w:rPr>
                <w:rFonts w:ascii="Calibri" w:cs="Calibri" w:eastAsia="Calibri" w:hAnsi="Calibri"/>
                <w:color w:val="1A2332"/>
                <w:sz w:val="19"/>
                <w:szCs w:val="19"/>
              </w:rPr>
              <w:t xml:space="preserve">Mois 1-6</w:t>
            </w:r>
          </w:p>
        </w:tc>
        <w:tc>
          <w:tcPr>
            <w:tcW w:type="pct" w:w="15%"/>
            <w:shd w:fill="FFFFFF" w:val="clear"/>
            <w:tcMar>
              <w:top w:type="dxa" w:w="50"/>
              <w:left w:type="dxa" w:w="100"/>
              <w:bottom w:type="dxa" w:w="50"/>
              <w:right w:type="dxa" w:w="100"/>
            </w:tcMar>
          </w:tcPr>
          <w:p>
            <w:r>
              <w:rPr>
                <w:rFonts w:ascii="Calibri" w:cs="Calibri" w:eastAsia="Calibri" w:hAnsi="Calibri"/>
                <w:color w:val="1A2332"/>
                <w:sz w:val="19"/>
                <w:szCs w:val="19"/>
              </w:rPr>
              <w:t xml:space="preserve">MVP</w:t>
            </w:r>
          </w:p>
        </w:tc>
        <w:tc>
          <w:tcPr>
            <w:tcW w:type="pct" w:w="65%"/>
            <w:shd w:fill="FFFFFF" w:val="clear"/>
            <w:tcMar>
              <w:top w:type="dxa" w:w="50"/>
              <w:left w:type="dxa" w:w="100"/>
              <w:bottom w:type="dxa" w:w="50"/>
              <w:right w:type="dxa" w:w="100"/>
            </w:tcMar>
          </w:tcPr>
          <w:p>
            <w:r>
              <w:rPr>
                <w:rFonts w:ascii="Calibri" w:cs="Calibri" w:eastAsia="Calibri" w:hAnsi="Calibri"/>
                <w:color w:val="1A2332"/>
                <w:sz w:val="19"/>
                <w:szCs w:val="19"/>
              </w:rPr>
              <w:t xml:space="preserve">Lancement pilote Conakry, 3-5 centres</w:t>
            </w:r>
          </w:p>
        </w:tc>
      </w:tr>
      <w:tr>
        <w:trPr>
          <w:cantSplit/>
        </w:trPr>
        <w:tc>
          <w:tcPr>
            <w:tcW w:type="pct" w:w="20%"/>
            <w:shd w:fill="F5F7FA" w:val="clear"/>
            <w:tcMar>
              <w:top w:type="dxa" w:w="50"/>
              <w:left w:type="dxa" w:w="100"/>
              <w:bottom w:type="dxa" w:w="50"/>
              <w:right w:type="dxa" w:w="100"/>
            </w:tcMar>
          </w:tcPr>
          <w:p>
            <w:r>
              <w:rPr>
                <w:rFonts w:ascii="Calibri" w:cs="Calibri" w:eastAsia="Calibri" w:hAnsi="Calibri"/>
                <w:color w:val="1A2332"/>
                <w:sz w:val="19"/>
                <w:szCs w:val="19"/>
              </w:rPr>
              <w:t xml:space="preserve">Mois 7-14</w:t>
            </w:r>
          </w:p>
        </w:tc>
        <w:tc>
          <w:tcPr>
            <w:tcW w:type="pct" w:w="15%"/>
            <w:shd w:fill="F5F7FA" w:val="clear"/>
            <w:tcMar>
              <w:top w:type="dxa" w:w="50"/>
              <w:left w:type="dxa" w:w="100"/>
              <w:bottom w:type="dxa" w:w="50"/>
              <w:right w:type="dxa" w:w="100"/>
            </w:tcMar>
          </w:tcPr>
          <w:p>
            <w:r>
              <w:rPr>
                <w:rFonts w:ascii="Calibri" w:cs="Calibri" w:eastAsia="Calibri" w:hAnsi="Calibri"/>
                <w:color w:val="1A2332"/>
                <w:sz w:val="19"/>
                <w:szCs w:val="19"/>
              </w:rPr>
              <w:t xml:space="preserve">V2</w:t>
            </w:r>
          </w:p>
        </w:tc>
        <w:tc>
          <w:tcPr>
            <w:tcW w:type="pct" w:w="65%"/>
            <w:shd w:fill="F5F7FA" w:val="clear"/>
            <w:tcMar>
              <w:top w:type="dxa" w:w="50"/>
              <w:left w:type="dxa" w:w="100"/>
              <w:bottom w:type="dxa" w:w="50"/>
              <w:right w:type="dxa" w:w="100"/>
            </w:tcMar>
          </w:tcPr>
          <w:p>
            <w:r>
              <w:rPr>
                <w:rFonts w:ascii="Calibri" w:cs="Calibri" w:eastAsia="Calibri" w:hAnsi="Calibri"/>
                <w:color w:val="1A2332"/>
                <w:sz w:val="19"/>
                <w:szCs w:val="19"/>
              </w:rPr>
              <w:t xml:space="preserve">Extension nationale, app mobile, reconnaissance faciale</w:t>
            </w:r>
          </w:p>
        </w:tc>
      </w:tr>
      <w:tr>
        <w:trPr>
          <w:cantSplit/>
        </w:trPr>
        <w:tc>
          <w:tcPr>
            <w:tcW w:type="pct" w:w="20%"/>
            <w:shd w:fill="FFFFFF" w:val="clear"/>
            <w:tcMar>
              <w:top w:type="dxa" w:w="50"/>
              <w:left w:type="dxa" w:w="100"/>
              <w:bottom w:type="dxa" w:w="50"/>
              <w:right w:type="dxa" w:w="100"/>
            </w:tcMar>
          </w:tcPr>
          <w:p>
            <w:r>
              <w:rPr>
                <w:rFonts w:ascii="Calibri" w:cs="Calibri" w:eastAsia="Calibri" w:hAnsi="Calibri"/>
                <w:color w:val="1A2332"/>
                <w:sz w:val="19"/>
                <w:szCs w:val="19"/>
              </w:rPr>
              <w:t xml:space="preserve">Mois 15-20</w:t>
            </w:r>
          </w:p>
        </w:tc>
        <w:tc>
          <w:tcPr>
            <w:tcW w:type="pct" w:w="15%"/>
            <w:shd w:fill="FFFFFF" w:val="clear"/>
            <w:tcMar>
              <w:top w:type="dxa" w:w="50"/>
              <w:left w:type="dxa" w:w="100"/>
              <w:bottom w:type="dxa" w:w="50"/>
              <w:right w:type="dxa" w:w="100"/>
            </w:tcMar>
          </w:tcPr>
          <w:p>
            <w:r>
              <w:rPr>
                <w:rFonts w:ascii="Calibri" w:cs="Calibri" w:eastAsia="Calibri" w:hAnsi="Calibri"/>
                <w:color w:val="1A2332"/>
                <w:sz w:val="19"/>
                <w:szCs w:val="19"/>
              </w:rPr>
              <w:t xml:space="preserve">V3</w:t>
            </w:r>
          </w:p>
        </w:tc>
        <w:tc>
          <w:tcPr>
            <w:tcW w:type="pct" w:w="65%"/>
            <w:shd w:fill="FFFFFF" w:val="clear"/>
            <w:tcMar>
              <w:top w:type="dxa" w:w="50"/>
              <w:left w:type="dxa" w:w="100"/>
              <w:bottom w:type="dxa" w:w="50"/>
              <w:right w:type="dxa" w:w="100"/>
            </w:tcMar>
          </w:tcPr>
          <w:p>
            <w:r>
              <w:rPr>
                <w:rFonts w:ascii="Calibri" w:cs="Calibri" w:eastAsia="Calibri" w:hAnsi="Calibri"/>
                <w:color w:val="1A2332"/>
                <w:sz w:val="19"/>
                <w:szCs w:val="19"/>
              </w:rPr>
              <w:t xml:space="preserve">Examen pratique, gestion moniteurs, API permis</w:t>
            </w:r>
          </w:p>
        </w:tc>
      </w:tr>
      <w:tr>
        <w:trPr>
          <w:cantSplit/>
        </w:trPr>
        <w:tc>
          <w:tcPr>
            <w:tcW w:type="pct" w:w="20%"/>
            <w:shd w:fill="F5F7FA" w:val="clear"/>
            <w:tcMar>
              <w:top w:type="dxa" w:w="50"/>
              <w:left w:type="dxa" w:w="100"/>
              <w:bottom w:type="dxa" w:w="50"/>
              <w:right w:type="dxa" w:w="100"/>
            </w:tcMar>
          </w:tcPr>
          <w:p>
            <w:r>
              <w:rPr>
                <w:rFonts w:ascii="Calibri" w:cs="Calibri" w:eastAsia="Calibri" w:hAnsi="Calibri"/>
                <w:color w:val="1A2332"/>
                <w:sz w:val="19"/>
                <w:szCs w:val="19"/>
              </w:rPr>
              <w:t xml:space="preserve">Mois 21-30</w:t>
            </w:r>
          </w:p>
        </w:tc>
        <w:tc>
          <w:tcPr>
            <w:tcW w:type="pct" w:w="15%"/>
            <w:shd w:fill="F5F7FA" w:val="clear"/>
            <w:tcMar>
              <w:top w:type="dxa" w:w="50"/>
              <w:left w:type="dxa" w:w="100"/>
              <w:bottom w:type="dxa" w:w="50"/>
              <w:right w:type="dxa" w:w="100"/>
            </w:tcMar>
          </w:tcPr>
          <w:p>
            <w:r>
              <w:rPr>
                <w:rFonts w:ascii="Calibri" w:cs="Calibri" w:eastAsia="Calibri" w:hAnsi="Calibri"/>
                <w:color w:val="1A2332"/>
                <w:sz w:val="19"/>
                <w:szCs w:val="19"/>
              </w:rPr>
              <w:t xml:space="preserve">V4</w:t>
            </w:r>
          </w:p>
        </w:tc>
        <w:tc>
          <w:tcPr>
            <w:tcW w:type="pct" w:w="65%"/>
            <w:shd w:fill="F5F7FA" w:val="clear"/>
            <w:tcMar>
              <w:top w:type="dxa" w:w="50"/>
              <w:left w:type="dxa" w:w="100"/>
              <w:bottom w:type="dxa" w:w="50"/>
              <w:right w:type="dxa" w:w="100"/>
            </w:tcMar>
          </w:tcPr>
          <w:p>
            <w:r>
              <w:rPr>
                <w:rFonts w:ascii="Calibri" w:cs="Calibri" w:eastAsia="Calibri" w:hAnsi="Calibri"/>
                <w:color w:val="1A2332"/>
                <w:sz w:val="19"/>
                <w:szCs w:val="19"/>
              </w:rPr>
              <w:t xml:space="preserve">Plateforme complète, BI avancé, sensibilisation</w:t>
            </w:r>
          </w:p>
        </w:tc>
      </w:tr>
      <w:tr>
        <w:trPr>
          <w:cantSplit/>
        </w:trPr>
        <w:tc>
          <w:tcPr>
            <w:tcW w:type="pct" w:w="20%"/>
            <w:shd w:fill="FFFFFF" w:val="clear"/>
            <w:tcMar>
              <w:top w:type="dxa" w:w="50"/>
              <w:left w:type="dxa" w:w="100"/>
              <w:bottom w:type="dxa" w:w="50"/>
              <w:right w:type="dxa" w:w="100"/>
            </w:tcMar>
          </w:tcPr>
          <w:p>
            <w:r>
              <w:rPr>
                <w:rFonts w:ascii="Calibri" w:cs="Calibri" w:eastAsia="Calibri" w:hAnsi="Calibri"/>
                <w:color w:val="1A2332"/>
                <w:sz w:val="19"/>
                <w:szCs w:val="19"/>
              </w:rPr>
              <w:t xml:space="preserve">Mois 31+</w:t>
            </w:r>
          </w:p>
        </w:tc>
        <w:tc>
          <w:tcPr>
            <w:tcW w:type="pct" w:w="15%"/>
            <w:shd w:fill="FFFFFF" w:val="clear"/>
            <w:tcMar>
              <w:top w:type="dxa" w:w="50"/>
              <w:left w:type="dxa" w:w="100"/>
              <w:bottom w:type="dxa" w:w="50"/>
              <w:right w:type="dxa" w:w="100"/>
            </w:tcMar>
          </w:tcPr>
          <w:p>
            <w:r>
              <w:rPr>
                <w:rFonts w:ascii="Calibri" w:cs="Calibri" w:eastAsia="Calibri" w:hAnsi="Calibri"/>
                <w:color w:val="1A2332"/>
                <w:sz w:val="19"/>
                <w:szCs w:val="19"/>
              </w:rPr>
              <w:t xml:space="preserve">Exploitation</w:t>
            </w:r>
          </w:p>
        </w:tc>
        <w:tc>
          <w:tcPr>
            <w:tcW w:type="pct" w:w="65%"/>
            <w:shd w:fill="FFFFFF" w:val="clear"/>
            <w:tcMar>
              <w:top w:type="dxa" w:w="50"/>
              <w:left w:type="dxa" w:w="100"/>
              <w:bottom w:type="dxa" w:w="50"/>
              <w:right w:type="dxa" w:w="100"/>
            </w:tcMar>
          </w:tcPr>
          <w:p>
            <w:r>
              <w:rPr>
                <w:rFonts w:ascii="Calibri" w:cs="Calibri" w:eastAsia="Calibri" w:hAnsi="Calibri"/>
                <w:color w:val="1A2332"/>
                <w:sz w:val="19"/>
                <w:szCs w:val="19"/>
              </w:rPr>
              <w:t xml:space="preserve">Maintenance, évolution, extension régionale</w:t>
            </w:r>
          </w:p>
        </w:tc>
      </w:tr>
    </w:tbl>
    <w:p>
      <w:pPr>
        <w:spacing w:after="120" w:line="312"/>
        <w:jc w:val="both"/>
      </w:pPr>
      <w:r>
        <w:rPr>
          <w:rFonts w:ascii="Calibri" w:cs="Calibri" w:eastAsia="Calibri" w:hAnsi="Calibri"/>
          <w:color w:val="1A2332"/>
          <w:sz w:val="21"/>
          <w:szCs w:val="21"/>
        </w:rPr>
        <w:t xml:space="preserve">Ce projet est particulièrement pertinent pour la Guinée car il combine digitalisation administrative, sécurité routière, transparence, traçabilité et création d’un réseau de centres agréés générateur d’emplois et de revenus. Il constitue un investissement stratégique pour l’avenir de la sécurité routière en République de Guinée.</w:t>
      </w:r>
    </w:p>
    <w:sectPr>
      <w:headerReference w:type="default" r:id="rId7"/>
      <w:footerReference w:type="default" r:id="rId8"/>
      <w:pgSz w:w="11906" w:h="16838" w:orient="portrait"/>
      <w:pgMar w:top="1417" w:right="1417" w:bottom="1417"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8290"/>
        <w:sz w:val="16"/>
        <w:szCs w:val="16"/>
      </w:rPr>
      <w:t xml:space="preserve">République de Guinée  |  </w:t>
    </w:r>
    <w:r>
      <w:rPr>
        <w:rFonts w:ascii="Calibri" w:cs="Calibri" w:eastAsia="Calibri" w:hAnsi="Calibri"/>
        <w:color w:val="7A829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A8290"/>
        <w:sz w:val="16"/>
        <w:szCs w:val="16"/>
      </w:rPr>
      <w:t xml:space="preserve">CodeRoute Guinée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32"/>
        <w:sz w:val="21"/>
        <w:szCs w:val="21"/>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outlineLvl w:val="0"/>
    </w:pPr>
    <w:rPr>
      <w:rFonts w:ascii="Calibri" w:cs="Calibri" w:eastAsia="Calibri" w:hAnsi="Calibri"/>
      <w:b/>
      <w:bCs/>
      <w:color w:val="1A2332"/>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C5F8A"/>
      <w:sz w:val="22"/>
      <w:szCs w:val="22"/>
    </w:rPr>
  </w:style>
  <w:style w:type="paragraph" w:styleId="Heading3">
    <w:name w:val="Heading 3"/>
    <w:basedOn w:val="Normal"/>
    <w:next w:val="Normal"/>
    <w:qFormat/>
    <w:pPr>
      <w:spacing w:after="80" w:before="160"/>
      <w:outlineLvl w:val="2"/>
    </w:pPr>
    <w:rPr>
      <w:rFonts w:ascii="Calibri" w:cs="Calibri" w:eastAsia="Calibri" w:hAnsi="Calibri"/>
      <w:b/>
      <w:bCs/>
      <w:color w:val="1A2332"/>
      <w:sz w:val="20"/>
      <w:szCs w:val="20"/>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81b1717f60e813bd766be40c02744c1c06fc4a.png"/><Relationship Id="rId10" Type="http://schemas.openxmlformats.org/officeDocument/2006/relationships/image" Target="media/5aa7df692106609a7bd2e3772047061e4336d158.png"/><Relationship Id="rId11" Type="http://schemas.openxmlformats.org/officeDocument/2006/relationships/image" Target="media/24dcd2c04bd80b487269182bd4e3b1e2b067326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CodeRoute Guinée - Cahier des Charges</dc:title>
  <dc:creator>CodeRoute Guinée</dc:creator>
  <dc:description>Spécification technique de la plateforme CodeRoute Guinée</dc:description>
  <cp:lastModifiedBy>Un-named</cp:lastModifiedBy>
  <cp:revision>1</cp:revision>
  <dcterms:created xsi:type="dcterms:W3CDTF">2026-06-13T13:28:14.850Z</dcterms:created>
  <dcterms:modified xsi:type="dcterms:W3CDTF">2026-06-13T13:28:14.850Z</dcterms:modified>
</cp:coreProperties>
</file>

<file path=docProps/custom.xml><?xml version="1.0" encoding="utf-8"?>
<Properties xmlns="http://schemas.openxmlformats.org/officeDocument/2006/custom-properties" xmlns:vt="http://schemas.openxmlformats.org/officeDocument/2006/docPropsVTypes"/>
</file>