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Times New Roman" w:cs="Times New Roman" w:eastAsia="Times New Roman" w:hAnsi="Times New Roman"/>
          <w:b/>
          <w:bCs/>
          <w:color w:val="020617"/>
          <w:sz w:val="72"/>
          <w:szCs w:val="72"/>
        </w:rPr>
        <w:t xml:space="preserve">AI DATA ENGINEERING SYSTEM</w:t>
      </w:r>
    </w:p>
    <w:p>
      <w:pPr>
        <w:spacing w:after="600"/>
        <w:jc w:val="center"/>
      </w:pPr>
      <w:r>
        <w:rPr>
          <w:rFonts w:ascii="Times New Roman" w:cs="Times New Roman" w:eastAsia="Times New Roman" w:hAnsi="Times New Roman"/>
          <w:color w:val="64748B"/>
          <w:sz w:val="48"/>
          <w:szCs w:val="48"/>
        </w:rPr>
        <w:t xml:space="preserve">STRATEGIC EVOLUTION PLAN</w:t>
      </w:r>
    </w:p>
    <w:p>
      <w:pPr>
        <w:spacing w:after="200"/>
        <w:jc w:val="center"/>
      </w:pPr>
      <w:r>
        <w:rPr>
          <w:rFonts w:ascii="Times New Roman" w:cs="Times New Roman" w:eastAsia="Times New Roman" w:hAnsi="Times New Roman"/>
          <w:color w:val="1E293B"/>
          <w:sz w:val="28"/>
          <w:szCs w:val="28"/>
        </w:rPr>
        <w:t xml:space="preserve">Multi-Sector • Multi-Domain • Enterprise-Ready</w:t>
      </w:r>
    </w:p>
    <w:p>
      <w:pPr>
        <w:spacing w:before="3000"/>
      </w:pPr>
    </w:p>
    <w:p>
      <w:pPr>
        <w:jc w:val="center"/>
      </w:pPr>
      <w:r>
        <w:rPr>
          <w:rFonts w:ascii="Times New Roman" w:cs="Times New Roman" w:eastAsia="Times New Roman" w:hAnsi="Times New Roman"/>
          <w:color w:val="64748B"/>
          <w:sz w:val="24"/>
          <w:szCs w:val="24"/>
        </w:rPr>
        <w:t xml:space="preserve">Analysis &amp; Strategic Recommendations</w:t>
      </w:r>
    </w:p>
    <w:p>
      <w:pPr>
        <w:spacing w:before="200"/>
        <w:jc w:val="center"/>
      </w:pPr>
      <w:r>
        <w:rPr>
          <w:rFonts w:ascii="Times New Roman" w:cs="Times New Roman" w:eastAsia="Times New Roman" w:hAnsi="Times New Roman"/>
          <w:color w:val="64748B"/>
          <w:sz w:val="22"/>
          <w:szCs w:val="22"/>
        </w:rPr>
        <w:t xml:space="preserve">18 mars 2026</w:t>
      </w:r>
    </w:p>
    <w:p>
      <w:r>
        <w:br w:type="page"/>
      </w:r>
    </w:p>
    <w:p>
      <w:pPr>
        <w:sectPr>
          <w:pgSz w:w="11906" w:h="16838" w:orient="portrait"/>
          <w:pgMar w:top="0" w:right="0" w:bottom="0" w:left="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pPr>
        <w:spacing w:before="200"/>
        <w:jc w:val="center"/>
      </w:pPr>
      <w:r>
        <w:rPr>
          <w:rFonts w:ascii="Times New Roman" w:cs="Times New Roman" w:eastAsia="Times New Roman" w:hAnsi="Times New Roman"/>
          <w:color w:val="999999"/>
          <w:sz w:val="18"/>
          <w:szCs w:val="18"/>
        </w:rPr>
        <w:t xml:space="preserve">Note : Cliquez droit sur la table et sélectionnez "Mettre à jour le champ" pour actualiser les numéros de page.</w:t>
      </w:r>
    </w:p>
    <w:p>
      <w:r>
        <w:br w:type="page"/>
      </w:r>
    </w:p>
    <w:p>
      <w:pPr>
        <w:pStyle w:val="Heading1"/>
      </w:pPr>
      <w:r>
        <w:t xml:space="preserve">1. Résumé Exécutif</w:t>
      </w:r>
    </w:p>
    <w:p>
      <w:pPr>
        <w:spacing w:after="200" w:line="276"/>
      </w:pPr>
      <w:r>
        <w:rPr>
          <w:rFonts w:ascii="Times New Roman" w:cs="Times New Roman" w:eastAsia="Times New Roman" w:hAnsi="Times New Roman"/>
        </w:rPr>
        <w:t xml:space="preserve">Ce document présente une analyse approfondie du système AI Data Engineering et propose un plan d'évolution stratégique pour le transformer en une plateforme commerciale multi-secteur complète. L'objectif est de maximiser le potentiel de revenus tout en adressant les besoins spécifiques de chaque segment de marché, des startups aux grandes entreprises.</w:t>
      </w:r>
    </w:p>
    <w:p>
      <w:pPr>
        <w:spacing w:after="200" w:line="276"/>
      </w:pPr>
      <w:r>
        <w:rPr>
          <w:rFonts w:ascii="Times New Roman" w:cs="Times New Roman" w:eastAsia="Times New Roman" w:hAnsi="Times New Roman"/>
        </w:rPr>
        <w:t xml:space="preserve">L'analyse révèle que le système possède des avantages concurrentiels uniques, notamment son architecture multi-agents AI et sa capacité de génération de code automatisée. Cependant, des améliorations critiques sont nécessaires pour atteindre une commercialisation à grande échelle, notamment l'ajout de connecteurs supplémentaires, l'implémentation du SSO enterprise, et le développement de fonctionnalités de collaboration avancées.</w:t>
      </w:r>
    </w:p>
    <w:p>
      <w:pPr>
        <w:pStyle w:val="Heading2"/>
      </w:pPr>
      <w:r>
        <w:t xml:space="preserve">1.1 Constats Clés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020617" w:sz="12"/>
              <w:left w:val="none"/>
              <w:bottom w:val="single" w:color="020617" w:sz="12"/>
              <w:right w:val="none"/>
            </w:tcBorders>
            <w:shd w:fill="0F172A" w:val="clear"/>
            <w:vAlign w:val="center"/>
          </w:tcPr>
          <w:p>
            <w:pPr>
              <w:jc w:val="center"/>
            </w:pPr>
            <w:r>
              <w:rPr>
                <w:rFonts w:ascii="Times New Roman" w:cs="Times New Roman" w:eastAsia="Times New Roman" w:hAnsi="Times New Roman"/>
                <w:b/>
                <w:bCs/>
                <w:color w:val="FFFFFF"/>
              </w:rPr>
              <w:t xml:space="preserve">Dimension</w:t>
            </w:r>
          </w:p>
        </w:tc>
        <w:tc>
          <w:tcPr>
            <w:tcW w:type="dxa" w:w="5860"/>
            <w:tcBorders>
              <w:top w:val="single" w:color="020617" w:sz="12"/>
              <w:left w:val="none"/>
              <w:bottom w:val="single" w:color="020617" w:sz="12"/>
              <w:right w:val="none"/>
            </w:tcBorders>
            <w:shd w:fill="0F172A" w:val="clear"/>
            <w:vAlign w:val="center"/>
          </w:tcPr>
          <w:p>
            <w:pPr>
              <w:jc w:val="center"/>
            </w:pPr>
            <w:r>
              <w:rPr>
                <w:rFonts w:ascii="Times New Roman" w:cs="Times New Roman" w:eastAsia="Times New Roman" w:hAnsi="Times New Roman"/>
                <w:b/>
                <w:bCs/>
                <w:color w:val="FFFFFF"/>
              </w:rPr>
              <w:t xml:space="preserve">Évaluation</w:t>
            </w:r>
          </w:p>
        </w:tc>
      </w:tr>
      <w:tr>
        <w:tc>
          <w:tcPr>
            <w:tcW w:type="dxa" w:w="3500"/>
            <w:tcBorders>
              <w:top w:val="single" w:color="020617" w:sz="12"/>
              <w:left w:val="none"/>
              <w:bottom w:val="single" w:color="020617" w:sz="12"/>
              <w:right w:val="none"/>
            </w:tcBorders>
            <w:shd w:fill="F8FAFC" w:val="clear"/>
          </w:tcPr>
          <w:p>
            <w:r>
              <w:rPr>
                <w:rFonts w:ascii="Times New Roman" w:cs="Times New Roman" w:eastAsia="Times New Roman" w:hAnsi="Times New Roman"/>
                <w:b/>
                <w:bCs/>
              </w:rPr>
              <w:t xml:space="preserve">Score Global</w:t>
            </w:r>
          </w:p>
        </w:tc>
        <w:tc>
          <w:tcPr>
            <w:tcW w:type="dxa" w:w="5860"/>
            <w:tcBorders>
              <w:top w:val="single" w:color="020617" w:sz="12"/>
              <w:left w:val="none"/>
              <w:bottom w:val="single" w:color="020617" w:sz="12"/>
              <w:right w:val="none"/>
            </w:tcBorders>
          </w:tcPr>
          <w:p>
            <w:r>
              <w:rPr>
                <w:rFonts w:ascii="Times New Roman" w:cs="Times New Roman" w:eastAsia="Times New Roman" w:hAnsi="Times New Roman"/>
              </w:rPr>
              <w:t xml:space="preserve">3.5/5 - MVP solide avec différenciation forte</w:t>
            </w:r>
          </w:p>
        </w:tc>
      </w:tr>
      <w:tr>
        <w:tc>
          <w:tcPr>
            <w:tcW w:type="dxa" w:w="3500"/>
            <w:tcBorders>
              <w:top w:val="single" w:color="020617" w:sz="12"/>
              <w:left w:val="none"/>
              <w:bottom w:val="single" w:color="020617" w:sz="12"/>
              <w:right w:val="none"/>
            </w:tcBorders>
            <w:shd w:fill="F8FAFC" w:val="clear"/>
          </w:tcPr>
          <w:p>
            <w:r>
              <w:rPr>
                <w:rFonts w:ascii="Times New Roman" w:cs="Times New Roman" w:eastAsia="Times New Roman" w:hAnsi="Times New Roman"/>
                <w:b/>
                <w:bCs/>
              </w:rPr>
              <w:t xml:space="preserve">Architecture Technique</w:t>
            </w:r>
          </w:p>
        </w:tc>
        <w:tc>
          <w:tcPr>
            <w:tcW w:type="dxa" w:w="5860"/>
            <w:tcBorders>
              <w:top w:val="single" w:color="020617" w:sz="12"/>
              <w:left w:val="none"/>
              <w:bottom w:val="single" w:color="020617" w:sz="12"/>
              <w:right w:val="none"/>
            </w:tcBorders>
          </w:tcPr>
          <w:p>
            <w:r>
              <w:rPr>
                <w:rFonts w:ascii="Times New Roman" w:cs="Times New Roman" w:eastAsia="Times New Roman" w:hAnsi="Times New Roman"/>
              </w:rPr>
              <w:t xml:space="preserve">⭐⭐⭐⭐ Modulaire, extensible, Next.js 16</w:t>
            </w:r>
          </w:p>
        </w:tc>
      </w:tr>
      <w:tr>
        <w:tc>
          <w:tcPr>
            <w:tcW w:type="dxa" w:w="3500"/>
            <w:tcBorders>
              <w:top w:val="single" w:color="020617" w:sz="12"/>
              <w:left w:val="none"/>
              <w:bottom w:val="single" w:color="020617" w:sz="12"/>
              <w:right w:val="none"/>
            </w:tcBorders>
            <w:shd w:fill="F8FAFC" w:val="clear"/>
          </w:tcPr>
          <w:p>
            <w:r>
              <w:rPr>
                <w:rFonts w:ascii="Times New Roman" w:cs="Times New Roman" w:eastAsia="Times New Roman" w:hAnsi="Times New Roman"/>
                <w:b/>
                <w:bCs/>
              </w:rPr>
              <w:t xml:space="preserve">Agents IA</w:t>
            </w:r>
          </w:p>
        </w:tc>
        <w:tc>
          <w:tcPr>
            <w:tcW w:type="dxa" w:w="5860"/>
            <w:tcBorders>
              <w:top w:val="single" w:color="020617" w:sz="12"/>
              <w:left w:val="none"/>
              <w:bottom w:val="single" w:color="020617" w:sz="12"/>
              <w:right w:val="none"/>
            </w:tcBorders>
          </w:tcPr>
          <w:p>
            <w:r>
              <w:rPr>
                <w:rFonts w:ascii="Times New Roman" w:cs="Times New Roman" w:eastAsia="Times New Roman" w:hAnsi="Times New Roman"/>
              </w:rPr>
              <w:t xml:space="preserve">⭐⭐⭐⭐ 10 agents spécialisés - Unique sur le marché</w:t>
            </w:r>
          </w:p>
        </w:tc>
      </w:tr>
      <w:tr>
        <w:tc>
          <w:tcPr>
            <w:tcW w:type="dxa" w:w="3500"/>
            <w:tcBorders>
              <w:top w:val="single" w:color="020617" w:sz="12"/>
              <w:left w:val="none"/>
              <w:bottom w:val="single" w:color="020617" w:sz="12"/>
              <w:right w:val="none"/>
            </w:tcBorders>
            <w:shd w:fill="F8FAFC" w:val="clear"/>
          </w:tcPr>
          <w:p>
            <w:r>
              <w:rPr>
                <w:rFonts w:ascii="Times New Roman" w:cs="Times New Roman" w:eastAsia="Times New Roman" w:hAnsi="Times New Roman"/>
                <w:b/>
                <w:bCs/>
              </w:rPr>
              <w:t xml:space="preserve">Connecteurs</w:t>
            </w:r>
          </w:p>
        </w:tc>
        <w:tc>
          <w:tcPr>
            <w:tcW w:type="dxa" w:w="5860"/>
            <w:tcBorders>
              <w:top w:val="single" w:color="020617" w:sz="12"/>
              <w:left w:val="none"/>
              <w:bottom w:val="single" w:color="020617" w:sz="12"/>
              <w:right w:val="none"/>
            </w:tcBorders>
          </w:tcPr>
          <w:p>
            <w:r>
              <w:rPr>
                <w:rFonts w:ascii="Times New Roman" w:cs="Times New Roman" w:eastAsia="Times New Roman" w:hAnsi="Times New Roman"/>
              </w:rPr>
              <w:t xml:space="preserve">⭐⭐⭐ 15 connecteurs vs 300+ (Fivetran)</w:t>
            </w:r>
          </w:p>
        </w:tc>
      </w:tr>
      <w:tr>
        <w:tc>
          <w:tcPr>
            <w:tcW w:type="dxa" w:w="3500"/>
            <w:tcBorders>
              <w:top w:val="single" w:color="020617" w:sz="12"/>
              <w:left w:val="none"/>
              <w:bottom w:val="single" w:color="020617" w:sz="12"/>
              <w:right w:val="none"/>
            </w:tcBorders>
            <w:shd w:fill="F8FAFC" w:val="clear"/>
          </w:tcPr>
          <w:p>
            <w:r>
              <w:rPr>
                <w:rFonts w:ascii="Times New Roman" w:cs="Times New Roman" w:eastAsia="Times New Roman" w:hAnsi="Times New Roman"/>
                <w:b/>
                <w:bCs/>
              </w:rPr>
              <w:t xml:space="preserve">Potentiel Revenus</w:t>
            </w:r>
          </w:p>
        </w:tc>
        <w:tc>
          <w:tcPr>
            <w:tcW w:type="dxa" w:w="5860"/>
            <w:tcBorders>
              <w:top w:val="single" w:color="020617" w:sz="12"/>
              <w:left w:val="none"/>
              <w:bottom w:val="single" w:color="020617" w:sz="12"/>
              <w:right w:val="none"/>
            </w:tcBorders>
          </w:tcPr>
          <w:p>
            <w:r>
              <w:rPr>
                <w:rFonts w:ascii="Times New Roman" w:cs="Times New Roman" w:eastAsia="Times New Roman" w:hAnsi="Times New Roman"/>
              </w:rPr>
              <w:t xml:space="preserve">3.3M€/an → 10M€/an avec évolution</w:t>
            </w:r>
          </w:p>
        </w:tc>
      </w:tr>
    </w:tbl>
    <w:p>
      <w:pPr>
        <w:spacing w:after="300"/>
      </w:pPr>
    </w:p>
    <w:p>
      <w:pPr>
        <w:pStyle w:val="Heading1"/>
      </w:pPr>
      <w:r>
        <w:t xml:space="preserve">2. Analyse de l'Existant</w:t>
      </w:r>
    </w:p>
    <w:p>
      <w:pPr>
        <w:pStyle w:val="Heading2"/>
      </w:pPr>
      <w:r>
        <w:t xml:space="preserve">2.1 Architecture Technique</w:t>
      </w:r>
    </w:p>
    <w:p>
      <w:pPr>
        <w:spacing w:after="200" w:line="276"/>
      </w:pPr>
      <w:r>
        <w:rPr>
          <w:rFonts w:ascii="Times New Roman" w:cs="Times New Roman" w:eastAsia="Times New Roman" w:hAnsi="Times New Roman"/>
        </w:rPr>
        <w:t xml:space="preserve">Le système est construit sur une architecture moderne utilisant Next.js 16 avec App Router, React 19, et TypeScript 5. Cette stack technique représente l'état de l'art du développement web en 2025, offrant d'excellentes performances, une excellente expérience développeur, et une maintenabilité à long terme. L'utilisation de Prisma ORM avec SQLite en développement et PostgreSQL en production assure une flexibilité optimale pour la gestion des données.</w:t>
      </w:r>
    </w:p>
    <w:p>
      <w:pPr>
        <w:spacing w:after="200" w:line="276"/>
      </w:pPr>
      <w:r>
        <w:rPr>
          <w:rFonts w:ascii="Times New Roman" w:cs="Times New Roman" w:eastAsia="Times New Roman" w:hAnsi="Times New Roman"/>
        </w:rPr>
        <w:t xml:space="preserve">L'interface utilisateur utilise Tailwind CSS 4 avec shadcn/ui, offrant un design system cohérent et professionnel. L'intégration de NextAuth.js 5 pour l'authentification et Stripe pour la facturation complète l'écosystème commercial. Cependant, l'absence de support Kubernetes natif et d'observabilité intégrée représente des lacunes pour le marché enterprise.</w:t>
      </w:r>
    </w:p>
    <w:p>
      <w:pPr>
        <w:pStyle w:val="Heading2"/>
      </w:pPr>
      <w:r>
        <w:t xml:space="preserve">2.2 Agents IA (Avantage Concurrentiel Unique)</w:t>
      </w:r>
    </w:p>
    <w:p>
      <w:pPr>
        <w:spacing w:after="200" w:line="276"/>
      </w:pPr>
      <w:r>
        <w:rPr>
          <w:rFonts w:ascii="Times New Roman" w:cs="Times New Roman" w:eastAsia="Times New Roman" w:hAnsi="Times New Roman"/>
        </w:rPr>
        <w:t xml:space="preserve">Le système dispose de 10 agents IA spécialisés qui constituent le cœur de la différenciation produit. Cette architecture multi-agents permet une orchestration intelligente des tâches complexes de data engineering, depuis la découverte des données jusqu'à la génération de dashboards. L'Agent Business orchestre l'ensemble du workflow tandis que les agents spécialisés (Discovery, Architecture, Pipeline, Transformation, BI) génèrent du code de production de haute qualité.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Agent</w:t>
            </w:r>
          </w:p>
        </w:tc>
        <w:tc>
          <w:tcPr>
            <w:tcW w:type="dxa" w:w="234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Rôle</w:t>
            </w:r>
          </w:p>
        </w:tc>
        <w:tc>
          <w:tcPr>
            <w:tcW w:type="dxa" w:w="468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Fonctionnalités</w:t>
            </w:r>
          </w:p>
        </w:tc>
      </w:tr>
      <w:tr>
        <w:tc>
          <w:tcPr>
            <w:tcW w:type="dxa" w:w="234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Business Agent</w:t>
            </w:r>
          </w:p>
        </w:tc>
        <w:tc>
          <w:tcPr>
            <w:tcW w:type="dxa" w:w="2340"/>
            <w:tcBorders>
              <w:top w:val="single" w:color="020617" w:sz="12"/>
              <w:left w:val="none"/>
              <w:bottom w:val="single" w:color="020617" w:sz="12"/>
              <w:right w:val="none"/>
            </w:tcBorders>
          </w:tcPr>
          <w:p>
            <w:r>
              <w:rPr>
                <w:rFonts w:ascii="Times New Roman" w:cs="Times New Roman" w:eastAsia="Times New Roman" w:hAnsi="Times New Roman"/>
              </w:rPr>
              <w:t xml:space="preserve">Orchestrateur</w:t>
            </w:r>
          </w:p>
        </w:tc>
        <w:tc>
          <w:tcPr>
            <w:tcW w:type="dxa" w:w="4680"/>
            <w:tcBorders>
              <w:top w:val="single" w:color="020617" w:sz="12"/>
              <w:left w:val="none"/>
              <w:bottom w:val="single" w:color="020617" w:sz="12"/>
              <w:right w:val="none"/>
            </w:tcBorders>
          </w:tcPr>
          <w:p>
            <w:r>
              <w:rPr>
                <w:rFonts w:ascii="Times New Roman" w:cs="Times New Roman" w:eastAsia="Times New Roman" w:hAnsi="Times New Roman"/>
              </w:rPr>
              <w:t xml:space="preserve">Analyse business, requirements, stakeholders</w:t>
            </w:r>
          </w:p>
        </w:tc>
      </w:tr>
      <w:tr>
        <w:tc>
          <w:tcPr>
            <w:tcW w:type="dxa" w:w="234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Discovery Agent</w:t>
            </w:r>
          </w:p>
        </w:tc>
        <w:tc>
          <w:tcPr>
            <w:tcW w:type="dxa" w:w="2340"/>
            <w:tcBorders>
              <w:top w:val="single" w:color="020617" w:sz="12"/>
              <w:left w:val="none"/>
              <w:bottom w:val="single" w:color="020617" w:sz="12"/>
              <w:right w:val="none"/>
            </w:tcBorders>
          </w:tcPr>
          <w:p>
            <w:r>
              <w:rPr>
                <w:rFonts w:ascii="Times New Roman" w:cs="Times New Roman" w:eastAsia="Times New Roman" w:hAnsi="Times New Roman"/>
              </w:rPr>
              <w:t xml:space="preserve">Data Archaeologist</w:t>
            </w:r>
          </w:p>
        </w:tc>
        <w:tc>
          <w:tcPr>
            <w:tcW w:type="dxa" w:w="4680"/>
            <w:tcBorders>
              <w:top w:val="single" w:color="020617" w:sz="12"/>
              <w:left w:val="none"/>
              <w:bottom w:val="single" w:color="020617" w:sz="12"/>
              <w:right w:val="none"/>
            </w:tcBorders>
          </w:tcPr>
          <w:p>
            <w:r>
              <w:rPr>
                <w:rFonts w:ascii="Times New Roman" w:cs="Times New Roman" w:eastAsia="Times New Roman" w:hAnsi="Times New Roman"/>
              </w:rPr>
              <w:t xml:space="preserve">Schema analysis, data profiling, PII detection</w:t>
            </w:r>
          </w:p>
        </w:tc>
      </w:tr>
      <w:tr>
        <w:tc>
          <w:tcPr>
            <w:tcW w:type="dxa" w:w="234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Architecture Agent</w:t>
            </w:r>
          </w:p>
        </w:tc>
        <w:tc>
          <w:tcPr>
            <w:tcW w:type="dxa" w:w="2340"/>
            <w:tcBorders>
              <w:top w:val="single" w:color="020617" w:sz="12"/>
              <w:left w:val="none"/>
              <w:bottom w:val="single" w:color="020617" w:sz="12"/>
              <w:right w:val="none"/>
            </w:tcBorders>
          </w:tcPr>
          <w:p>
            <w:r>
              <w:rPr>
                <w:rFonts w:ascii="Times New Roman" w:cs="Times New Roman" w:eastAsia="Times New Roman" w:hAnsi="Times New Roman"/>
              </w:rPr>
              <w:t xml:space="preserve">Blueprint Designer</w:t>
            </w:r>
          </w:p>
        </w:tc>
        <w:tc>
          <w:tcPr>
            <w:tcW w:type="dxa" w:w="4680"/>
            <w:tcBorders>
              <w:top w:val="single" w:color="020617" w:sz="12"/>
              <w:left w:val="none"/>
              <w:bottom w:val="single" w:color="020617" w:sz="12"/>
              <w:right w:val="none"/>
            </w:tcBorders>
          </w:tcPr>
          <w:p>
            <w:r>
              <w:rPr>
                <w:rFonts w:ascii="Times New Roman" w:cs="Times New Roman" w:eastAsia="Times New Roman" w:hAnsi="Times New Roman"/>
              </w:rPr>
              <w:t xml:space="preserve">Architecture design, tech selection, cost estimation</w:t>
            </w:r>
          </w:p>
        </w:tc>
      </w:tr>
      <w:tr>
        <w:tc>
          <w:tcPr>
            <w:tcW w:type="dxa" w:w="234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Pipeline Agent</w:t>
            </w:r>
          </w:p>
        </w:tc>
        <w:tc>
          <w:tcPr>
            <w:tcW w:type="dxa" w:w="2340"/>
            <w:tcBorders>
              <w:top w:val="single" w:color="020617" w:sz="12"/>
              <w:left w:val="none"/>
              <w:bottom w:val="single" w:color="020617" w:sz="12"/>
              <w:right w:val="none"/>
            </w:tcBorders>
          </w:tcPr>
          <w:p>
            <w:r>
              <w:rPr>
                <w:rFonts w:ascii="Times New Roman" w:cs="Times New Roman" w:eastAsia="Times New Roman" w:hAnsi="Times New Roman"/>
              </w:rPr>
              <w:t xml:space="preserve">Flow Builder</w:t>
            </w:r>
          </w:p>
        </w:tc>
        <w:tc>
          <w:tcPr>
            <w:tcW w:type="dxa" w:w="4680"/>
            <w:tcBorders>
              <w:top w:val="single" w:color="020617" w:sz="12"/>
              <w:left w:val="none"/>
              <w:bottom w:val="single" w:color="020617" w:sz="12"/>
              <w:right w:val="none"/>
            </w:tcBorders>
          </w:tcPr>
          <w:p>
            <w:r>
              <w:rPr>
                <w:rFonts w:ascii="Times New Roman" w:cs="Times New Roman" w:eastAsia="Times New Roman" w:hAnsi="Times New Roman"/>
              </w:rPr>
              <w:t xml:space="preserve">DAG generation, dbt models, Spark jobs</w:t>
            </w:r>
          </w:p>
        </w:tc>
      </w:tr>
      <w:tr>
        <w:tc>
          <w:tcPr>
            <w:tcW w:type="dxa" w:w="234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BI Agent</w:t>
            </w:r>
          </w:p>
        </w:tc>
        <w:tc>
          <w:tcPr>
            <w:tcW w:type="dxa" w:w="2340"/>
            <w:tcBorders>
              <w:top w:val="single" w:color="020617" w:sz="12"/>
              <w:left w:val="none"/>
              <w:bottom w:val="single" w:color="020617" w:sz="12"/>
              <w:right w:val="none"/>
            </w:tcBorders>
          </w:tcPr>
          <w:p>
            <w:r>
              <w:rPr>
                <w:rFonts w:ascii="Times New Roman" w:cs="Times New Roman" w:eastAsia="Times New Roman" w:hAnsi="Times New Roman"/>
              </w:rPr>
              <w:t xml:space="preserve">Visual Storyteller</w:t>
            </w:r>
          </w:p>
        </w:tc>
        <w:tc>
          <w:tcPr>
            <w:tcW w:type="dxa" w:w="4680"/>
            <w:tcBorders>
              <w:top w:val="single" w:color="020617" w:sz="12"/>
              <w:left w:val="none"/>
              <w:bottom w:val="single" w:color="020617" w:sz="12"/>
              <w:right w:val="none"/>
            </w:tcBorders>
          </w:tcPr>
          <w:p>
            <w:r>
              <w:rPr>
                <w:rFonts w:ascii="Times New Roman" w:cs="Times New Roman" w:eastAsia="Times New Roman" w:hAnsi="Times New Roman"/>
              </w:rPr>
              <w:t xml:space="preserve">Dashboard creation, KPI definition</w:t>
            </w:r>
          </w:p>
        </w:tc>
      </w:tr>
    </w:tbl>
    <w:p>
      <w:pPr>
        <w:spacing w:after="300"/>
      </w:pPr>
    </w:p>
    <w:p>
      <w:pPr>
        <w:pStyle w:val="Heading2"/>
      </w:pPr>
      <w:r>
        <w:t xml:space="preserve">2.3 Gap Analysis Critique</w:t>
      </w:r>
    </w:p>
    <w:p>
      <w:pPr>
        <w:spacing w:after="200" w:line="276"/>
      </w:pPr>
      <w:r>
        <w:rPr>
          <w:rFonts w:ascii="Times New Roman" w:cs="Times New Roman" w:eastAsia="Times New Roman" w:hAnsi="Times New Roman"/>
        </w:rPr>
        <w:t xml:space="preserve">L'analyse comparative avec les leaders du marché (Fivetran, Airbyte, dbt Cloud, Dagster) révèle plusieurs lacunes critiques qu'il est impératif d'adresser pour une commercialisation réussie. Ces gaps représentent à la fois des risques et des opportunités de différenciation.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1560"/>
        <w:gridCol w:w="1950"/>
      </w:tblGrid>
      <w:tr>
        <w:trPr>
          <w:tblHeader/>
        </w:trPr>
        <w:tc>
          <w:tcPr>
            <w:tcW w:type="dxa" w:w="234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Catégorie</w:t>
            </w:r>
          </w:p>
        </w:tc>
        <w:tc>
          <w:tcPr>
            <w:tcW w:type="dxa" w:w="351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Lacune</w:t>
            </w:r>
          </w:p>
        </w:tc>
        <w:tc>
          <w:tcPr>
            <w:tcW w:type="dxa" w:w="156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Impact</w:t>
            </w:r>
          </w:p>
        </w:tc>
        <w:tc>
          <w:tcPr>
            <w:tcW w:type="dxa" w:w="195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Priorité</w:t>
            </w:r>
          </w:p>
        </w:tc>
      </w:tr>
      <w:tr>
        <w:tc>
          <w:tcPr>
            <w:tcW w:type="dxa" w:w="234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Connecteurs</w:t>
            </w:r>
          </w:p>
        </w:tc>
        <w:tc>
          <w:tcPr>
            <w:tcW w:type="dxa" w:w="3510"/>
            <w:tcBorders>
              <w:top w:val="single" w:color="020617" w:sz="12"/>
              <w:left w:val="none"/>
              <w:bottom w:val="single" w:color="020617" w:sz="12"/>
              <w:right w:val="none"/>
            </w:tcBorders>
          </w:tcPr>
          <w:p>
            <w:r>
              <w:rPr>
                <w:rFonts w:ascii="Times New Roman" w:cs="Times New Roman" w:eastAsia="Times New Roman" w:hAnsi="Times New Roman"/>
              </w:rPr>
              <w:t xml:space="preserve">Manque 200+ connecteurs vs Fivetran</w:t>
            </w:r>
          </w:p>
        </w:tc>
        <w:tc>
          <w:tcPr>
            <w:tcW w:type="dxa" w:w="1560"/>
            <w:tcBorders>
              <w:top w:val="single" w:color="020617" w:sz="12"/>
              <w:left w:val="none"/>
              <w:bottom w:val="single" w:color="020617" w:sz="12"/>
              <w:right w:val="none"/>
            </w:tcBorders>
          </w:tcPr>
          <w:p>
            <w:pPr>
              <w:jc w:val="center"/>
            </w:pPr>
            <w:r>
              <w:rPr>
                <w:rFonts w:ascii="Times New Roman" w:cs="Times New Roman" w:eastAsia="Times New Roman" w:hAnsi="Times New Roman"/>
                <w:color w:val="DC2626"/>
              </w:rPr>
              <w:t xml:space="preserve">🔴 Critique</w:t>
            </w:r>
          </w:p>
        </w:tc>
        <w:tc>
          <w:tcPr>
            <w:tcW w:type="dxa" w:w="1950"/>
            <w:tcBorders>
              <w:top w:val="single" w:color="020617" w:sz="12"/>
              <w:left w:val="none"/>
              <w:bottom w:val="single" w:color="020617" w:sz="12"/>
              <w:right w:val="none"/>
            </w:tcBorders>
          </w:tcPr>
          <w:p>
            <w:pPr>
              <w:jc w:val="center"/>
            </w:pPr>
            <w:r>
              <w:rPr>
                <w:rFonts w:ascii="Times New Roman" w:cs="Times New Roman" w:eastAsia="Times New Roman" w:hAnsi="Times New Roman"/>
                <w:b/>
                <w:bCs/>
              </w:rPr>
              <w:t xml:space="preserve">P0</w:t>
            </w:r>
          </w:p>
        </w:tc>
      </w:tr>
      <w:tr>
        <w:tc>
          <w:tcPr>
            <w:tcW w:type="dxa" w:w="234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Connecteurs</w:t>
            </w:r>
          </w:p>
        </w:tc>
        <w:tc>
          <w:tcPr>
            <w:tcW w:type="dxa" w:w="3510"/>
            <w:tcBorders>
              <w:top w:val="single" w:color="020617" w:sz="12"/>
              <w:left w:val="none"/>
              <w:bottom w:val="single" w:color="020617" w:sz="12"/>
              <w:right w:val="none"/>
            </w:tcBorders>
          </w:tcPr>
          <w:p>
            <w:r>
              <w:rPr>
                <w:rFonts w:ascii="Times New Roman" w:cs="Times New Roman" w:eastAsia="Times New Roman" w:hAnsi="Times New Roman"/>
              </w:rPr>
              <w:t xml:space="preserve">Pas de CDC (Change Data Capture)</w:t>
            </w:r>
          </w:p>
        </w:tc>
        <w:tc>
          <w:tcPr>
            <w:tcW w:type="dxa" w:w="1560"/>
            <w:tcBorders>
              <w:top w:val="single" w:color="020617" w:sz="12"/>
              <w:left w:val="none"/>
              <w:bottom w:val="single" w:color="020617" w:sz="12"/>
              <w:right w:val="none"/>
            </w:tcBorders>
          </w:tcPr>
          <w:p>
            <w:pPr>
              <w:jc w:val="center"/>
            </w:pPr>
            <w:r>
              <w:rPr>
                <w:rFonts w:ascii="Times New Roman" w:cs="Times New Roman" w:eastAsia="Times New Roman" w:hAnsi="Times New Roman"/>
                <w:color w:val="DC2626"/>
              </w:rPr>
              <w:t xml:space="preserve">🔴 Critique</w:t>
            </w:r>
          </w:p>
        </w:tc>
        <w:tc>
          <w:tcPr>
            <w:tcW w:type="dxa" w:w="1950"/>
            <w:tcBorders>
              <w:top w:val="single" w:color="020617" w:sz="12"/>
              <w:left w:val="none"/>
              <w:bottom w:val="single" w:color="020617" w:sz="12"/>
              <w:right w:val="none"/>
            </w:tcBorders>
          </w:tcPr>
          <w:p>
            <w:pPr>
              <w:jc w:val="center"/>
            </w:pPr>
            <w:r>
              <w:rPr>
                <w:rFonts w:ascii="Times New Roman" w:cs="Times New Roman" w:eastAsia="Times New Roman" w:hAnsi="Times New Roman"/>
                <w:b/>
                <w:bCs/>
              </w:rPr>
              <w:t xml:space="preserve">P0</w:t>
            </w:r>
          </w:p>
        </w:tc>
      </w:tr>
      <w:tr>
        <w:tc>
          <w:tcPr>
            <w:tcW w:type="dxa" w:w="234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Déploiement</w:t>
            </w:r>
          </w:p>
        </w:tc>
        <w:tc>
          <w:tcPr>
            <w:tcW w:type="dxa" w:w="3510"/>
            <w:tcBorders>
              <w:top w:val="single" w:color="020617" w:sz="12"/>
              <w:left w:val="none"/>
              <w:bottom w:val="single" w:color="020617" w:sz="12"/>
              <w:right w:val="none"/>
            </w:tcBorders>
          </w:tcPr>
          <w:p>
            <w:r>
              <w:rPr>
                <w:rFonts w:ascii="Times New Roman" w:cs="Times New Roman" w:eastAsia="Times New Roman" w:hAnsi="Times New Roman"/>
              </w:rPr>
              <w:t xml:space="preserve">Pas de déploiement cloud natif</w:t>
            </w:r>
          </w:p>
        </w:tc>
        <w:tc>
          <w:tcPr>
            <w:tcW w:type="dxa" w:w="1560"/>
            <w:tcBorders>
              <w:top w:val="single" w:color="020617" w:sz="12"/>
              <w:left w:val="none"/>
              <w:bottom w:val="single" w:color="020617" w:sz="12"/>
              <w:right w:val="none"/>
            </w:tcBorders>
          </w:tcPr>
          <w:p>
            <w:pPr>
              <w:jc w:val="center"/>
            </w:pPr>
            <w:r>
              <w:rPr>
                <w:rFonts w:ascii="Times New Roman" w:cs="Times New Roman" w:eastAsia="Times New Roman" w:hAnsi="Times New Roman"/>
                <w:color w:val="DC2626"/>
              </w:rPr>
              <w:t xml:space="preserve">🔴 Critique</w:t>
            </w:r>
          </w:p>
        </w:tc>
        <w:tc>
          <w:tcPr>
            <w:tcW w:type="dxa" w:w="1950"/>
            <w:tcBorders>
              <w:top w:val="single" w:color="020617" w:sz="12"/>
              <w:left w:val="none"/>
              <w:bottom w:val="single" w:color="020617" w:sz="12"/>
              <w:right w:val="none"/>
            </w:tcBorders>
          </w:tcPr>
          <w:p>
            <w:pPr>
              <w:jc w:val="center"/>
            </w:pPr>
            <w:r>
              <w:rPr>
                <w:rFonts w:ascii="Times New Roman" w:cs="Times New Roman" w:eastAsia="Times New Roman" w:hAnsi="Times New Roman"/>
                <w:b/>
                <w:bCs/>
              </w:rPr>
              <w:t xml:space="preserve">P0</w:t>
            </w:r>
          </w:p>
        </w:tc>
      </w:tr>
      <w:tr>
        <w:tc>
          <w:tcPr>
            <w:tcW w:type="dxa" w:w="234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Monitoring</w:t>
            </w:r>
          </w:p>
        </w:tc>
        <w:tc>
          <w:tcPr>
            <w:tcW w:type="dxa" w:w="3510"/>
            <w:tcBorders>
              <w:top w:val="single" w:color="020617" w:sz="12"/>
              <w:left w:val="none"/>
              <w:bottom w:val="single" w:color="020617" w:sz="12"/>
              <w:right w:val="none"/>
            </w:tcBorders>
          </w:tcPr>
          <w:p>
            <w:r>
              <w:rPr>
                <w:rFonts w:ascii="Times New Roman" w:cs="Times New Roman" w:eastAsia="Times New Roman" w:hAnsi="Times New Roman"/>
              </w:rPr>
              <w:t xml:space="preserve">Pas d'observabilité intégrée</w:t>
            </w:r>
          </w:p>
        </w:tc>
        <w:tc>
          <w:tcPr>
            <w:tcW w:type="dxa" w:w="1560"/>
            <w:tcBorders>
              <w:top w:val="single" w:color="020617" w:sz="12"/>
              <w:left w:val="none"/>
              <w:bottom w:val="single" w:color="020617" w:sz="12"/>
              <w:right w:val="none"/>
            </w:tcBorders>
          </w:tcPr>
          <w:p>
            <w:pPr>
              <w:jc w:val="center"/>
            </w:pPr>
            <w:r>
              <w:rPr>
                <w:rFonts w:ascii="Times New Roman" w:cs="Times New Roman" w:eastAsia="Times New Roman" w:hAnsi="Times New Roman"/>
                <w:color w:val="EA580C"/>
              </w:rPr>
              <w:t xml:space="preserve">🟠 Important</w:t>
            </w:r>
          </w:p>
        </w:tc>
        <w:tc>
          <w:tcPr>
            <w:tcW w:type="dxa" w:w="1950"/>
            <w:tcBorders>
              <w:top w:val="single" w:color="020617" w:sz="12"/>
              <w:left w:val="none"/>
              <w:bottom w:val="single" w:color="020617" w:sz="12"/>
              <w:right w:val="none"/>
            </w:tcBorders>
          </w:tcPr>
          <w:p>
            <w:pPr>
              <w:jc w:val="center"/>
            </w:pPr>
            <w:r>
              <w:rPr>
                <w:rFonts w:ascii="Times New Roman" w:cs="Times New Roman" w:eastAsia="Times New Roman" w:hAnsi="Times New Roman"/>
                <w:b/>
                <w:bCs/>
              </w:rPr>
              <w:t xml:space="preserve">P1</w:t>
            </w:r>
          </w:p>
        </w:tc>
      </w:tr>
      <w:tr>
        <w:tc>
          <w:tcPr>
            <w:tcW w:type="dxa" w:w="234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Sécurité</w:t>
            </w:r>
          </w:p>
        </w:tc>
        <w:tc>
          <w:tcPr>
            <w:tcW w:type="dxa" w:w="3510"/>
            <w:tcBorders>
              <w:top w:val="single" w:color="020617" w:sz="12"/>
              <w:left w:val="none"/>
              <w:bottom w:val="single" w:color="020617" w:sz="12"/>
              <w:right w:val="none"/>
            </w:tcBorders>
          </w:tcPr>
          <w:p>
            <w:r>
              <w:rPr>
                <w:rFonts w:ascii="Times New Roman" w:cs="Times New Roman" w:eastAsia="Times New Roman" w:hAnsi="Times New Roman"/>
              </w:rPr>
              <w:t xml:space="preserve">SSO non implémenté (config seule)</w:t>
            </w:r>
          </w:p>
        </w:tc>
        <w:tc>
          <w:tcPr>
            <w:tcW w:type="dxa" w:w="1560"/>
            <w:tcBorders>
              <w:top w:val="single" w:color="020617" w:sz="12"/>
              <w:left w:val="none"/>
              <w:bottom w:val="single" w:color="020617" w:sz="12"/>
              <w:right w:val="none"/>
            </w:tcBorders>
          </w:tcPr>
          <w:p>
            <w:pPr>
              <w:jc w:val="center"/>
            </w:pPr>
            <w:r>
              <w:rPr>
                <w:rFonts w:ascii="Times New Roman" w:cs="Times New Roman" w:eastAsia="Times New Roman" w:hAnsi="Times New Roman"/>
                <w:color w:val="EA580C"/>
              </w:rPr>
              <w:t xml:space="preserve">🟠 Important</w:t>
            </w:r>
          </w:p>
        </w:tc>
        <w:tc>
          <w:tcPr>
            <w:tcW w:type="dxa" w:w="1950"/>
            <w:tcBorders>
              <w:top w:val="single" w:color="020617" w:sz="12"/>
              <w:left w:val="none"/>
              <w:bottom w:val="single" w:color="020617" w:sz="12"/>
              <w:right w:val="none"/>
            </w:tcBorders>
          </w:tcPr>
          <w:p>
            <w:pPr>
              <w:jc w:val="center"/>
            </w:pPr>
            <w:r>
              <w:rPr>
                <w:rFonts w:ascii="Times New Roman" w:cs="Times New Roman" w:eastAsia="Times New Roman" w:hAnsi="Times New Roman"/>
                <w:b/>
                <w:bCs/>
              </w:rPr>
              <w:t xml:space="preserve">P1</w:t>
            </w:r>
          </w:p>
        </w:tc>
      </w:tr>
      <w:tr>
        <w:tc>
          <w:tcPr>
            <w:tcW w:type="dxa" w:w="234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Intégration</w:t>
            </w:r>
          </w:p>
        </w:tc>
        <w:tc>
          <w:tcPr>
            <w:tcW w:type="dxa" w:w="3510"/>
            <w:tcBorders>
              <w:top w:val="single" w:color="020617" w:sz="12"/>
              <w:left w:val="none"/>
              <w:bottom w:val="single" w:color="020617" w:sz="12"/>
              <w:right w:val="none"/>
            </w:tcBorders>
          </w:tcPr>
          <w:p>
            <w:r>
              <w:rPr>
                <w:rFonts w:ascii="Times New Roman" w:cs="Times New Roman" w:eastAsia="Times New Roman" w:hAnsi="Times New Roman"/>
              </w:rPr>
              <w:t xml:space="preserve">Pas d'intégration Git native</w:t>
            </w:r>
          </w:p>
        </w:tc>
        <w:tc>
          <w:tcPr>
            <w:tcW w:type="dxa" w:w="1560"/>
            <w:tcBorders>
              <w:top w:val="single" w:color="020617" w:sz="12"/>
              <w:left w:val="none"/>
              <w:bottom w:val="single" w:color="020617" w:sz="12"/>
              <w:right w:val="none"/>
            </w:tcBorders>
          </w:tcPr>
          <w:p>
            <w:pPr>
              <w:jc w:val="center"/>
            </w:pPr>
            <w:r>
              <w:rPr>
                <w:rFonts w:ascii="Times New Roman" w:cs="Times New Roman" w:eastAsia="Times New Roman" w:hAnsi="Times New Roman"/>
                <w:color w:val="EA580C"/>
              </w:rPr>
              <w:t xml:space="preserve">🟠 Important</w:t>
            </w:r>
          </w:p>
        </w:tc>
        <w:tc>
          <w:tcPr>
            <w:tcW w:type="dxa" w:w="1950"/>
            <w:tcBorders>
              <w:top w:val="single" w:color="020617" w:sz="12"/>
              <w:left w:val="none"/>
              <w:bottom w:val="single" w:color="020617" w:sz="12"/>
              <w:right w:val="none"/>
            </w:tcBorders>
          </w:tcPr>
          <w:p>
            <w:pPr>
              <w:jc w:val="center"/>
            </w:pPr>
            <w:r>
              <w:rPr>
                <w:rFonts w:ascii="Times New Roman" w:cs="Times New Roman" w:eastAsia="Times New Roman" w:hAnsi="Times New Roman"/>
                <w:b/>
                <w:bCs/>
              </w:rPr>
              <w:t xml:space="preserve">P1</w:t>
            </w:r>
          </w:p>
        </w:tc>
      </w:tr>
    </w:tbl>
    <w:p>
      <w:pPr>
        <w:spacing w:after="300"/>
      </w:pPr>
    </w:p>
    <w:p>
      <w:pPr>
        <w:pStyle w:val="Heading1"/>
      </w:pPr>
      <w:r>
        <w:t xml:space="preserve">3. Propositions d'Évolution Multi-Secteur</w:t>
      </w:r>
    </w:p>
    <w:p>
      <w:pPr>
        <w:spacing w:after="200" w:line="276"/>
      </w:pPr>
      <w:r>
        <w:rPr>
          <w:rFonts w:ascii="Times New Roman" w:cs="Times New Roman" w:eastAsia="Times New Roman" w:hAnsi="Times New Roman"/>
        </w:rPr>
        <w:t xml:space="preserve">Pour transformer le système en une plateforme véritablement multi-secteur et multi-domaine, nous proposons une stratégie d'évolution structurée en trois axes principaux : l'extension des capacités techniques, la spécialisation sectorielle, et l'enrichissement du modèle commercial.</w:t>
      </w:r>
    </w:p>
    <w:p>
      <w:pPr>
        <w:pStyle w:val="Heading2"/>
      </w:pPr>
      <w:r>
        <w:t xml:space="preserve">3.1 Extension des Connecteurs par Secteur</w:t>
      </w:r>
    </w:p>
    <w:p>
      <w:pPr>
        <w:spacing w:after="200" w:line="276"/>
      </w:pPr>
      <w:r>
        <w:rPr>
          <w:rFonts w:ascii="Times New Roman" w:cs="Times New Roman" w:eastAsia="Times New Roman" w:hAnsi="Times New Roman"/>
        </w:rPr>
        <w:t xml:space="preserve">L'ajout de connecteurs sectoriels spécifiques est crucial pour adresser les besoins particuliers de chaque domaine d'activité. Chaque secteur possède ses propres sources de données critiques qui doivent être intégrées nativement dans la plateforme.</w:t>
      </w:r>
    </w:p>
    <w:p>
      <w:pPr>
        <w:pStyle w:val="ListParagraph"/>
        <w:numPr>
          <w:ilvl w:val="0"/>
          <w:numId w:val="2"/>
        </w:numPr>
      </w:pPr>
      <w:r>
        <w:rPr>
          <w:rFonts w:ascii="Times New Roman" w:cs="Times New Roman" w:eastAsia="Times New Roman" w:hAnsi="Times New Roman"/>
        </w:rPr>
        <w:t xml:space="preserve">Retail &amp; E-commerce : Shopify, Magento, WooCommerce, Amazon Seller Central, Google Shopping, Klaviyo, Yotpo, Trustpilot</w:t>
      </w:r>
    </w:p>
    <w:p>
      <w:pPr>
        <w:pStyle w:val="ListParagraph"/>
        <w:numPr>
          <w:ilvl w:val="0"/>
          <w:numId w:val="2"/>
        </w:numPr>
      </w:pPr>
      <w:r>
        <w:rPr>
          <w:rFonts w:ascii="Times New Roman" w:cs="Times New Roman" w:eastAsia="Times New Roman" w:hAnsi="Times New Roman"/>
        </w:rPr>
        <w:t xml:space="preserve">Finance &amp; Banking : Plaid, Yodlee, Bloomberg, Reuters, SWIFT, SEC EDGAR, Alpha Vantage, QuickBooks, Xero, Sage</w:t>
      </w:r>
    </w:p>
    <w:p>
      <w:pPr>
        <w:pStyle w:val="ListParagraph"/>
        <w:numPr>
          <w:ilvl w:val="0"/>
          <w:numId w:val="2"/>
        </w:numPr>
      </w:pPr>
      <w:r>
        <w:rPr>
          <w:rFonts w:ascii="Times New Roman" w:cs="Times New Roman" w:eastAsia="Times New Roman" w:hAnsi="Times New Roman"/>
        </w:rPr>
        <w:t xml:space="preserve">Healthcare : Epic FHIR, Cerner, HL7, DICOM, FDA NDC, insurance claims processors, clinical trial databases</w:t>
      </w:r>
    </w:p>
    <w:p>
      <w:pPr>
        <w:pStyle w:val="ListParagraph"/>
        <w:numPr>
          <w:ilvl w:val="0"/>
          <w:numId w:val="2"/>
        </w:numPr>
      </w:pPr>
      <w:r>
        <w:rPr>
          <w:rFonts w:ascii="Times New Roman" w:cs="Times New Roman" w:eastAsia="Times New Roman" w:hAnsi="Times New Roman"/>
        </w:rPr>
        <w:t xml:space="preserve">Manufacturing : SAP, Oracle ERP, Siemens PLM, Rockwell Automation, IoT sensors, SCADA systems</w:t>
      </w:r>
    </w:p>
    <w:p>
      <w:pPr>
        <w:pStyle w:val="ListParagraph"/>
        <w:numPr>
          <w:ilvl w:val="0"/>
          <w:numId w:val="2"/>
        </w:numPr>
      </w:pPr>
      <w:r>
        <w:rPr>
          <w:rFonts w:ascii="Times New Roman" w:cs="Times New Roman" w:eastAsia="Times New Roman" w:hAnsi="Times New Roman"/>
        </w:rPr>
        <w:t xml:space="preserve">Marketing &amp; AdTech : Google Ads, Meta Ads, LinkedIn Ads, TikTok Ads, Google Analytics 4, Adobe Analytics, AppsFlyer</w:t>
      </w:r>
    </w:p>
    <w:p>
      <w:pPr>
        <w:pStyle w:val="ListParagraph"/>
        <w:numPr>
          <w:ilvl w:val="0"/>
          <w:numId w:val="2"/>
        </w:numPr>
      </w:pPr>
      <w:r>
        <w:rPr>
          <w:rFonts w:ascii="Times New Roman" w:cs="Times New Roman" w:eastAsia="Times New Roman" w:hAnsi="Times New Roman"/>
        </w:rPr>
        <w:t xml:space="preserve">HR &amp; Payroll : Workday, BambooHR, ADP, Paychex, Lever, Greenhouse, LinkedIn Talent</w:t>
      </w:r>
    </w:p>
    <w:p>
      <w:pPr>
        <w:spacing w:after="300"/>
      </w:pPr>
    </w:p>
    <w:p>
      <w:pPr>
        <w:pStyle w:val="Heading2"/>
      </w:pPr>
      <w:r>
        <w:t xml:space="preserve">3.2 Fonctionnalités Enterprise Requises</w:t>
      </w:r>
    </w:p>
    <w:p>
      <w:pPr>
        <w:spacing w:after="200" w:line="276"/>
      </w:pPr>
      <w:r>
        <w:rPr>
          <w:rFonts w:ascii="Times New Roman" w:cs="Times New Roman" w:eastAsia="Times New Roman" w:hAnsi="Times New Roman"/>
        </w:rPr>
        <w:t xml:space="preserve">Le segment enterprise représente le plus fort potentiel de revenus (49% du marché cible). Ces fonctionnalités sont indispensables pour convaincre les grandes organisations d'adopter la plateforme.</w:t>
      </w:r>
    </w:p>
    <w:p>
      <w:pPr>
        <w:pStyle w:val="ListParagraph"/>
        <w:numPr>
          <w:ilvl w:val="0"/>
          <w:numId w:val="3"/>
        </w:numPr>
      </w:pPr>
      <w:r>
        <w:rPr>
          <w:rFonts w:ascii="Times New Roman" w:cs="Times New Roman" w:eastAsia="Times New Roman" w:hAnsi="Times New Roman"/>
        </w:rPr>
        <w:t xml:space="preserve">SSO (SAML 2.0, OIDC) : Intégration avec Okta, Azure AD, OneLogin, Google Workspace</w:t>
      </w:r>
    </w:p>
    <w:p>
      <w:pPr>
        <w:pStyle w:val="ListParagraph"/>
        <w:numPr>
          <w:ilvl w:val="0"/>
          <w:numId w:val="3"/>
        </w:numPr>
      </w:pPr>
      <w:r>
        <w:rPr>
          <w:rFonts w:ascii="Times New Roman" w:cs="Times New Roman" w:eastAsia="Times New Roman" w:hAnsi="Times New Roman"/>
        </w:rPr>
        <w:t xml:space="preserve">Role-Based Access Control (RBAC) avancé : Permissions granulaires par projet, environnement, et ressource</w:t>
      </w:r>
    </w:p>
    <w:p>
      <w:pPr>
        <w:pStyle w:val="ListParagraph"/>
        <w:numPr>
          <w:ilvl w:val="0"/>
          <w:numId w:val="3"/>
        </w:numPr>
      </w:pPr>
      <w:r>
        <w:rPr>
          <w:rFonts w:ascii="Times New Roman" w:cs="Times New Roman" w:eastAsia="Times New Roman" w:hAnsi="Times New Roman"/>
        </w:rPr>
        <w:t xml:space="preserve">Audit Logs temps réel : Traçabilité complète avec export SIEM (Splunk, Datadog)</w:t>
      </w:r>
    </w:p>
    <w:p>
      <w:pPr>
        <w:pStyle w:val="ListParagraph"/>
        <w:numPr>
          <w:ilvl w:val="0"/>
          <w:numId w:val="3"/>
        </w:numPr>
      </w:pPr>
      <w:r>
        <w:rPr>
          <w:rFonts w:ascii="Times New Roman" w:cs="Times New Roman" w:eastAsia="Times New Roman" w:hAnsi="Times New Roman"/>
        </w:rPr>
        <w:t xml:space="preserve">Data Governance : Data catalog, lineage automatique, PII detection &amp; masking</w:t>
      </w:r>
    </w:p>
    <w:p>
      <w:pPr>
        <w:pStyle w:val="ListParagraph"/>
        <w:numPr>
          <w:ilvl w:val="0"/>
          <w:numId w:val="3"/>
        </w:numPr>
      </w:pPr>
      <w:r>
        <w:rPr>
          <w:rFonts w:ascii="Times New Roman" w:cs="Times New Roman" w:eastAsia="Times New Roman" w:hAnsi="Times New Roman"/>
        </w:rPr>
        <w:t xml:space="preserve">Air-gapped deployment : Option on-premise pour secteurs régulés (défense, banque)</w:t>
      </w:r>
    </w:p>
    <w:p>
      <w:pPr>
        <w:pStyle w:val="ListParagraph"/>
        <w:numPr>
          <w:ilvl w:val="0"/>
          <w:numId w:val="3"/>
        </w:numPr>
      </w:pPr>
      <w:r>
        <w:rPr>
          <w:rFonts w:ascii="Times New Roman" w:cs="Times New Roman" w:eastAsia="Times New Roman" w:hAnsi="Times New Roman"/>
        </w:rPr>
        <w:t xml:space="preserve">SOC 2 Type II &amp; ISO 27001 : Certifications de sécurité requises pour enterprise</w:t>
      </w:r>
    </w:p>
    <w:p>
      <w:pPr>
        <w:spacing w:after="300"/>
      </w:pPr>
    </w:p>
    <w:p>
      <w:pPr>
        <w:pStyle w:val="Heading2"/>
      </w:pPr>
      <w:r>
        <w:t xml:space="preserve">3.3 Nouveaux Modules Produit</w:t>
      </w:r>
    </w:p>
    <w:p>
      <w:pPr>
        <w:spacing w:after="200" w:line="276"/>
      </w:pPr>
      <w:r>
        <w:rPr>
          <w:rFonts w:ascii="Times New Roman" w:cs="Times New Roman" w:eastAsia="Times New Roman" w:hAnsi="Times New Roman"/>
        </w:rPr>
        <w:t xml:space="preserve">Pour élargir l'adressabilité du marché et créer des sources de revenus additionnelles, nous proposons le développement de modules complémentaires qui peuvent être vendus séparément ou en bundle.</w:t>
      </w:r>
    </w:p>
    <w:p>
      <w:pPr>
        <w:pStyle w:val="Heading3"/>
      </w:pPr>
      <w:r>
        <w:t xml:space="preserve">Module Data Quality &amp; Observability</w:t>
      </w:r>
    </w:p>
    <w:p>
      <w:pPr>
        <w:spacing w:after="200" w:line="276"/>
      </w:pPr>
      <w:r>
        <w:rPr>
          <w:rFonts w:ascii="Times New Roman" w:cs="Times New Roman" w:eastAsia="Times New Roman" w:hAnsi="Times New Roman"/>
        </w:rPr>
        <w:t xml:space="preserve">Un module complet de monitoring de la qualité des données avec détection automatique des anomalies, alertes configurables, et tableaux de bord de health score. Ce module intègre les meilleures pratiques de Great Expectations et Monte Carlo, avec une interface no-code accessible aux équipes métier.</w:t>
      </w:r>
    </w:p>
    <w:p>
      <w:pPr>
        <w:pStyle w:val="Heading3"/>
      </w:pPr>
      <w:r>
        <w:t xml:space="preserve">Module Reverse ETL</w:t>
      </w:r>
    </w:p>
    <w:p>
      <w:pPr>
        <w:spacing w:after="200" w:line="276"/>
      </w:pPr>
      <w:r>
        <w:rPr>
          <w:rFonts w:ascii="Times New Roman" w:cs="Times New Roman" w:eastAsia="Times New Roman" w:hAnsi="Times New Roman"/>
        </w:rPr>
        <w:t xml:space="preserve">Capacité de synchroniser les données transformées vers les systèmes opérationnels (CRM, ERP, outils marketing). Ce module répond à un besoin critique des entreprises qui souhaitent operationaliser leurs données. L'implémentation inclura des connecteurs vers Salesforce, HubSpot, Marketo, et les outils de customer success.</w:t>
      </w:r>
    </w:p>
    <w:p>
      <w:pPr>
        <w:pStyle w:val="Heading3"/>
      </w:pPr>
      <w:r>
        <w:t xml:space="preserve">Module AI Copilot</w:t>
      </w:r>
    </w:p>
    <w:p>
      <w:pPr>
        <w:spacing w:after="200" w:line="276"/>
      </w:pPr>
      <w:r>
        <w:rPr>
          <w:rFonts w:ascii="Times New Roman" w:cs="Times New Roman" w:eastAsia="Times New Roman" w:hAnsi="Times New Roman"/>
        </w:rPr>
        <w:t xml:space="preserve">Assistant IA intégré dans l'IDE pour l'autocomplétion de code SQL/dbt, la suggestion de transformations, et l'explication de pipelines existants. Ce module utilise un modèle de langage fine-tuné sur les meilleures pratiques de data engineering et peut être facturé à l'usage.</w:t>
      </w:r>
    </w:p>
    <w:p>
      <w:pPr>
        <w:spacing w:after="300"/>
      </w:pPr>
    </w:p>
    <w:p>
      <w:pPr>
        <w:pStyle w:val="Heading1"/>
      </w:pPr>
      <w:r>
        <w:t xml:space="preserve">4. Roadmap d'Implémentation</w:t>
      </w:r>
    </w:p>
    <w:p>
      <w:pPr>
        <w:spacing w:after="200" w:line="276"/>
      </w:pPr>
      <w:r>
        <w:rPr>
          <w:rFonts w:ascii="Times New Roman" w:cs="Times New Roman" w:eastAsia="Times New Roman" w:hAnsi="Times New Roman"/>
        </w:rPr>
        <w:t xml:space="preserve">La roadmap d'implémentation est structurée en quatre phases sur 18 mois, avec des objectifs clairs et des jalons mesurables. Chaque phase construit sur les acquis de la précédente pour créer une progression logique et minimise les risques.</w:t>
      </w:r>
    </w:p>
    <w:p>
      <w:pPr>
        <w:pStyle w:val="Heading2"/>
      </w:pPr>
      <w:r>
        <w:t xml:space="preserve">4.1 Phase 1 : MVP Commercial (Mois 1-3)</w:t>
      </w:r>
    </w:p>
    <w:p>
      <w:pPr>
        <w:spacing w:after="200" w:line="276"/>
      </w:pPr>
      <w:r>
        <w:rPr>
          <w:rFonts w:ascii="Times New Roman" w:cs="Times New Roman" w:eastAsia="Times New Roman" w:hAnsi="Times New Roman"/>
        </w:rPr>
        <w:t xml:space="preserve">Cette phase vise à rendre le système prêt pour une commercialisation beta avec des early adopters. L'objectif est de valider le product-market fit avec 10-20 clients pilotes.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2340"/>
        <w:gridCol w:w="2340"/>
      </w:tblGrid>
      <w:tr>
        <w:trPr>
          <w:tblHeader/>
        </w:trPr>
        <w:tc>
          <w:tcPr>
            <w:tcW w:type="dxa" w:w="468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Action</w:t>
            </w:r>
          </w:p>
        </w:tc>
        <w:tc>
          <w:tcPr>
            <w:tcW w:type="dxa" w:w="234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Effort</w:t>
            </w:r>
          </w:p>
        </w:tc>
        <w:tc>
          <w:tcPr>
            <w:tcW w:type="dxa" w:w="234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ROI</w:t>
            </w:r>
          </w:p>
        </w:tc>
      </w:tr>
      <w:tr>
        <w:tc>
          <w:tcPr>
            <w:tcW w:type="dxa" w:w="468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Finaliser intégration Stripe (webhooks actifs)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3 jours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w:t>
            </w:r>
          </w:p>
        </w:tc>
      </w:tr>
      <w:tr>
        <w:tc>
          <w:tcPr>
            <w:tcW w:type="dxa" w:w="468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Implémenter SSO (SAML/OIDC) pour Enterprise</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5 jours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w:t>
            </w:r>
          </w:p>
        </w:tc>
      </w:tr>
      <w:tr>
        <w:tc>
          <w:tcPr>
            <w:tcW w:type="dxa" w:w="468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Ajouter 20 connecteurs prioritaires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10 jours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w:t>
            </w:r>
          </w:p>
        </w:tc>
      </w:tr>
      <w:tr>
        <w:tc>
          <w:tcPr>
            <w:tcW w:type="dxa" w:w="468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Data Quality Monitoring basique</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5 jours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w:t>
            </w:r>
          </w:p>
        </w:tc>
      </w:tr>
      <w:tr>
        <w:tc>
          <w:tcPr>
            <w:tcW w:type="dxa" w:w="4680"/>
            <w:tcBorders>
              <w:top w:val="single" w:color="020617" w:sz="12"/>
              <w:left w:val="none"/>
              <w:bottom w:val="single" w:color="020617" w:sz="12"/>
              <w:right w:val="none"/>
            </w:tcBorders>
            <w:shd w:fill="F8FAFC" w:val="clear"/>
          </w:tcPr>
          <w:p>
            <w:r>
              <w:rPr>
                <w:rFonts w:ascii="Times New Roman" w:cs="Times New Roman" w:eastAsia="Times New Roman" w:hAnsi="Times New Roman"/>
              </w:rPr>
              <w:t xml:space="preserve">Documentation API complète (OpenAPI)</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4 jours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w:t>
            </w:r>
          </w:p>
        </w:tc>
      </w:tr>
    </w:tbl>
    <w:p>
      <w:pPr>
        <w:spacing w:after="300"/>
      </w:pPr>
    </w:p>
    <w:p>
      <w:pPr>
        <w:pStyle w:val="Heading2"/>
      </w:pPr>
      <w:r>
        <w:t xml:space="preserve">4.2 Phase 2 : Croissance (Mois 4-9)</w:t>
      </w:r>
    </w:p>
    <w:p>
      <w:pPr>
        <w:spacing w:after="200" w:line="276"/>
      </w:pPr>
      <w:r>
        <w:rPr>
          <w:rFonts w:ascii="Times New Roman" w:cs="Times New Roman" w:eastAsia="Times New Roman" w:hAnsi="Times New Roman"/>
        </w:rPr>
        <w:t xml:space="preserve">Cette phase vise à scaler le business avec 100+ clients payants et établir une présence sur le marché. L'objectif est d'atteindre 500K€ de MRR (Monthly Recurring Revenue) et de valider le modèle de croissance.</w:t>
      </w:r>
    </w:p>
    <w:p>
      <w:pPr>
        <w:pStyle w:val="ListParagraph"/>
        <w:numPr>
          <w:ilvl w:val="0"/>
          <w:numId w:val="4"/>
        </w:numPr>
      </w:pPr>
      <w:r>
        <w:rPr>
          <w:rFonts w:ascii="Times New Roman" w:cs="Times New Roman" w:eastAsia="Times New Roman" w:hAnsi="Times New Roman"/>
        </w:rPr>
        <w:t xml:space="preserve">CDC Integration : Debezium/Kafka Connect pour change data capture temps réel</w:t>
      </w:r>
    </w:p>
    <w:p>
      <w:pPr>
        <w:pStyle w:val="ListParagraph"/>
        <w:numPr>
          <w:ilvl w:val="0"/>
          <w:numId w:val="4"/>
        </w:numPr>
      </w:pPr>
      <w:r>
        <w:rPr>
          <w:rFonts w:ascii="Times New Roman" w:cs="Times New Roman" w:eastAsia="Times New Roman" w:hAnsi="Times New Roman"/>
        </w:rPr>
        <w:t xml:space="preserve">Reverse ETL : Export vers Salesforce, HubSpot, Marketo, Intercom</w:t>
      </w:r>
    </w:p>
    <w:p>
      <w:pPr>
        <w:pStyle w:val="ListParagraph"/>
        <w:numPr>
          <w:ilvl w:val="0"/>
          <w:numId w:val="4"/>
        </w:numPr>
      </w:pPr>
      <w:r>
        <w:rPr>
          <w:rFonts w:ascii="Times New Roman" w:cs="Times New Roman" w:eastAsia="Times New Roman" w:hAnsi="Times New Roman"/>
        </w:rPr>
        <w:t xml:space="preserve">Observability : OpenTelemetry, Prometheus metrics, Grafana dashboards intégrés</w:t>
      </w:r>
    </w:p>
    <w:p>
      <w:pPr>
        <w:pStyle w:val="ListParagraph"/>
        <w:numPr>
          <w:ilvl w:val="0"/>
          <w:numId w:val="4"/>
        </w:numPr>
      </w:pPr>
      <w:r>
        <w:rPr>
          <w:rFonts w:ascii="Times New Roman" w:cs="Times New Roman" w:eastAsia="Times New Roman" w:hAnsi="Times New Roman"/>
        </w:rPr>
        <w:t xml:space="preserve">Self-hosted Option : Docker Compose + Kubernetes Helm charts pour clients on-prem</w:t>
      </w:r>
    </w:p>
    <w:p>
      <w:pPr>
        <w:pStyle w:val="ListParagraph"/>
        <w:numPr>
          <w:ilvl w:val="0"/>
          <w:numId w:val="4"/>
        </w:numPr>
      </w:pPr>
      <w:r>
        <w:rPr>
          <w:rFonts w:ascii="Times New Roman" w:cs="Times New Roman" w:eastAsia="Times New Roman" w:hAnsi="Times New Roman"/>
        </w:rPr>
        <w:t xml:space="preserve">Collaboration : Real-time editing, comments, mentions, activity feed</w:t>
      </w:r>
    </w:p>
    <w:p>
      <w:pPr>
        <w:pStyle w:val="ListParagraph"/>
        <w:numPr>
          <w:ilvl w:val="0"/>
          <w:numId w:val="4"/>
        </w:numPr>
      </w:pPr>
      <w:r>
        <w:rPr>
          <w:rFonts w:ascii="Times New Roman" w:cs="Times New Roman" w:eastAsia="Times New Roman" w:hAnsi="Times New Roman"/>
        </w:rPr>
        <w:t xml:space="preserve">Marketplace Beta : Système de publication et monétisation de templates</w:t>
      </w:r>
    </w:p>
    <w:p>
      <w:pPr>
        <w:spacing w:after="300"/>
      </w:pPr>
    </w:p>
    <w:p>
      <w:pPr>
        <w:pStyle w:val="Heading2"/>
      </w:pPr>
      <w:r>
        <w:t xml:space="preserve">4.3 Phase 3 : Enterprise (Mois 10-15)</w:t>
      </w:r>
    </w:p>
    <w:p>
      <w:pPr>
        <w:spacing w:after="200" w:line="276"/>
      </w:pPr>
      <w:r>
        <w:rPr>
          <w:rFonts w:ascii="Times New Roman" w:cs="Times New Roman" w:eastAsia="Times New Roman" w:hAnsi="Times New Roman"/>
        </w:rPr>
        <w:t xml:space="preserve">Cette phase cible le marché enterprise avec des fonctionnalités avancées de gouvernance et de conformité. L'objectif est de signer 10+ contrats enterprise à 50K€+/an et d'obtenir les certifications de sécurité.</w:t>
      </w:r>
    </w:p>
    <w:p>
      <w:pPr>
        <w:pStyle w:val="ListParagraph"/>
        <w:numPr>
          <w:ilvl w:val="0"/>
          <w:numId w:val="5"/>
        </w:numPr>
      </w:pPr>
      <w:r>
        <w:rPr>
          <w:rFonts w:ascii="Times New Roman" w:cs="Times New Roman" w:eastAsia="Times New Roman" w:hAnsi="Times New Roman"/>
        </w:rPr>
        <w:t xml:space="preserve">SOC 2 Type II Certification : Audit externe et documentation complète</w:t>
      </w:r>
    </w:p>
    <w:p>
      <w:pPr>
        <w:pStyle w:val="ListParagraph"/>
        <w:numPr>
          <w:ilvl w:val="0"/>
          <w:numId w:val="5"/>
        </w:numPr>
      </w:pPr>
      <w:r>
        <w:rPr>
          <w:rFonts w:ascii="Times New Roman" w:cs="Times New Roman" w:eastAsia="Times New Roman" w:hAnsi="Times New Roman"/>
        </w:rPr>
        <w:t xml:space="preserve">Audit Logs temps réel : Logging avec retention configurable et export SIEM</w:t>
      </w:r>
    </w:p>
    <w:p>
      <w:pPr>
        <w:pStyle w:val="ListParagraph"/>
        <w:numPr>
          <w:ilvl w:val="0"/>
          <w:numId w:val="5"/>
        </w:numPr>
      </w:pPr>
      <w:r>
        <w:rPr>
          <w:rFonts w:ascii="Times New Roman" w:cs="Times New Roman" w:eastAsia="Times New Roman" w:hAnsi="Times New Roman"/>
        </w:rPr>
        <w:t xml:space="preserve">Data Governance Suite : Lineage automatique, data catalog, PII masking</w:t>
      </w:r>
    </w:p>
    <w:p>
      <w:pPr>
        <w:pStyle w:val="ListParagraph"/>
        <w:numPr>
          <w:ilvl w:val="0"/>
          <w:numId w:val="5"/>
        </w:numPr>
      </w:pPr>
      <w:r>
        <w:rPr>
          <w:rFonts w:ascii="Times New Roman" w:cs="Times New Roman" w:eastAsia="Times New Roman" w:hAnsi="Times New Roman"/>
        </w:rPr>
        <w:t xml:space="preserve">Air-gapped Deployment : Option on-premise complète pour secteurs régulés</w:t>
      </w:r>
    </w:p>
    <w:p>
      <w:pPr>
        <w:pStyle w:val="ListParagraph"/>
        <w:numPr>
          <w:ilvl w:val="0"/>
          <w:numId w:val="5"/>
        </w:numPr>
      </w:pPr>
      <w:r>
        <w:rPr>
          <w:rFonts w:ascii="Times New Roman" w:cs="Times New Roman" w:eastAsia="Times New Roman" w:hAnsi="Times New Roman"/>
        </w:rPr>
        <w:t xml:space="preserve">White Label Full : Personnalisation complète pour partenaires et revendeurs</w:t>
      </w:r>
    </w:p>
    <w:p>
      <w:pPr>
        <w:spacing w:after="300"/>
      </w:pPr>
    </w:p>
    <w:p>
      <w:pPr>
        <w:pStyle w:val="Heading2"/>
      </w:pPr>
      <w:r>
        <w:t xml:space="preserve">4.4 Phase 4 : Expansion (Mois 16-18)</w:t>
      </w:r>
    </w:p>
    <w:p>
      <w:pPr>
        <w:spacing w:after="200" w:line="276"/>
      </w:pPr>
      <w:r>
        <w:rPr>
          <w:rFonts w:ascii="Times New Roman" w:cs="Times New Roman" w:eastAsia="Times New Roman" w:hAnsi="Times New Roman"/>
        </w:rPr>
        <w:t xml:space="preserve">Cette phase vise l'expansion géographique et l'ouverture de nouveaux segments de marché. L'objectif est d'atteindre 1M€+ MRR et de préparer une levée de fonds Series A.</w:t>
      </w:r>
    </w:p>
    <w:p>
      <w:pPr>
        <w:pStyle w:val="ListParagraph"/>
        <w:numPr>
          <w:ilvl w:val="0"/>
          <w:numId w:val="6"/>
        </w:numPr>
      </w:pPr>
      <w:r>
        <w:rPr>
          <w:rFonts w:ascii="Times New Roman" w:cs="Times New Roman" w:eastAsia="Times New Roman" w:hAnsi="Times New Roman"/>
        </w:rPr>
        <w:t xml:space="preserve">Internationalisation : Support multi-langue (EN, FR, DE, ES, PT, JP, CN)</w:t>
      </w:r>
    </w:p>
    <w:p>
      <w:pPr>
        <w:pStyle w:val="ListParagraph"/>
        <w:numPr>
          <w:ilvl w:val="0"/>
          <w:numId w:val="6"/>
        </w:numPr>
      </w:pPr>
      <w:r>
        <w:rPr>
          <w:rFonts w:ascii="Times New Roman" w:cs="Times New Roman" w:eastAsia="Times New Roman" w:hAnsi="Times New Roman"/>
        </w:rPr>
        <w:t xml:space="preserve">AI Copilot : Assistant IA pour code generation et documentation automatique</w:t>
      </w:r>
    </w:p>
    <w:p>
      <w:pPr>
        <w:pStyle w:val="ListParagraph"/>
        <w:numPr>
          <w:ilvl w:val="0"/>
          <w:numId w:val="6"/>
        </w:numPr>
      </w:pPr>
      <w:r>
        <w:rPr>
          <w:rFonts w:ascii="Times New Roman" w:cs="Times New Roman" w:eastAsia="Times New Roman" w:hAnsi="Times New Roman"/>
        </w:rPr>
        <w:t xml:space="preserve">Partner Program : Programme de partenariat pour intégrateurs et consultants</w:t>
      </w:r>
    </w:p>
    <w:p>
      <w:pPr>
        <w:pStyle w:val="ListParagraph"/>
        <w:numPr>
          <w:ilvl w:val="0"/>
          <w:numId w:val="6"/>
        </w:numPr>
      </w:pPr>
      <w:r>
        <w:rPr>
          <w:rFonts w:ascii="Times New Roman" w:cs="Times New Roman" w:eastAsia="Times New Roman" w:hAnsi="Times New Roman"/>
        </w:rPr>
        <w:t xml:space="preserve">Academy : Plateforme de formation et certification pour utilisateurs</w:t>
      </w:r>
    </w:p>
    <w:p>
      <w:pPr>
        <w:spacing w:after="300"/>
      </w:pPr>
    </w:p>
    <w:p>
      <w:pPr>
        <w:pStyle w:val="Heading1"/>
      </w:pPr>
      <w:r>
        <w:t xml:space="preserve">5. Projections Financières</w:t>
      </w:r>
    </w:p>
    <w:p>
      <w:pPr>
        <w:spacing w:after="200" w:line="276"/>
      </w:pPr>
      <w:r>
        <w:rPr>
          <w:rFonts w:ascii="Times New Roman" w:cs="Times New Roman" w:eastAsia="Times New Roman" w:hAnsi="Times New Roman"/>
        </w:rPr>
        <w:t xml:space="preserve">Les projections financières sont basées sur une analyse conservatrice du marché et des comparables de l'industrie. Les hypothèses tiennent compte des tendances actuelles du marché data engineering et de la croissance du secteur SaaS B2B.</w:t>
      </w:r>
    </w:p>
    <w:p>
      <w:pPr>
        <w:pStyle w:val="Heading2"/>
      </w:pPr>
      <w:r>
        <w:t xml:space="preserve">5.1 Modèle de Pricing Recommandé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0"/>
        <w:gridCol w:w="1870"/>
        <w:gridCol w:w="1870"/>
        <w:gridCol w:w="1870"/>
        <w:gridCol w:w="1870"/>
      </w:tblGrid>
      <w:tr>
        <w:trPr>
          <w:tblHeader/>
        </w:trPr>
        <w:tc>
          <w:tcPr>
            <w:tcW w:type="dxa" w:w="187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Plan</w:t>
            </w:r>
          </w:p>
        </w:tc>
        <w:tc>
          <w:tcPr>
            <w:tcW w:type="dxa" w:w="187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Prix/mois</w:t>
            </w:r>
          </w:p>
        </w:tc>
        <w:tc>
          <w:tcPr>
            <w:tcW w:type="dxa" w:w="187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Cible</w:t>
            </w:r>
          </w:p>
        </w:tc>
        <w:tc>
          <w:tcPr>
            <w:tcW w:type="dxa" w:w="187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Clients/an</w:t>
            </w:r>
          </w:p>
        </w:tc>
        <w:tc>
          <w:tcPr>
            <w:tcW w:type="dxa" w:w="1870"/>
            <w:tcBorders>
              <w:top w:val="single" w:color="020617" w:sz="12"/>
              <w:left w:val="none"/>
              <w:bottom w:val="single" w:color="020617" w:sz="12"/>
              <w:right w:val="none"/>
            </w:tcBorders>
            <w:shd w:fill="0F172A" w:val="clear"/>
          </w:tcPr>
          <w:p>
            <w:pPr>
              <w:jc w:val="center"/>
            </w:pPr>
            <w:r>
              <w:rPr>
                <w:rFonts w:ascii="Times New Roman" w:cs="Times New Roman" w:eastAsia="Times New Roman" w:hAnsi="Times New Roman"/>
                <w:b/>
                <w:bCs/>
                <w:color w:val="FFFFFF"/>
              </w:rPr>
              <w:t xml:space="preserve">ARR</w:t>
            </w:r>
          </w:p>
        </w:tc>
      </w:tr>
      <w:tr>
        <w:tc>
          <w:tcPr>
            <w:tcW w:type="dxa" w:w="1870"/>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rPr>
              <w:t xml:space="preserve">Starter</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499€</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Startups</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500</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300K€</w:t>
            </w:r>
          </w:p>
        </w:tc>
      </w:tr>
      <w:tr>
        <w:tc>
          <w:tcPr>
            <w:tcW w:type="dxa" w:w="1870"/>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rPr>
              <w:t xml:space="preserve">Professional</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1 499€</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PME</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200</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3.6M€</w:t>
            </w:r>
          </w:p>
        </w:tc>
      </w:tr>
      <w:tr>
        <w:tc>
          <w:tcPr>
            <w:tcW w:type="dxa" w:w="1870"/>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rPr>
              <w:t xml:space="preserve">Enterprise</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4 999€+</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Grandes entreprises</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50</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3M€</w:t>
            </w:r>
          </w:p>
        </w:tc>
      </w:tr>
      <w:tr>
        <w:tc>
          <w:tcPr>
            <w:tcW w:type="dxa" w:w="1870"/>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rPr>
              <w:t xml:space="preserve">Agency</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2 999€</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Cabinets conseil</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30</w:t>
            </w:r>
          </w:p>
        </w:tc>
        <w:tc>
          <w:tcPr>
            <w:tcW w:type="dxa" w:w="1870"/>
            <w:tcBorders>
              <w:top w:val="single" w:color="020617" w:sz="12"/>
              <w:left w:val="none"/>
              <w:bottom w:val="single" w:color="020617" w:sz="12"/>
              <w:right w:val="none"/>
            </w:tcBorders>
          </w:tcPr>
          <w:p>
            <w:pPr>
              <w:jc w:val="center"/>
            </w:pPr>
            <w:r>
              <w:rPr>
                <w:rFonts w:ascii="Times New Roman" w:cs="Times New Roman" w:eastAsia="Times New Roman" w:hAnsi="Times New Roman"/>
              </w:rPr>
              <w:t xml:space="preserve">1.1M€</w:t>
            </w:r>
          </w:p>
        </w:tc>
      </w:tr>
      <w:tr>
        <w:tc>
          <w:tcPr>
            <w:tcW w:type="dxa" w:w="1870"/>
            <w:tcBorders>
              <w:top w:val="single" w:color="020617" w:sz="12"/>
              <w:left w:val="none"/>
              <w:bottom w:val="single" w:color="020617" w:sz="12"/>
              <w:right w:val="none"/>
            </w:tcBorders>
            <w:shd w:fill="E0F2FE" w:val="clear"/>
          </w:tcPr>
          <w:p>
            <w:pPr>
              <w:jc w:val="center"/>
            </w:pPr>
            <w:r>
              <w:rPr>
                <w:rFonts w:ascii="Times New Roman" w:cs="Times New Roman" w:eastAsia="Times New Roman" w:hAnsi="Times New Roman"/>
                <w:b/>
                <w:bCs/>
              </w:rPr>
              <w:t xml:space="preserve">TOTAL Année 2</w:t>
            </w:r>
          </w:p>
        </w:tc>
        <w:tc>
          <w:tcPr>
            <w:tcW w:type="dxa" w:w="1870"/>
            <w:tcBorders>
              <w:top w:val="single" w:color="020617" w:sz="12"/>
              <w:left w:val="none"/>
              <w:bottom w:val="single" w:color="020617" w:sz="12"/>
              <w:right w:val="none"/>
            </w:tcBorders>
            <w:shd w:fill="E0F2FE" w:val="clear"/>
          </w:tcPr>
          <w:p>
            <w:pPr>
              <w:jc w:val="center"/>
            </w:pPr>
            <w:r>
              <w:rPr>
                <w:rFonts w:ascii="Times New Roman" w:cs="Times New Roman" w:eastAsia="Times New Roman" w:hAnsi="Times New Roman"/>
              </w:rPr>
              <w:t xml:space="preserve">-</w:t>
            </w:r>
          </w:p>
        </w:tc>
        <w:tc>
          <w:tcPr>
            <w:tcW w:type="dxa" w:w="1870"/>
            <w:tcBorders>
              <w:top w:val="single" w:color="020617" w:sz="12"/>
              <w:left w:val="none"/>
              <w:bottom w:val="single" w:color="020617" w:sz="12"/>
              <w:right w:val="none"/>
            </w:tcBorders>
            <w:shd w:fill="E0F2FE" w:val="clear"/>
          </w:tcPr>
          <w:p>
            <w:pPr>
              <w:jc w:val="center"/>
            </w:pPr>
            <w:r>
              <w:rPr>
                <w:rFonts w:ascii="Times New Roman" w:cs="Times New Roman" w:eastAsia="Times New Roman" w:hAnsi="Times New Roman"/>
              </w:rPr>
              <w:t xml:space="preserve">-</w:t>
            </w:r>
          </w:p>
        </w:tc>
        <w:tc>
          <w:tcPr>
            <w:tcW w:type="dxa" w:w="1870"/>
            <w:tcBorders>
              <w:top w:val="single" w:color="020617" w:sz="12"/>
              <w:left w:val="none"/>
              <w:bottom w:val="single" w:color="020617" w:sz="12"/>
              <w:right w:val="none"/>
            </w:tcBorders>
            <w:shd w:fill="E0F2FE" w:val="clear"/>
          </w:tcPr>
          <w:p>
            <w:pPr>
              <w:jc w:val="center"/>
            </w:pPr>
            <w:r>
              <w:rPr>
                <w:rFonts w:ascii="Times New Roman" w:cs="Times New Roman" w:eastAsia="Times New Roman" w:hAnsi="Times New Roman"/>
                <w:b/>
                <w:bCs/>
              </w:rPr>
              <w:t xml:space="preserve">780</w:t>
            </w:r>
          </w:p>
        </w:tc>
        <w:tc>
          <w:tcPr>
            <w:tcW w:type="dxa" w:w="1870"/>
            <w:tcBorders>
              <w:top w:val="single" w:color="020617" w:sz="12"/>
              <w:left w:val="none"/>
              <w:bottom w:val="single" w:color="020617" w:sz="12"/>
              <w:right w:val="none"/>
            </w:tcBorders>
            <w:shd w:fill="E0F2FE" w:val="clear"/>
          </w:tcPr>
          <w:p>
            <w:pPr>
              <w:jc w:val="center"/>
            </w:pPr>
            <w:r>
              <w:rPr>
                <w:rFonts w:ascii="Times New Roman" w:cs="Times New Roman" w:eastAsia="Times New Roman" w:hAnsi="Times New Roman"/>
                <w:b/>
                <w:bCs/>
              </w:rPr>
              <w:t xml:space="preserve">8M€</w:t>
            </w:r>
          </w:p>
        </w:tc>
      </w:tr>
    </w:tbl>
    <w:p>
      <w:pPr>
        <w:spacing w:after="300"/>
      </w:pPr>
    </w:p>
    <w:p>
      <w:pPr>
        <w:pStyle w:val="Heading2"/>
      </w:pPr>
      <w:r>
        <w:t xml:space="preserve">5.2 Sources de Revenus Additionnelles</w:t>
      </w:r>
    </w:p>
    <w:p>
      <w:pPr>
        <w:spacing w:after="200" w:line="276"/>
      </w:pPr>
      <w:r>
        <w:rPr>
          <w:rFonts w:ascii="Times New Roman" w:cs="Times New Roman" w:eastAsia="Times New Roman" w:hAnsi="Times New Roman"/>
        </w:rPr>
        <w:t xml:space="preserve">Au-delà des abonnements SaaS, plusieurs sources de revenus additionnelles peuvent significativement augmenter le chiffre d'affaires et la rentabilité globale de la plateforme.</w:t>
      </w:r>
    </w:p>
    <w:p>
      <w:pPr>
        <w:pStyle w:val="ListParagraph"/>
        <w:numPr>
          <w:ilvl w:val="0"/>
          <w:numId w:val="7"/>
        </w:numPr>
      </w:pPr>
      <w:r>
        <w:rPr>
          <w:rFonts w:ascii="Times New Roman" w:cs="Times New Roman" w:eastAsia="Times New Roman" w:hAnsi="Times New Roman"/>
        </w:rPr>
        <w:t xml:space="preserve">Marketplace Commission : 20% sur chaque template vendu (potentiel 500K€/an)</w:t>
      </w:r>
    </w:p>
    <w:p>
      <w:pPr>
        <w:pStyle w:val="ListParagraph"/>
        <w:numPr>
          <w:ilvl w:val="0"/>
          <w:numId w:val="7"/>
        </w:numPr>
      </w:pPr>
      <w:r>
        <w:rPr>
          <w:rFonts w:ascii="Times New Roman" w:cs="Times New Roman" w:eastAsia="Times New Roman" w:hAnsi="Times New Roman"/>
        </w:rPr>
        <w:t xml:space="preserve">Professional Services : Implémentation, formation, support dédié (potentiel 1M€/an)</w:t>
      </w:r>
    </w:p>
    <w:p>
      <w:pPr>
        <w:pStyle w:val="ListParagraph"/>
        <w:numPr>
          <w:ilvl w:val="0"/>
          <w:numId w:val="7"/>
        </w:numPr>
      </w:pPr>
      <w:r>
        <w:rPr>
          <w:rFonts w:ascii="Times New Roman" w:cs="Times New Roman" w:eastAsia="Times New Roman" w:hAnsi="Times New Roman"/>
        </w:rPr>
        <w:t xml:space="preserve">API Usage : Facturation à l'usage au-delà des quotas (potentiel 300K€/an)</w:t>
      </w:r>
    </w:p>
    <w:p>
      <w:pPr>
        <w:pStyle w:val="ListParagraph"/>
        <w:numPr>
          <w:ilvl w:val="0"/>
          <w:numId w:val="7"/>
        </w:numPr>
      </w:pPr>
      <w:r>
        <w:rPr>
          <w:rFonts w:ascii="Times New Roman" w:cs="Times New Roman" w:eastAsia="Times New Roman" w:hAnsi="Times New Roman"/>
        </w:rPr>
        <w:t xml:space="preserve">White Label Licensing : Licences pour partenaires (potentiel 800K€/an)</w:t>
      </w:r>
    </w:p>
    <w:p>
      <w:pPr>
        <w:spacing w:after="300"/>
      </w:pPr>
    </w:p>
    <w:p>
      <w:pPr>
        <w:pStyle w:val="Heading1"/>
      </w:pPr>
      <w:r>
        <w:t xml:space="preserve">6. Conclusion et Recommandations</w:t>
      </w:r>
    </w:p>
    <w:p>
      <w:pPr>
        <w:spacing w:after="200" w:line="276"/>
      </w:pPr>
      <w:r>
        <w:rPr>
          <w:rFonts w:ascii="Times New Roman" w:cs="Times New Roman" w:eastAsia="Times New Roman" w:hAnsi="Times New Roman"/>
        </w:rPr>
        <w:t xml:space="preserve">Le système AI Data Engineering possède un potentiel significatif pour devenir un leader du marché des plateformes de data engineering automatisées. L'architecture multi-agents AI constitue un avantage concurrentiel unique qu'aucun concurrent ne peut actuellement égaler. Cependant, la réussite commerciale nécessite une exécution disciplinée de la roadmap proposée et une attention particulière aux besoins spécifiques de chaque segment de marché.</w:t>
      </w:r>
    </w:p>
    <w:p>
      <w:pPr>
        <w:spacing w:after="200" w:line="276"/>
      </w:pPr>
      <w:r>
        <w:rPr>
          <w:rFonts w:ascii="Times New Roman" w:cs="Times New Roman" w:eastAsia="Times New Roman" w:hAnsi="Times New Roman"/>
        </w:rPr>
        <w:t xml:space="preserve">Les actions prioritaires immédiates sont l'activation de la facturation Stripe, l'implémentation du SSO Enterprise, et l'ajout des 20 connecteurs prioritaires. Ces trois éléments sont indispensables pour commencer à générer des revenus et acquérir les premiers clients enterprise. Le développement des modules additionnels (Data Quality, Reverse ETL, AI Copilot) créera des sources de revenus récurrentes additionnelles et renforcera la proposition de valeur globale.</w:t>
      </w:r>
    </w:p>
    <w:p>
      <w:pPr>
        <w:spacing w:after="200" w:line="276"/>
      </w:pPr>
      <w:r>
        <w:rPr>
          <w:rFonts w:ascii="Times New Roman" w:cs="Times New Roman" w:eastAsia="Times New Roman" w:hAnsi="Times New Roman"/>
        </w:rPr>
        <w:t xml:space="preserve">Avec une exécution réussie de ce plan d'évolution, le système peut atteindre un ARR de 8-10M€ d'ici 18-24 mois, positionnant la plateforme comme un acteur majeur du marché data engineering et justifiant une levée de fonds Series A de 15-20M€ pour accélérer la croissance internationale.</w:t>
      </w:r>
    </w:p>
    <w:p>
      <w:pPr>
        <w:spacing w:after="300"/>
      </w:pPr>
    </w:p>
    <w:p>
      <w:pPr>
        <w:pStyle w:val="Heading2"/>
      </w:pPr>
      <w:r>
        <w:t xml:space="preserve">Actions Immédiates (Cette Semaine)</w:t>
      </w:r>
    </w:p>
    <w:p>
      <w:pPr>
        <w:pStyle w:val="ListParagraph"/>
        <w:numPr>
          <w:ilvl w:val="0"/>
          <w:numId w:val="3"/>
        </w:numPr>
      </w:pPr>
      <w:r>
        <w:rPr>
          <w:rFonts w:ascii="Times New Roman" w:cs="Times New Roman" w:eastAsia="Times New Roman" w:hAnsi="Times New Roman"/>
        </w:rPr>
        <w:t xml:space="preserve">Activer les webhooks Stripe pour accepter les paiements en production</w:t>
      </w:r>
    </w:p>
    <w:p>
      <w:pPr>
        <w:pStyle w:val="ListParagraph"/>
        <w:numPr>
          <w:ilvl w:val="0"/>
          <w:numId w:val="3"/>
        </w:numPr>
      </w:pPr>
      <w:r>
        <w:rPr>
          <w:rFonts w:ascii="Times New Roman" w:cs="Times New Roman" w:eastAsia="Times New Roman" w:hAnsi="Times New Roman"/>
        </w:rPr>
        <w:t xml:space="preserve">Créer la documentation API avec OpenAPI/Swagger</w:t>
      </w:r>
    </w:p>
    <w:p>
      <w:pPr>
        <w:pStyle w:val="ListParagraph"/>
        <w:numPr>
          <w:ilvl w:val="0"/>
          <w:numId w:val="3"/>
        </w:numPr>
      </w:pPr>
      <w:r>
        <w:rPr>
          <w:rFonts w:ascii="Times New Roman" w:cs="Times New Roman" w:eastAsia="Times New Roman" w:hAnsi="Times New Roman"/>
        </w:rPr>
        <w:t xml:space="preserve">Implémenter les notifications email (bienvenue, facturation, alertes)</w:t>
      </w:r>
    </w:p>
    <w:p>
      <w:pPr>
        <w:pStyle w:val="ListParagraph"/>
        <w:numPr>
          <w:ilvl w:val="0"/>
          <w:numId w:val="3"/>
        </w:numPr>
      </w:pPr>
      <w:r>
        <w:rPr>
          <w:rFonts w:ascii="Times New Roman" w:cs="Times New Roman" w:eastAsia="Times New Roman" w:hAnsi="Times New Roman"/>
        </w:rPr>
        <w:t xml:space="preserve">Ajouter le data quality scoring sur chaque source de données</w:t>
      </w:r>
    </w:p>
    <w:p>
      <w:pPr>
        <w:pStyle w:val="ListParagraph"/>
        <w:numPr>
          <w:ilvl w:val="0"/>
          <w:numId w:val="3"/>
        </w:numPr>
      </w:pPr>
      <w:r>
        <w:rPr>
          <w:rFonts w:ascii="Times New Roman" w:cs="Times New Roman" w:eastAsia="Times New Roman" w:hAnsi="Times New Roman"/>
        </w:rPr>
        <w:t xml:space="preserve">Créer les tests E2E critiques avec Playwright</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rPr>
      <w:t xml:space="preserve">— </w:t>
    </w:r>
    <w:r>
      <w:rPr>
        <w:color w:val="64748B"/>
      </w:rPr>
      <w:fldChar w:fldCharType="begin"/>
      <w:instrText xml:space="preserve">PAGE</w:instrText>
      <w:fldChar w:fldCharType="separate"/>
      <w:fldChar w:fldCharType="end"/>
    </w:r>
    <w:r>
      <w:rPr>
        <w:color w:val="64748B"/>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AI Data Engineering System - Strategic Evolution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2026-03-18T16:36:52.332Z</dcterms:created>
  <dcterms:modified xsi:type="dcterms:W3CDTF">2026-03-18T16:36:52.332Z</dcterms:modified>
</cp:coreProperties>
</file>

<file path=docProps/custom.xml><?xml version="1.0" encoding="utf-8"?>
<Properties xmlns="http://schemas.openxmlformats.org/officeDocument/2006/custom-properties" xmlns:vt="http://schemas.openxmlformats.org/officeDocument/2006/docPropsVTypes"/>
</file>