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56"/>
          <w:szCs w:val="56"/>
        </w:rPr>
        <w:t xml:space="preserve">DATASPHERE INNOVATION</w:t>
      </w:r>
    </w:p>
    <w:p>
      <w:pPr>
        <w:spacing w:before="200"/>
      </w:pPr>
    </w:p>
    <w:p>
      <w:pPr>
        <w:jc w:val="center"/>
      </w:pPr>
      <w:r>
        <w:rPr>
          <w:rFonts w:ascii="Times New Roman" w:cs="Times New Roman" w:eastAsia="Times New Roman" w:hAnsi="Times New Roman"/>
          <w:color w:val="64748B"/>
          <w:sz w:val="40"/>
          <w:szCs w:val="40"/>
        </w:rPr>
        <w:t xml:space="preserve">État du Projet</w:t>
      </w:r>
    </w:p>
    <w:p>
      <w:pPr>
        <w:spacing w:before="100"/>
        <w:jc w:val="center"/>
      </w:pPr>
      <w:r>
        <w:rPr>
          <w:rFonts w:ascii="Times New Roman" w:cs="Times New Roman" w:eastAsia="Times New Roman" w:hAnsi="Times New Roman"/>
          <w:color w:val="94A3B8"/>
          <w:sz w:val="28"/>
          <w:szCs w:val="28"/>
        </w:rPr>
        <w:t xml:space="preserve">Points Forts &amp; Points Faibles</w:t>
      </w:r>
    </w:p>
    <w:p>
      <w:pPr>
        <w:spacing w:before="2000"/>
      </w:pPr>
    </w:p>
    <w:p>
      <w:pPr>
        <w:jc w:val="center"/>
      </w:pPr>
      <w:r>
        <w:rPr>
          <w:rFonts w:ascii="Times New Roman" w:cs="Times New Roman" w:eastAsia="Times New Roman" w:hAnsi="Times New Roman"/>
          <w:color w:val="1E293B"/>
          <w:sz w:val="24"/>
          <w:szCs w:val="24"/>
        </w:rPr>
        <w:t xml:space="preserve">Plateforme Data Engineering Multi-Agent</w:t>
      </w:r>
    </w:p>
    <w:p>
      <w:pPr>
        <w:spacing w:before="100"/>
        <w:jc w:val="center"/>
      </w:pPr>
      <w:r>
        <w:rPr>
          <w:rFonts w:ascii="Times New Roman" w:cs="Times New Roman" w:eastAsia="Times New Roman" w:hAnsi="Times New Roman"/>
          <w:color w:val="64748B"/>
          <w:sz w:val="22"/>
          <w:szCs w:val="22"/>
        </w:rPr>
        <w:t xml:space="preserve">Analyse Complète - Janvier 2025</w:t>
      </w:r>
    </w:p>
    <w:p>
      <w:pPr>
        <w:sectPr>
          <w:pgSz w:w="11906" w:h="16838" w:orient="portrait"/>
          <w:pgMar w:top="0" w:right="0" w:bottom="0" w:left="0" w:header="708" w:footer="708" w:gutter="0"/>
          <w:pgNumType/>
          <w:docGrid w:linePitch="360"/>
        </w:sectPr>
      </w:pPr>
    </w:p>
    <w:p>
      <w:pPr>
        <w:pStyle w:val="Heading1"/>
        <w:spacing w:after="200" w:before="400"/>
      </w:pPr>
      <w:r>
        <w:rPr>
          <w:rFonts w:ascii="Times New Roman" w:cs="Times New Roman" w:eastAsia="Times New Roman" w:hAnsi="Times New Roman"/>
          <w:b/>
          <w:bCs/>
          <w:color w:val="020617"/>
          <w:sz w:val="36"/>
          <w:szCs w:val="36"/>
        </w:rPr>
        <w:t xml:space="preserve">1. Résumé Exécutif</w:t>
      </w:r>
    </w:p>
    <w:p>
      <w:pPr>
        <w:spacing w:after="150" w:line="250"/>
        <w:jc w:val="both"/>
      </w:pPr>
      <w:r>
        <w:rPr>
          <w:rFonts w:ascii="Times New Roman" w:cs="Times New Roman" w:eastAsia="Times New Roman" w:hAnsi="Times New Roman"/>
          <w:color w:val="1E293B"/>
          <w:sz w:val="22"/>
          <w:szCs w:val="22"/>
        </w:rPr>
        <w:t xml:space="preserve">DataSphere Innovation est une plateforme d'ingénierie de données alimentée par IA avec une architecture multi-agent sophistiquée. Après une analyse complète du codebase, le projet présente un niveau de maturité de 85% avec des fondations solides mais nécessite des améliorations pour une mise en production entreprise.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059669"/>
                <w:sz w:val="32"/>
                <w:szCs w:val="32"/>
              </w:rPr>
              <w:t xml:space="preserve">85%</w:t>
            </w:r>
          </w:p>
          <w:p>
            <w:pPr>
              <w:jc w:val="center"/>
            </w:pPr>
            <w:r>
              <w:rPr>
                <w:rFonts w:ascii="Times New Roman" w:cs="Times New Roman" w:eastAsia="Times New Roman" w:hAnsi="Times New Roman"/>
                <w:color w:val="64748B"/>
                <w:sz w:val="18"/>
                <w:szCs w:val="18"/>
              </w:rPr>
              <w:t xml:space="preserve">Complétude</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2563EB"/>
                <w:sz w:val="32"/>
                <w:szCs w:val="32"/>
              </w:rPr>
              <w:t xml:space="preserve">26</w:t>
            </w:r>
          </w:p>
          <w:p>
            <w:pPr>
              <w:jc w:val="center"/>
            </w:pPr>
            <w:r>
              <w:rPr>
                <w:rFonts w:ascii="Times New Roman" w:cs="Times New Roman" w:eastAsia="Times New Roman" w:hAnsi="Times New Roman"/>
                <w:color w:val="64748B"/>
                <w:sz w:val="18"/>
                <w:szCs w:val="18"/>
              </w:rPr>
              <w:t xml:space="preserve">Modèles DB</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2563EB"/>
                <w:sz w:val="32"/>
                <w:szCs w:val="32"/>
              </w:rPr>
              <w:t xml:space="preserve">10</w:t>
            </w:r>
          </w:p>
          <w:p>
            <w:pPr>
              <w:jc w:val="center"/>
            </w:pPr>
            <w:r>
              <w:rPr>
                <w:rFonts w:ascii="Times New Roman" w:cs="Times New Roman" w:eastAsia="Times New Roman" w:hAnsi="Times New Roman"/>
                <w:color w:val="64748B"/>
                <w:sz w:val="18"/>
                <w:szCs w:val="18"/>
              </w:rPr>
              <w:t xml:space="preserve">Agents IA</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2563EB"/>
                <w:sz w:val="32"/>
                <w:szCs w:val="32"/>
              </w:rPr>
              <w:t xml:space="preserve">26</w:t>
            </w:r>
          </w:p>
          <w:p>
            <w:pPr>
              <w:jc w:val="center"/>
            </w:pPr>
            <w:r>
              <w:rPr>
                <w:rFonts w:ascii="Times New Roman" w:cs="Times New Roman" w:eastAsia="Times New Roman" w:hAnsi="Times New Roman"/>
                <w:color w:val="64748B"/>
                <w:sz w:val="18"/>
                <w:szCs w:val="18"/>
              </w:rPr>
              <w:t xml:space="preserve">API Routes</w:t>
            </w:r>
          </w:p>
        </w:tc>
      </w:tr>
    </w:tbl>
    <w:p>
      <w:pPr>
        <w:spacing w:before="200"/>
      </w:pPr>
    </w:p>
    <w:p>
      <w:pPr>
        <w:pStyle w:val="Heading1"/>
        <w:spacing w:after="200" w:before="400"/>
      </w:pPr>
      <w:r>
        <w:rPr>
          <w:rFonts w:ascii="Times New Roman" w:cs="Times New Roman" w:eastAsia="Times New Roman" w:hAnsi="Times New Roman"/>
          <w:b/>
          <w:bCs/>
          <w:color w:val="020617"/>
          <w:sz w:val="36"/>
          <w:szCs w:val="36"/>
        </w:rPr>
        <w:t xml:space="preserve">2. Points Forts</w:t>
      </w:r>
    </w:p>
    <w:p>
      <w:pPr>
        <w:pStyle w:val="Heading2"/>
        <w:spacing w:after="150" w:before="300"/>
      </w:pPr>
      <w:r>
        <w:rPr>
          <w:rFonts w:ascii="Times New Roman" w:cs="Times New Roman" w:eastAsia="Times New Roman" w:hAnsi="Times New Roman"/>
          <w:b/>
          <w:bCs/>
          <w:color w:val="1E293B"/>
          <w:sz w:val="28"/>
          <w:szCs w:val="28"/>
        </w:rPr>
        <w:t xml:space="preserve">2.1 Architecture Multi-Agent Avancée</w:t>
      </w:r>
    </w:p>
    <w:p>
      <w:pPr>
        <w:spacing w:after="150" w:line="250"/>
        <w:jc w:val="both"/>
      </w:pPr>
      <w:r>
        <w:rPr>
          <w:rFonts w:ascii="Times New Roman" w:cs="Times New Roman" w:eastAsia="Times New Roman" w:hAnsi="Times New Roman"/>
          <w:color w:val="1E293B"/>
          <w:sz w:val="22"/>
          <w:szCs w:val="22"/>
        </w:rPr>
        <w:t xml:space="preserve">Le système dispose de 10 agents spécialisés qui collaborent pour automatiser l'ensemble du cycle de vie des projets data. Cette architecture représente un avantage compétitif majeur avec un orchestrateur intelligent capable de planifier et exécuter des workflows complexes de manière autonome.</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Business Agent : Orchestrateur stratégique alignant les projets sur les objectifs métier</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Discovery Agent : Découverte automatique des sources de données et analyse de schémas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Architecture Agent : Génération de blueprints d'architecture optimisés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Pipeline Agent : Création de pipelines ETL/ELT avec dbt, Airflow, Dagster</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BI Agent : Dashboards et visualisations automatisés</w:t>
      </w:r>
    </w:p>
    <w:p>
      <w:pPr>
        <w:pStyle w:val="Heading2"/>
        <w:spacing w:after="150" w:before="300"/>
      </w:pPr>
      <w:r>
        <w:rPr>
          <w:rFonts w:ascii="Times New Roman" w:cs="Times New Roman" w:eastAsia="Times New Roman" w:hAnsi="Times New Roman"/>
          <w:b/>
          <w:bCs/>
          <w:color w:val="1E293B"/>
          <w:sz w:val="28"/>
          <w:szCs w:val="28"/>
        </w:rPr>
        <w:t xml:space="preserve">2.2 Infrastructure de Sécurité Entreprise</w:t>
      </w:r>
    </w:p>
    <w:p>
      <w:pPr>
        <w:spacing w:after="150" w:line="250"/>
        <w:jc w:val="both"/>
      </w:pPr>
      <w:r>
        <w:rPr>
          <w:rFonts w:ascii="Times New Roman" w:cs="Times New Roman" w:eastAsia="Times New Roman" w:hAnsi="Times New Roman"/>
          <w:color w:val="1E293B"/>
          <w:sz w:val="22"/>
          <w:szCs w:val="22"/>
        </w:rPr>
        <w:t xml:space="preserve">La plateforme intègre une suite de sécurité complète avec chiffrement AES-256-GCM, audit logging infalsifiable, gestion des secrets avec rotation automatique, et support de 5 frameworks de conformité (SOC2, RGPD, HIPAA, PCI-DSS, ISO27001). Cette infrastructure positionne le produit pour les marchés enterprise les plus exigeants.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Chiffrement bout en bout : AES-256-GCM pour toutes les données sensibles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Audit Trail : Signatures HMAC-SHA256 anti-falsification</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MFA/2FA : Support TOTP avec codes de récupération</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Contrôle d'accès IP : Whitelist/blacklist avec support CIDR</w:t>
      </w:r>
    </w:p>
    <w:p>
      <w:pPr>
        <w:pStyle w:val="Heading2"/>
        <w:spacing w:after="150" w:before="300"/>
      </w:pPr>
      <w:r>
        <w:rPr>
          <w:rFonts w:ascii="Times New Roman" w:cs="Times New Roman" w:eastAsia="Times New Roman" w:hAnsi="Times New Roman"/>
          <w:b/>
          <w:bCs/>
          <w:color w:val="1E293B"/>
          <w:sz w:val="28"/>
          <w:szCs w:val="28"/>
        </w:rPr>
        <w:t xml:space="preserve">2.3 Stack Technique Moderne</w:t>
      </w:r>
    </w:p>
    <w:p>
      <w:pPr>
        <w:spacing w:after="150" w:line="250"/>
        <w:jc w:val="both"/>
      </w:pPr>
      <w:r>
        <w:rPr>
          <w:rFonts w:ascii="Times New Roman" w:cs="Times New Roman" w:eastAsia="Times New Roman" w:hAnsi="Times New Roman"/>
          <w:color w:val="1E293B"/>
          <w:sz w:val="22"/>
          <w:szCs w:val="22"/>
        </w:rPr>
        <w:t xml:space="preserve">Le projet utilise les dernières technologies avec Next.js 16, React 19, Prisma 6, et TypeScript. L'architecture suit les meilleures pratiques avec une séparation claire des responsabilités, une API REST complète, et 57 composants UI Shadcn prêts à l'emploi.</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Framework : Next.js 16.1.1 avec App Router</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Base de données : Prisma 6.11.1 avec support PostgreSQL/BigQuery</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Authentification : NextAuth v5 avec RBAC complet</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UI : 57 composants Radix UI accessibles et customisables</w:t>
      </w:r>
    </w:p>
    <w:p>
      <w:pPr>
        <w:pStyle w:val="Heading2"/>
        <w:spacing w:after="150" w:before="300"/>
      </w:pPr>
      <w:r>
        <w:rPr>
          <w:rFonts w:ascii="Times New Roman" w:cs="Times New Roman" w:eastAsia="Times New Roman" w:hAnsi="Times New Roman"/>
          <w:b/>
          <w:bCs/>
          <w:color w:val="1E293B"/>
          <w:sz w:val="28"/>
          <w:szCs w:val="28"/>
        </w:rPr>
        <w:t xml:space="preserve">2.4 Fonctionnalités Commerciales Intégrées</w:t>
      </w:r>
    </w:p>
    <w:p>
      <w:pPr>
        <w:spacing w:after="150" w:line="250"/>
        <w:jc w:val="both"/>
      </w:pPr>
      <w:r>
        <w:rPr>
          <w:rFonts w:ascii="Times New Roman" w:cs="Times New Roman" w:eastAsia="Times New Roman" w:hAnsi="Times New Roman"/>
          <w:color w:val="1E293B"/>
          <w:sz w:val="22"/>
          <w:szCs w:val="22"/>
        </w:rPr>
        <w:t xml:space="preserve">La plateforme inclut déjà un système de facturation Stripe complet avec 4 plans tarifaires, une API publique avec gestion des clés et rate limiting, un Visual Builder no-code, et un AI Consultant pour guider les utilisateurs dans leurs projets data.</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Billing : Intégration Stripe complète avec webhooks</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API Publique : Documentation OpenAPI 3.1.0</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Visual Builder : Constructeur drag-and-drop de pipelines</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SSO Enterprise : SAML 2.0, OIDC, 8 providers préconfigurés</w:t>
      </w:r>
    </w:p>
    <w:p>
      <w:pPr>
        <w:spacing w:before="200"/>
      </w:pPr>
    </w:p>
    <w:p>
      <w:pPr>
        <w:pStyle w:val="Heading1"/>
        <w:spacing w:after="200" w:before="400"/>
      </w:pPr>
      <w:r>
        <w:rPr>
          <w:rFonts w:ascii="Times New Roman" w:cs="Times New Roman" w:eastAsia="Times New Roman" w:hAnsi="Times New Roman"/>
          <w:b/>
          <w:bCs/>
          <w:color w:val="020617"/>
          <w:sz w:val="36"/>
          <w:szCs w:val="36"/>
        </w:rPr>
        <w:t xml:space="preserve">3. Points Faibles</w:t>
      </w:r>
    </w:p>
    <w:p>
      <w:pPr>
        <w:pStyle w:val="Heading2"/>
        <w:spacing w:after="150" w:before="300"/>
      </w:pPr>
      <w:r>
        <w:rPr>
          <w:rFonts w:ascii="Times New Roman" w:cs="Times New Roman" w:eastAsia="Times New Roman" w:hAnsi="Times New Roman"/>
          <w:b/>
          <w:bCs/>
          <w:color w:val="1E293B"/>
          <w:sz w:val="28"/>
          <w:szCs w:val="28"/>
        </w:rPr>
        <w:t xml:space="preserve">3.1 Absence de Tests</w:t>
      </w:r>
    </w:p>
    <w:p>
      <w:pPr>
        <w:spacing w:after="150" w:line="250"/>
        <w:jc w:val="both"/>
      </w:pPr>
      <w:r>
        <w:rPr>
          <w:rFonts w:ascii="Times New Roman" w:cs="Times New Roman" w:eastAsia="Times New Roman" w:hAnsi="Times New Roman"/>
          <w:color w:val="1E293B"/>
          <w:sz w:val="22"/>
          <w:szCs w:val="22"/>
        </w:rPr>
        <w:t xml:space="preserve">Le point faible le plus critique est l'absence totale de tests automatisés. Cette lacune représente un risque majeur pour la stabilité en production et la maintenance à long terme. Il est impératif d'implémenter une stratégie de test complète avant toute mise en production.</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Tests unitaires : 0% de couverture - Aucun test Jest/Vitest</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Tests d'intégration : Non implémentés</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Tests E2E : Aucun test Playwright/Cypress</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Tests de sécurité : Non implémentés</w:t>
      </w:r>
    </w:p>
    <w:p>
      <w:pPr>
        <w:pStyle w:val="Heading2"/>
        <w:spacing w:after="150" w:before="300"/>
      </w:pPr>
      <w:r>
        <w:rPr>
          <w:rFonts w:ascii="Times New Roman" w:cs="Times New Roman" w:eastAsia="Times New Roman" w:hAnsi="Times New Roman"/>
          <w:b/>
          <w:bCs/>
          <w:color w:val="1E293B"/>
          <w:sz w:val="28"/>
          <w:szCs w:val="28"/>
        </w:rPr>
        <w:t xml:space="preserve">3.2 Problèmes de Sécurité Critiques</w:t>
      </w:r>
    </w:p>
    <w:p>
      <w:pPr>
        <w:spacing w:after="150" w:line="250"/>
        <w:jc w:val="both"/>
      </w:pPr>
      <w:r>
        <w:rPr>
          <w:rFonts w:ascii="Times New Roman" w:cs="Times New Roman" w:eastAsia="Times New Roman" w:hAnsi="Times New Roman"/>
          <w:color w:val="1E293B"/>
          <w:sz w:val="22"/>
          <w:szCs w:val="22"/>
        </w:rPr>
        <w:t xml:space="preserve">Plusieurs vulnérabilités de sécurité nécessitent une correction immédiate. Ces problèmes peuvent compromettre l'intégrité de la plateforme et exposer les données utilisateurs.</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Secret par défaut : AUTH_SECRET hardcodé dans le code (CRITIQUE)</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Mot de passe en clair : Credentials stockés sans chiffrement dans les connecteurs</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Rate limiting : Non appliqué sur les endpoints IA coûteux</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Validation : Absence de validation Zod sur plusieurs endpoints API</w:t>
      </w:r>
    </w:p>
    <w:p>
      <w:pPr>
        <w:pStyle w:val="Heading2"/>
        <w:spacing w:after="150" w:before="300"/>
      </w:pPr>
      <w:r>
        <w:rPr>
          <w:rFonts w:ascii="Times New Roman" w:cs="Times New Roman" w:eastAsia="Times New Roman" w:hAnsi="Times New Roman"/>
          <w:b/>
          <w:bCs/>
          <w:color w:val="1E293B"/>
          <w:sz w:val="28"/>
          <w:szCs w:val="28"/>
        </w:rPr>
        <w:t xml:space="preserve">3.3 Implémentations Partielles</w:t>
      </w:r>
    </w:p>
    <w:p>
      <w:pPr>
        <w:spacing w:after="150" w:line="250"/>
        <w:jc w:val="both"/>
      </w:pPr>
      <w:r>
        <w:rPr>
          <w:rFonts w:ascii="Times New Roman" w:cs="Times New Roman" w:eastAsia="Times New Roman" w:hAnsi="Times New Roman"/>
          <w:color w:val="1E293B"/>
          <w:sz w:val="22"/>
          <w:szCs w:val="22"/>
        </w:rPr>
        <w:t xml:space="preserve">Plusieurs fonctionnalités sont partiellement implémentées avec des stubs ou des données de démonstration, ce qui limite leur utilité en production.</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Connecteur MySQL : Classe définie mais non implémentée</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Notifications temps réel : Stock en mémoire (nécessite Redis)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Scheduler : Modèle existe, API incomplète</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Diagrammes : Lib exists, API incomplète</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Knowledge Base RAG : Modèle défini, pas d'implémentation</w:t>
      </w:r>
    </w:p>
    <w:p>
      <w:pPr>
        <w:pStyle w:val="Heading2"/>
        <w:spacing w:after="150" w:before="300"/>
      </w:pPr>
      <w:r>
        <w:rPr>
          <w:rFonts w:ascii="Times New Roman" w:cs="Times New Roman" w:eastAsia="Times New Roman" w:hAnsi="Times New Roman"/>
          <w:b/>
          <w:bCs/>
          <w:color w:val="1E293B"/>
          <w:sz w:val="28"/>
          <w:szCs w:val="28"/>
        </w:rPr>
        <w:t xml:space="preserve">3.4 Dette Technique</w:t>
      </w:r>
    </w:p>
    <w:p>
      <w:pPr>
        <w:spacing w:after="150" w:line="250"/>
        <w:jc w:val="both"/>
      </w:pPr>
      <w:r>
        <w:rPr>
          <w:rFonts w:ascii="Times New Roman" w:cs="Times New Roman" w:eastAsia="Times New Roman" w:hAnsi="Times New Roman"/>
          <w:color w:val="1E293B"/>
          <w:sz w:val="22"/>
          <w:szCs w:val="22"/>
        </w:rPr>
        <w:t xml:space="preserve">Plusieurs éléments de dette technique ont été identifiés et nécessitent une attention particulière pour maintenir la qualité du code.</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Utilisateur hardcodé : Utilisateur demo dans l'API projects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TODO comments : Commentaires non résolus dans les connecteurs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Types any : Utilisation de types any dans certains modules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Documentation : Absence de JSDoc sur les fonctions publiques</w:t>
      </w:r>
    </w:p>
    <w:p>
      <w:pPr>
        <w:spacing w:before="200"/>
      </w:pPr>
    </w:p>
    <w:p>
      <w:pPr>
        <w:pStyle w:val="Heading1"/>
        <w:spacing w:after="200" w:before="400"/>
      </w:pPr>
      <w:r>
        <w:rPr>
          <w:rFonts w:ascii="Times New Roman" w:cs="Times New Roman" w:eastAsia="Times New Roman" w:hAnsi="Times New Roman"/>
          <w:b/>
          <w:bCs/>
          <w:color w:val="020617"/>
          <w:sz w:val="36"/>
          <w:szCs w:val="36"/>
        </w:rPr>
        <w:t xml:space="preserve">4. Analyse Quantitative</w:t>
      </w:r>
    </w:p>
    <w:p>
      <w:pPr>
        <w:pStyle w:val="Heading2"/>
        <w:spacing w:after="150" w:before="300"/>
      </w:pPr>
      <w:r>
        <w:rPr>
          <w:rFonts w:ascii="Times New Roman" w:cs="Times New Roman" w:eastAsia="Times New Roman" w:hAnsi="Times New Roman"/>
          <w:b/>
          <w:bCs/>
          <w:color w:val="1E293B"/>
          <w:sz w:val="28"/>
          <w:szCs w:val="28"/>
        </w:rPr>
        <w:t xml:space="preserve">4.1 Couverture par Catégorie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Catégorie</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Implémenté</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Statut</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Modules lib/</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15/15</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100%</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Agents IA</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10/10</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100%</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API Endpoints</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D97706"/>
                <w:sz w:val="22"/>
                <w:szCs w:val="22"/>
              </w:rPr>
              <w:t xml:space="preserve">22/26</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D97706"/>
                <w:sz w:val="22"/>
                <w:szCs w:val="22"/>
              </w:rPr>
              <w:t xml:space="preserve">85%</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Modèles DB</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26/26</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100%</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Composants UI</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57/57</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059669"/>
                <w:sz w:val="22"/>
                <w:szCs w:val="22"/>
              </w:rPr>
              <w:t xml:space="preserve">100%</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Tests</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DC2626"/>
                <w:sz w:val="22"/>
                <w:szCs w:val="22"/>
              </w:rPr>
              <w:t xml:space="preserve">0%</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color w:val="DC2626"/>
                <w:sz w:val="22"/>
                <w:szCs w:val="22"/>
              </w:rPr>
              <w:t xml:space="preserve">CRITIQUE</w:t>
            </w:r>
          </w:p>
        </w:tc>
      </w:tr>
    </w:tbl>
    <w:p>
      <w:pPr>
        <w:spacing w:before="200"/>
      </w:pPr>
    </w:p>
    <w:p>
      <w:pPr>
        <w:pStyle w:val="Heading1"/>
        <w:spacing w:after="200" w:before="400"/>
      </w:pPr>
      <w:r>
        <w:rPr>
          <w:rFonts w:ascii="Times New Roman" w:cs="Times New Roman" w:eastAsia="Times New Roman" w:hAnsi="Times New Roman"/>
          <w:b/>
          <w:bCs/>
          <w:color w:val="020617"/>
          <w:sz w:val="36"/>
          <w:szCs w:val="36"/>
        </w:rPr>
        <w:t xml:space="preserve">5. Recommandations Priorisées</w:t>
      </w:r>
    </w:p>
    <w:p>
      <w:pPr>
        <w:pStyle w:val="Heading2"/>
        <w:spacing w:after="150" w:before="300"/>
      </w:pPr>
      <w:r>
        <w:rPr>
          <w:rFonts w:ascii="Times New Roman" w:cs="Times New Roman" w:eastAsia="Times New Roman" w:hAnsi="Times New Roman"/>
          <w:b/>
          <w:bCs/>
          <w:color w:val="1E293B"/>
          <w:sz w:val="28"/>
          <w:szCs w:val="28"/>
        </w:rPr>
        <w:t xml:space="preserve">5.1 Priorité Critique (Avant Production)</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Implémenter les tests : Jest pour les tests unitaires, Playwright pour les E2E - Objectif 80% de couverture</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Corriger les failles de sécurité : Supprimer les secrets hardcodés, utiliser des variables d'environnement</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Implémenter Redis : Pour les sessions, le cache et les notifications temps réel</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Ajouter la validation : Schémas Zod sur tous les endpoints API</w:t>
      </w:r>
    </w:p>
    <w:p>
      <w:pPr>
        <w:pStyle w:val="Heading2"/>
        <w:spacing w:after="150" w:before="300"/>
      </w:pPr>
      <w:r>
        <w:rPr>
          <w:rFonts w:ascii="Times New Roman" w:cs="Times New Roman" w:eastAsia="Times New Roman" w:hAnsi="Times New Roman"/>
          <w:b/>
          <w:bCs/>
          <w:color w:val="1E293B"/>
          <w:sz w:val="28"/>
          <w:szCs w:val="28"/>
        </w:rPr>
        <w:t xml:space="preserve">5.2 Priorité Haute (Court Terme)</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Compléter les connecteurs : MySQL, Snowflake, MongoDB avec tests d'intégration</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WebSocket : Support temps réel pour les mises à jour de workflows</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Jobs en arrière-plan : BullMQ pour les exports et générations longues</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Logging avancé : Intégration Sentry pour le monitoring d'erreurs</w:t>
      </w:r>
    </w:p>
    <w:p>
      <w:pPr>
        <w:pStyle w:val="Heading2"/>
        <w:spacing w:after="150" w:before="300"/>
      </w:pPr>
      <w:r>
        <w:rPr>
          <w:rFonts w:ascii="Times New Roman" w:cs="Times New Roman" w:eastAsia="Times New Roman" w:hAnsi="Times New Roman"/>
          <w:b/>
          <w:bCs/>
          <w:color w:val="1E293B"/>
          <w:sz w:val="28"/>
          <w:szCs w:val="28"/>
        </w:rPr>
        <w:t xml:space="preserve">5.3 Priorité Moyenne (Moyen Terme)</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Optimisation des performances : Cache Redis, pagination côté serveur, code splitting</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CI/CD Pipeline : GitHub Actions avec tests automatisés et déploiement continu</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Documentation API : Swagger/OpenAPI interactif avec exemples</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Onboarding utilisateur : Tutoriels interactifs et guides de démarrage</w:t>
      </w:r>
    </w:p>
    <w:p>
      <w:pPr>
        <w:spacing w:before="200"/>
      </w:pPr>
    </w:p>
    <w:p>
      <w:pPr>
        <w:pStyle w:val="Heading1"/>
        <w:spacing w:after="200" w:before="400"/>
      </w:pPr>
      <w:r>
        <w:rPr>
          <w:rFonts w:ascii="Times New Roman" w:cs="Times New Roman" w:eastAsia="Times New Roman" w:hAnsi="Times New Roman"/>
          <w:b/>
          <w:bCs/>
          <w:color w:val="020617"/>
          <w:sz w:val="36"/>
          <w:szCs w:val="36"/>
        </w:rPr>
        <w:t xml:space="preserve">6. Conclusion</w:t>
      </w:r>
    </w:p>
    <w:p>
      <w:pPr>
        <w:spacing w:after="150" w:line="250"/>
        <w:jc w:val="both"/>
      </w:pPr>
      <w:r>
        <w:rPr>
          <w:rFonts w:ascii="Times New Roman" w:cs="Times New Roman" w:eastAsia="Times New Roman" w:hAnsi="Times New Roman"/>
          <w:color w:val="1E293B"/>
          <w:sz w:val="22"/>
          <w:szCs w:val="22"/>
        </w:rPr>
        <w:t xml:space="preserve">DataSphere Innovation est un projet techniquement solide avec une architecture innovante et des fonctionnalités avancées. Les fondations sont excellentes avec un système multi-agent sophistiqué, une infrastructure de sécurité entreprise et une stack technique moderne. Cependant, l'absence de tests et certaines failles de sécurité doivent être adressées impérativement avant toute mise en production.</w:t>
      </w:r>
    </w:p>
    <w:p>
      <w:pPr>
        <w:spacing w:after="150" w:line="250"/>
        <w:jc w:val="both"/>
      </w:pPr>
      <w:r>
        <w:rPr>
          <w:rFonts w:ascii="Times New Roman" w:cs="Times New Roman" w:eastAsia="Times New Roman" w:hAnsi="Times New Roman"/>
          <w:color w:val="1E293B"/>
          <w:sz w:val="22"/>
          <w:szCs w:val="22"/>
        </w:rPr>
        <w:t xml:space="preserve">Le projet a un fort potentiel commercial avec ses fonctionnalités différenciantes (multi-agent, conformité intégrée, visual builder). Avec un effort estimé de 4-6 semaines pour les correctifs prioritaires et l'ajout de tests, la plateforme pourrait être prête pour un lancement commercial.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D97706"/>
                <w:sz w:val="32"/>
                <w:szCs w:val="32"/>
              </w:rPr>
              <w:t xml:space="preserve">85%</w:t>
            </w:r>
          </w:p>
          <w:p>
            <w:pPr>
              <w:jc w:val="center"/>
            </w:pPr>
            <w:r>
              <w:rPr>
                <w:rFonts w:ascii="Times New Roman" w:cs="Times New Roman" w:eastAsia="Times New Roman" w:hAnsi="Times New Roman"/>
                <w:color w:val="64748B"/>
                <w:sz w:val="18"/>
                <w:szCs w:val="18"/>
              </w:rPr>
              <w:t xml:space="preserve">Prêt Production</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2563EB"/>
                <w:sz w:val="32"/>
                <w:szCs w:val="32"/>
              </w:rPr>
              <w:t xml:space="preserve">4-6</w:t>
            </w:r>
          </w:p>
          <w:p>
            <w:pPr>
              <w:jc w:val="center"/>
            </w:pPr>
            <w:r>
              <w:rPr>
                <w:rFonts w:ascii="Times New Roman" w:cs="Times New Roman" w:eastAsia="Times New Roman" w:hAnsi="Times New Roman"/>
                <w:color w:val="64748B"/>
                <w:sz w:val="18"/>
                <w:szCs w:val="18"/>
              </w:rPr>
              <w:t xml:space="preserve">Semaines Restantes</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color w:val="059669"/>
                <w:sz w:val="32"/>
                <w:szCs w:val="32"/>
              </w:rPr>
              <w:t xml:space="preserve">HIGH</w:t>
            </w:r>
          </w:p>
          <w:p>
            <w:pPr>
              <w:jc w:val="center"/>
            </w:pPr>
            <w:r>
              <w:rPr>
                <w:rFonts w:ascii="Times New Roman" w:cs="Times New Roman" w:eastAsia="Times New Roman" w:hAnsi="Times New Roman"/>
                <w:color w:val="64748B"/>
                <w:sz w:val="18"/>
                <w:szCs w:val="18"/>
              </w:rPr>
              <w:t xml:space="preserve">Potentiel Commercial</w:t>
            </w:r>
          </w:p>
        </w:tc>
      </w:tr>
    </w:tbl>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DataSphere Innovation - État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2026-03-18T22:07:37.164Z</dcterms:created>
  <dcterms:modified xsi:type="dcterms:W3CDTF">2026-03-18T22:07:37.164Z</dcterms:modified>
</cp:coreProperties>
</file>

<file path=docProps/custom.xml><?xml version="1.0" encoding="utf-8"?>
<Properties xmlns="http://schemas.openxmlformats.org/officeDocument/2006/custom-properties" xmlns:vt="http://schemas.openxmlformats.org/officeDocument/2006/docPropsVTypes"/>
</file>