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7c3aed"/>
          <w:sz w:val="72"/>
          <w:szCs w:val="72"/>
        </w:rPr>
        <w:t xml:space="preserve">DataSphere Innovation</w:t>
      </w:r>
    </w:p>
    <w:p>
      <w:pPr>
        <w:spacing w:before="400"/>
        <w:jc w:val="center"/>
      </w:pPr>
      <w:r>
        <w:rPr>
          <w:rFonts w:ascii="Times New Roman" w:cs="Times New Roman" w:eastAsia="Times New Roman" w:hAnsi="Times New Roman"/>
          <w:color w:val="020617"/>
          <w:sz w:val="44"/>
          <w:szCs w:val="44"/>
        </w:rPr>
        <w:t xml:space="preserve">Documentation de Formation</w:t>
      </w:r>
    </w:p>
    <w:p>
      <w:pPr>
        <w:spacing w:before="200"/>
        <w:jc w:val="center"/>
      </w:pPr>
      <w:r>
        <w:rPr>
          <w:rFonts w:ascii="Calibri" w:cs="Calibri" w:eastAsia="Calibri" w:hAnsi="Calibri"/>
          <w:color w:val="64748B"/>
          <w:sz w:val="28"/>
          <w:szCs w:val="28"/>
        </w:rPr>
        <w:t xml:space="preserve">Guide Complet de l'Utilisateur</w:t>
      </w:r>
    </w:p>
    <w:p>
      <w:pPr>
        <w:spacing w:before="2000"/>
        <w:jc w:val="center"/>
      </w:pPr>
      <w:r>
        <w:rPr>
          <w:rFonts w:ascii="Calibri" w:cs="Calibri" w:eastAsia="Calibri" w:hAnsi="Calibri"/>
          <w:i/>
          <w:iCs/>
          <w:color w:val="1E293B"/>
          <w:sz w:val="24"/>
          <w:szCs w:val="24"/>
        </w:rPr>
        <w:t xml:space="preserve">Plateforme Data Engineering propulsée par l'IA</w:t>
      </w:r>
    </w:p>
    <w:p>
      <w:pPr>
        <w:spacing w:before="400"/>
        <w:jc w:val="center"/>
      </w:pPr>
      <w:r>
        <w:rPr>
          <w:rFonts w:ascii="Calibri" w:cs="Calibri" w:eastAsia="Calibri" w:hAnsi="Calibri"/>
          <w:color w:val="64748B"/>
          <w:sz w:val="22"/>
          <w:szCs w:val="22"/>
        </w:rPr>
        <w:t xml:space="preserve">Version 2.0 | 2024</w:t>
      </w:r>
    </w:p>
    <w:p>
      <w:pPr>
        <w:sectPr>
          <w:pgSz w:w="11906" w:h="16838" w:orient="portrait"/>
          <w:pgMar w:top="0" w:right="0" w:bottom="0" w:left="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before="200"/>
        <w:jc w:val="center"/>
      </w:pPr>
      <w:r>
        <w:rPr>
          <w:i/>
          <w:iCs/>
          <w:color w:val="999999"/>
          <w:sz w:val="18"/>
          <w:szCs w:val="18"/>
        </w:rPr>
        <w:t xml:space="preserve">Note: Faites un clic droit sur la table des matières et sélectionnez "Mettre à jour le champ" pour afficher les numéros de page.</w:t>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pPr>
      <w:r>
        <w:t xml:space="preserve">1. Introduction à DataSphere Innovation</w:t>
      </w:r>
    </w:p>
    <w:p>
      <w:pPr>
        <w:spacing w:after="120"/>
      </w:pPr>
      <w:r>
        <w:rPr>
          <w:rFonts w:ascii="Calibri" w:cs="Calibri" w:eastAsia="Calibri" w:hAnsi="Calibri"/>
        </w:rPr>
        <w:t xml:space="preserve">DataSphere Innovation est une plateforme révolutionnaire de data engineering propulsée par l'intelligence artificielle. Elle permet aux entreprises de toutes tailles de transformer leurs opérations de données sans nécessiter d'expertise technique approfondie. Cette documentation vous guidera à travers toutes les fonctionnalités de la plateforme, de la connexion des sources de données à la génération automatique de pipelines ETL optimisés.</w:t>
      </w:r>
    </w:p>
    <w:p>
      <w:pPr>
        <w:pStyle w:val="Heading2"/>
      </w:pPr>
      <w:r>
        <w:t xml:space="preserve">1.1 Vision et Mission</w:t>
      </w:r>
    </w:p>
    <w:p>
      <w:pPr>
        <w:spacing w:after="120"/>
      </w:pPr>
      <w:r>
        <w:rPr>
          <w:rFonts w:ascii="Calibri" w:cs="Calibri" w:eastAsia="Calibri" w:hAnsi="Calibri"/>
        </w:rPr>
        <w:t xml:space="preserve">Notre mission est de démocratiser le data engineering en rendant accessible à toutes les entreprises les capacités autrefois réservées aux grandes organisations technologiques. Nous croyons que chaque entreprise, quel que soit son secteur d'activité, mérite de pouvoir exploiter pleinement ses données pour prendre des décisions éclairées et optimiser ses opérations.</w:t>
      </w:r>
    </w:p>
    <w:p>
      <w:pPr>
        <w:pStyle w:val="Heading2"/>
      </w:pPr>
      <w:r>
        <w:t xml:space="preserve">1.2 Avantages Clés</w:t>
      </w:r>
    </w:p>
    <w:p>
      <w:pPr>
        <w:pStyle w:val="ListParagraph"/>
        <w:numPr>
          <w:ilvl w:val="0"/>
          <w:numId w:val="2"/>
        </w:numPr>
      </w:pPr>
      <w:r>
        <w:rPr>
          <w:rFonts w:ascii="Calibri" w:cs="Calibri" w:eastAsia="Calibri" w:hAnsi="Calibri"/>
        </w:rPr>
        <w:t xml:space="preserve">Réduction de 80% du temps de développement des pipelines de données grâce à l'automatisation IA</w:t>
      </w:r>
    </w:p>
    <w:p>
      <w:pPr>
        <w:pStyle w:val="ListParagraph"/>
        <w:numPr>
          <w:ilvl w:val="0"/>
          <w:numId w:val="2"/>
        </w:numPr>
      </w:pPr>
      <w:r>
        <w:rPr>
          <w:rFonts w:ascii="Calibri" w:cs="Calibri" w:eastAsia="Calibri" w:hAnsi="Calibri"/>
        </w:rPr>
        <w:t xml:space="preserve">30+ connecteurs pré-configurés pour les bases de données, API et services SaaS populaires</w:t>
      </w:r>
    </w:p>
    <w:p>
      <w:pPr>
        <w:pStyle w:val="ListParagraph"/>
        <w:numPr>
          <w:ilvl w:val="0"/>
          <w:numId w:val="2"/>
        </w:numPr>
      </w:pPr>
      <w:r>
        <w:rPr>
          <w:rFonts w:ascii="Calibri" w:cs="Calibri" w:eastAsia="Calibri" w:hAnsi="Calibri"/>
        </w:rPr>
        <w:t xml:space="preserve">Interface no-code intuitive permettant aux utilisateurs non-techniques de créer des pipelines complexes</w:t>
      </w:r>
    </w:p>
    <w:p>
      <w:pPr>
        <w:pStyle w:val="ListParagraph"/>
        <w:numPr>
          <w:ilvl w:val="0"/>
          <w:numId w:val="2"/>
        </w:numPr>
      </w:pPr>
      <w:r>
        <w:rPr>
          <w:rFonts w:ascii="Calibri" w:cs="Calibri" w:eastAsia="Calibri" w:hAnsi="Calibri"/>
        </w:rPr>
        <w:t xml:space="preserve">Qualité des données garantie avec des tests automatisés et détection d'anomalies par ML</w:t>
      </w:r>
    </w:p>
    <w:p>
      <w:pPr>
        <w:pStyle w:val="ListParagraph"/>
        <w:numPr>
          <w:ilvl w:val="0"/>
          <w:numId w:val="2"/>
        </w:numPr>
      </w:pPr>
      <w:r>
        <w:rPr>
          <w:rFonts w:ascii="Calibri" w:cs="Calibri" w:eastAsia="Calibri" w:hAnsi="Calibri"/>
        </w:rPr>
        <w:t xml:space="preserve">Support multi-framework: dbt, Airflow, Dagster, Spark selon vos préférences</w:t>
      </w:r>
    </w:p>
    <w:p>
      <w:pPr>
        <w:pStyle w:val="ListParagraph"/>
        <w:numPr>
          <w:ilvl w:val="0"/>
          <w:numId w:val="2"/>
        </w:numPr>
      </w:pPr>
      <w:r>
        <w:rPr>
          <w:rFonts w:ascii="Calibri" w:cs="Calibri" w:eastAsia="Calibri" w:hAnsi="Calibri"/>
        </w:rPr>
        <w:t xml:space="preserve">Déploiement enterprise avec SSO SAML/OIDC et conformité RGPD</w:t>
      </w:r>
    </w:p>
    <w:p>
      <w:pPr>
        <w:pStyle w:val="Heading1"/>
      </w:pPr>
      <w:r>
        <w:t xml:space="preserve">2. Architecture de la Plateforme</w:t>
      </w:r>
    </w:p>
    <w:p>
      <w:pPr>
        <w:spacing w:after="120"/>
      </w:pPr>
      <w:r>
        <w:rPr>
          <w:rFonts w:ascii="Calibri" w:cs="Calibri" w:eastAsia="Calibri" w:hAnsi="Calibri"/>
        </w:rPr>
        <w:t xml:space="preserve">DataSphere Innovation repose sur une architecture moderne et évolutive, conçue pour s'adapter aux besoins des entreprises de toutes tailles. La plateforme est divisée en plusieurs modules interconnectés qui travaillent ensemble pour offrir une expérience data engineering complète et automatisée.</w:t>
      </w:r>
    </w:p>
    <w:p>
      <w:pPr>
        <w:pStyle w:val="Heading2"/>
      </w:pPr>
      <w:r>
        <w:t xml:space="preserve">2.1 Composants Principaux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b/>
                <w:bCs/>
                <w:sz w:val="22"/>
                <w:szCs w:val="22"/>
              </w:rPr>
              <w:t xml:space="preserve">Composant</w:t>
            </w:r>
          </w:p>
        </w:tc>
        <w:tc>
          <w:tcPr>
            <w:tcBorders>
              <w:top w:val="single" w:color="64748B" w:sz="1"/>
              <w:left w:val="single" w:color="64748B" w:sz="1"/>
              <w:bottom w:val="single" w:color="64748B" w:sz="1"/>
              <w:right w:val="single" w:color="64748B" w:sz="1"/>
            </w:tcBorders>
            <w:shd w:fill="E2E8F0" w:val="clear"/>
            <w:vAlign w:val="center"/>
          </w:tcPr>
          <w:p>
            <w:pPr>
              <w:jc w:val="center"/>
            </w:pPr>
            <w:r>
              <w:rPr>
                <w:b/>
                <w:bCs/>
                <w:sz w:val="22"/>
                <w:szCs w:val="22"/>
              </w:rPr>
              <w:t xml:space="preserve">Description</w:t>
            </w:r>
          </w:p>
        </w:tc>
      </w:tr>
      <w:tr>
        <w:tc>
          <w:tcPr>
            <w:tcBorders>
              <w:top w:val="single" w:color="64748B" w:sz="1"/>
              <w:left w:val="single" w:color="64748B" w:sz="1"/>
              <w:bottom w:val="single" w:color="64748B" w:sz="1"/>
              <w:right w:val="single" w:color="64748B" w:sz="1"/>
            </w:tcBorders>
          </w:tcPr>
          <w:p>
            <w:r>
              <w:rPr>
                <w:b/>
                <w:bCs/>
                <w:sz w:val="22"/>
                <w:szCs w:val="22"/>
              </w:rPr>
              <w:t xml:space="preserve">Connecteurs</w:t>
            </w:r>
          </w:p>
        </w:tc>
        <w:tc>
          <w:tcPr>
            <w:tcBorders>
              <w:top w:val="single" w:color="64748B" w:sz="1"/>
              <w:left w:val="single" w:color="64748B" w:sz="1"/>
              <w:bottom w:val="single" w:color="64748B" w:sz="1"/>
              <w:right w:val="single" w:color="64748B" w:sz="1"/>
            </w:tcBorders>
          </w:tcPr>
          <w:p>
            <w:r>
              <w:rPr>
                <w:sz w:val="22"/>
                <w:szCs w:val="22"/>
              </w:rPr>
              <w:t xml:space="preserve">30+ connecteurs pour bases de données SQL/NoSQL, API REST, services SaaS</w:t>
            </w:r>
          </w:p>
        </w:tc>
      </w:tr>
      <w:tr>
        <w:tc>
          <w:tcPr>
            <w:tcBorders>
              <w:top w:val="single" w:color="64748B" w:sz="1"/>
              <w:left w:val="single" w:color="64748B" w:sz="1"/>
              <w:bottom w:val="single" w:color="64748B" w:sz="1"/>
              <w:right w:val="single" w:color="64748B" w:sz="1"/>
            </w:tcBorders>
          </w:tcPr>
          <w:p>
            <w:r>
              <w:rPr>
                <w:b/>
                <w:bCs/>
                <w:sz w:val="22"/>
                <w:szCs w:val="22"/>
              </w:rPr>
              <w:t xml:space="preserve">Moteur IA</w:t>
            </w:r>
          </w:p>
        </w:tc>
        <w:tc>
          <w:tcPr>
            <w:tcBorders>
              <w:top w:val="single" w:color="64748B" w:sz="1"/>
              <w:left w:val="single" w:color="64748B" w:sz="1"/>
              <w:bottom w:val="single" w:color="64748B" w:sz="1"/>
              <w:right w:val="single" w:color="64748B" w:sz="1"/>
            </w:tcBorders>
          </w:tcPr>
          <w:p>
            <w:r>
              <w:rPr>
                <w:sz w:val="22"/>
                <w:szCs w:val="22"/>
              </w:rPr>
              <w:t xml:space="preserve">Agents IA spécialisés pour découverte, architecture, pipelines, transformations</w:t>
            </w:r>
          </w:p>
        </w:tc>
      </w:tr>
      <w:tr>
        <w:tc>
          <w:tcPr>
            <w:tcBorders>
              <w:top w:val="single" w:color="64748B" w:sz="1"/>
              <w:left w:val="single" w:color="64748B" w:sz="1"/>
              <w:bottom w:val="single" w:color="64748B" w:sz="1"/>
              <w:right w:val="single" w:color="64748B" w:sz="1"/>
            </w:tcBorders>
          </w:tcPr>
          <w:p>
            <w:r>
              <w:rPr>
                <w:b/>
                <w:bCs/>
                <w:sz w:val="22"/>
                <w:szCs w:val="22"/>
              </w:rPr>
              <w:t xml:space="preserve">Visual Builder</w:t>
            </w:r>
          </w:p>
        </w:tc>
        <w:tc>
          <w:tcPr>
            <w:tcBorders>
              <w:top w:val="single" w:color="64748B" w:sz="1"/>
              <w:left w:val="single" w:color="64748B" w:sz="1"/>
              <w:bottom w:val="single" w:color="64748B" w:sz="1"/>
              <w:right w:val="single" w:color="64748B" w:sz="1"/>
            </w:tcBorders>
          </w:tcPr>
          <w:p>
            <w:r>
              <w:rPr>
                <w:sz w:val="22"/>
                <w:szCs w:val="22"/>
              </w:rPr>
              <w:t xml:space="preserve">Interface drag-and-drop pour créer des pipelines sans code</w:t>
            </w:r>
          </w:p>
        </w:tc>
      </w:tr>
      <w:tr>
        <w:tc>
          <w:tcPr>
            <w:tcBorders>
              <w:top w:val="single" w:color="64748B" w:sz="1"/>
              <w:left w:val="single" w:color="64748B" w:sz="1"/>
              <w:bottom w:val="single" w:color="64748B" w:sz="1"/>
              <w:right w:val="single" w:color="64748B" w:sz="1"/>
            </w:tcBorders>
          </w:tcPr>
          <w:p>
            <w:r>
              <w:rPr>
                <w:b/>
                <w:bCs/>
                <w:sz w:val="22"/>
                <w:szCs w:val="22"/>
              </w:rPr>
              <w:t xml:space="preserve">Quality Engine</w:t>
            </w:r>
          </w:p>
        </w:tc>
        <w:tc>
          <w:tcPr>
            <w:tcBorders>
              <w:top w:val="single" w:color="64748B" w:sz="1"/>
              <w:left w:val="single" w:color="64748B" w:sz="1"/>
              <w:bottom w:val="single" w:color="64748B" w:sz="1"/>
              <w:right w:val="single" w:color="64748B" w:sz="1"/>
            </w:tcBorders>
          </w:tcPr>
          <w:p>
            <w:r>
              <w:rPr>
                <w:sz w:val="22"/>
                <w:szCs w:val="22"/>
              </w:rPr>
              <w:t xml:space="preserve">15+ types de tests de qualité, détection d'anomalies ML, scoring automatique</w:t>
            </w:r>
          </w:p>
        </w:tc>
      </w:tr>
      <w:tr>
        <w:tc>
          <w:tcPr>
            <w:tcBorders>
              <w:top w:val="single" w:color="64748B" w:sz="1"/>
              <w:left w:val="single" w:color="64748B" w:sz="1"/>
              <w:bottom w:val="single" w:color="64748B" w:sz="1"/>
              <w:right w:val="single" w:color="64748B" w:sz="1"/>
            </w:tcBorders>
          </w:tcPr>
          <w:p>
            <w:r>
              <w:rPr>
                <w:b/>
                <w:bCs/>
                <w:sz w:val="22"/>
                <w:szCs w:val="22"/>
              </w:rPr>
              <w:t xml:space="preserve">API Publique</w:t>
            </w:r>
          </w:p>
        </w:tc>
        <w:tc>
          <w:tcPr>
            <w:tcBorders>
              <w:top w:val="single" w:color="64748B" w:sz="1"/>
              <w:left w:val="single" w:color="64748B" w:sz="1"/>
              <w:bottom w:val="single" w:color="64748B" w:sz="1"/>
              <w:right w:val="single" w:color="64748B" w:sz="1"/>
            </w:tcBorders>
          </w:tcPr>
          <w:p>
            <w:r>
              <w:rPr>
                <w:sz w:val="22"/>
                <w:szCs w:val="22"/>
              </w:rPr>
              <w:t xml:space="preserve">API REST complète avec documentation OpenAPI, authentification par clés API</w:t>
            </w:r>
          </w:p>
        </w:tc>
      </w:tr>
    </w:tbl>
    <w:p>
      <w:pPr>
        <w:spacing w:before="80"/>
        <w:jc w:val="center"/>
      </w:pPr>
      <w:r>
        <w:rPr>
          <w:i/>
          <w:iCs/>
          <w:color w:val="64748B"/>
          <w:sz w:val="18"/>
          <w:szCs w:val="18"/>
        </w:rPr>
        <w:t xml:space="preserve">Tableau 1: Composants principaux de la plateforme</w:t>
      </w:r>
    </w:p>
    <w:p>
      <w:pPr>
        <w:pStyle w:val="Heading1"/>
      </w:pPr>
      <w:r>
        <w:t xml:space="preserve">3. Workflow de l'Utilisateur</w:t>
      </w:r>
    </w:p>
    <w:p>
      <w:pPr>
        <w:spacing w:after="120"/>
      </w:pPr>
      <w:r>
        <w:rPr>
          <w:rFonts w:ascii="Calibri" w:cs="Calibri" w:eastAsia="Calibri" w:hAnsi="Calibri"/>
        </w:rPr>
        <w:t xml:space="preserve">Le workflow typique d'un utilisateur DataSphere Innovation suit un processus structuré en 5 étapes principales, conçu pour maximiser l'efficacité tout en garantissant la qualité des résultats. Chaque étape est automatisée par nos agents IA spécialisés.</w:t>
      </w:r>
    </w:p>
    <w:p>
      <w:pPr>
        <w:pStyle w:val="Heading2"/>
      </w:pPr>
      <w:r>
        <w:t xml:space="preserve">3.1 Étape 1: Connexion des Sources</w:t>
      </w:r>
    </w:p>
    <w:p>
      <w:pPr>
        <w:spacing w:after="80"/>
      </w:pPr>
      <w:r>
        <w:rPr>
          <w:rFonts w:ascii="Calibri" w:cs="Calibri" w:eastAsia="Calibri" w:hAnsi="Calibri"/>
        </w:rPr>
        <w:t xml:space="preserve">La première étape consiste à connecter vos sources de données à la plateforme. Cette phase est simplifiée grâce à nos connecteurs pré-configurés qui gèrent automatiquement l'authentification, la découverte du schéma et l'échantillonnage des données.</w:t>
      </w:r>
    </w:p>
    <w:p>
      <w:pPr>
        <w:pStyle w:val="ListParagraph"/>
        <w:numPr>
          <w:ilvl w:val="0"/>
          <w:numId w:val="3"/>
        </w:numPr>
      </w:pPr>
      <w:r>
        <w:rPr>
          <w:rFonts w:ascii="Calibri" w:cs="Calibri" w:eastAsia="Calibri" w:hAnsi="Calibri"/>
        </w:rPr>
        <w:t xml:space="preserve">Accédez à l'onglet "Data Sources" depuis le tableau de bord principal</w:t>
      </w:r>
    </w:p>
    <w:p>
      <w:pPr>
        <w:pStyle w:val="ListParagraph"/>
        <w:numPr>
          <w:ilvl w:val="0"/>
          <w:numId w:val="3"/>
        </w:numPr>
      </w:pPr>
      <w:r>
        <w:rPr>
          <w:rFonts w:ascii="Calibri" w:cs="Calibri" w:eastAsia="Calibri" w:hAnsi="Calibri"/>
        </w:rPr>
        <w:t xml:space="preserve">Cliquez sur "Nouvelle Source" et sélectionnez le type de connecteur souhaité</w:t>
      </w:r>
    </w:p>
    <w:p>
      <w:pPr>
        <w:pStyle w:val="ListParagraph"/>
        <w:numPr>
          <w:ilvl w:val="0"/>
          <w:numId w:val="3"/>
        </w:numPr>
      </w:pPr>
      <w:r>
        <w:rPr>
          <w:rFonts w:ascii="Calibri" w:cs="Calibri" w:eastAsia="Calibri" w:hAnsi="Calibri"/>
        </w:rPr>
        <w:t xml:space="preserve">Renseignez les informations de connexion (hôte, port, identifiants, base de données)</w:t>
      </w:r>
    </w:p>
    <w:p>
      <w:pPr>
        <w:pStyle w:val="ListParagraph"/>
        <w:numPr>
          <w:ilvl w:val="0"/>
          <w:numId w:val="3"/>
        </w:numPr>
      </w:pPr>
      <w:r>
        <w:rPr>
          <w:rFonts w:ascii="Calibri" w:cs="Calibri" w:eastAsia="Calibri" w:hAnsi="Calibri"/>
        </w:rPr>
        <w:t xml:space="preserve">Testez la connexion pour valider les paramètres avant de sauvegarder</w:t>
      </w:r>
    </w:p>
    <w:p>
      <w:pPr>
        <w:pStyle w:val="ListParagraph"/>
        <w:numPr>
          <w:ilvl w:val="0"/>
          <w:numId w:val="3"/>
        </w:numPr>
      </w:pPr>
      <w:r>
        <w:rPr>
          <w:rFonts w:ascii="Calibri" w:cs="Calibri" w:eastAsia="Calibri" w:hAnsi="Calibri"/>
        </w:rPr>
        <w:t xml:space="preserve">Lancez la découverte automatique pour analyser le schéma de vos données</w:t>
      </w:r>
    </w:p>
    <w:p>
      <w:pPr>
        <w:pStyle w:val="Heading2"/>
      </w:pPr>
      <w:r>
        <w:t xml:space="preserve">3.2 Étape 2: Découverte et Analyse</w:t>
      </w:r>
    </w:p>
    <w:p>
      <w:pPr>
        <w:spacing w:after="80"/>
      </w:pPr>
      <w:r>
        <w:rPr>
          <w:rFonts w:ascii="Calibri" w:cs="Calibri" w:eastAsia="Calibri" w:hAnsi="Calibri"/>
        </w:rPr>
        <w:t xml:space="preserve">Une fois les sources connectées, l'agent "Data Archaeologist" prend le relais pour analyser en profondeur vos données. Il identifie automatiquement les tables, colonnes, relations, types de données et détecte les problèmes potentiels.</w:t>
      </w:r>
    </w:p>
    <w:p>
      <w:pPr>
        <w:pStyle w:val="ListParagraph"/>
        <w:numPr>
          <w:ilvl w:val="0"/>
          <w:numId w:val="4"/>
        </w:numPr>
      </w:pPr>
      <w:r>
        <w:rPr>
          <w:rFonts w:ascii="Calibri" w:cs="Calibri" w:eastAsia="Calibri" w:hAnsi="Calibri"/>
        </w:rPr>
        <w:t xml:space="preserve">Analyse du schéma: identification des tables, colonnes, types et contraintes</w:t>
      </w:r>
    </w:p>
    <w:p>
      <w:pPr>
        <w:pStyle w:val="ListParagraph"/>
        <w:numPr>
          <w:ilvl w:val="0"/>
          <w:numId w:val="4"/>
        </w:numPr>
      </w:pPr>
      <w:r>
        <w:rPr>
          <w:rFonts w:ascii="Calibri" w:cs="Calibri" w:eastAsia="Calibri" w:hAnsi="Calibri"/>
        </w:rPr>
        <w:t xml:space="preserve">Profilage des données: statistiques sur la distribution, valeurs distinctes, patterns</w:t>
      </w:r>
    </w:p>
    <w:p>
      <w:pPr>
        <w:pStyle w:val="ListParagraph"/>
        <w:numPr>
          <w:ilvl w:val="0"/>
          <w:numId w:val="4"/>
        </w:numPr>
      </w:pPr>
      <w:r>
        <w:rPr>
          <w:rFonts w:ascii="Calibri" w:cs="Calibri" w:eastAsia="Calibri" w:hAnsi="Calibri"/>
        </w:rPr>
        <w:t xml:space="preserve">Détection des relations: clés primaires/étrangères suggérées automatiquement</w:t>
      </w:r>
    </w:p>
    <w:p>
      <w:pPr>
        <w:pStyle w:val="ListParagraph"/>
        <w:numPr>
          <w:ilvl w:val="0"/>
          <w:numId w:val="4"/>
        </w:numPr>
      </w:pPr>
      <w:r>
        <w:rPr>
          <w:rFonts w:ascii="Calibri" w:cs="Calibri" w:eastAsia="Calibri" w:hAnsi="Calibri"/>
        </w:rPr>
        <w:t xml:space="preserve">Identification des PII: données sensibles à protéger automatiquement détectées</w:t>
      </w:r>
    </w:p>
    <w:p>
      <w:pPr>
        <w:pStyle w:val="ListParagraph"/>
        <w:numPr>
          <w:ilvl w:val="0"/>
          <w:numId w:val="4"/>
        </w:numPr>
      </w:pPr>
      <w:r>
        <w:rPr>
          <w:rFonts w:ascii="Calibri" w:cs="Calibri" w:eastAsia="Calibri" w:hAnsi="Calibri"/>
        </w:rPr>
        <w:t xml:space="preserve">Génération de recommandations: optimisations suggérées pour vos données</w:t>
      </w:r>
    </w:p>
    <w:p>
      <w:pPr>
        <w:pStyle w:val="Heading2"/>
      </w:pPr>
      <w:r>
        <w:t xml:space="preserve">3.3 Étape 3: Génération des Pipelines</w:t>
      </w:r>
    </w:p>
    <w:p>
      <w:pPr>
        <w:spacing w:after="80"/>
      </w:pPr>
      <w:r>
        <w:rPr>
          <w:rFonts w:ascii="Calibri" w:cs="Calibri" w:eastAsia="Calibri" w:hAnsi="Calibri"/>
        </w:rPr>
        <w:t xml:space="preserve">L'agent "Flow Builder" génère automatiquement des pipelines ETL optimisés basés sur vos sources de données et objectifs business. Vous pouvez choisir parmi plusieurs frameworks populaires ou utiliser le visual builder no-code pour personnaliser vos flux.</w:t>
      </w:r>
    </w:p>
    <w:p>
      <w:pPr>
        <w:pStyle w:val="Heading3"/>
      </w:pPr>
      <w:r>
        <w:t xml:space="preserve">Frameworks Supportés</w:t>
      </w:r>
    </w:p>
    <w:p>
      <w:pPr>
        <w:pStyle w:val="ListParagraph"/>
        <w:numPr>
          <w:ilvl w:val="0"/>
          <w:numId w:val="5"/>
        </w:numPr>
      </w:pPr>
      <w:r>
        <w:rPr>
          <w:rFonts w:ascii="Calibri" w:cs="Calibri" w:eastAsia="Calibri" w:hAnsi="Calibri"/>
        </w:rPr>
        <w:t xml:space="preserve">dbt: Génération de modèles SQL avec tests intégrés et documentation automatique</w:t>
      </w:r>
    </w:p>
    <w:p>
      <w:pPr>
        <w:pStyle w:val="ListParagraph"/>
        <w:numPr>
          <w:ilvl w:val="0"/>
          <w:numId w:val="5"/>
        </w:numPr>
      </w:pPr>
      <w:r>
        <w:rPr>
          <w:rFonts w:ascii="Calibri" w:cs="Calibri" w:eastAsia="Calibri" w:hAnsi="Calibri"/>
        </w:rPr>
        <w:t xml:space="preserve">Apache Airflow: DAGs Python avec orchestration avancée et monitoring</w:t>
      </w:r>
    </w:p>
    <w:p>
      <w:pPr>
        <w:pStyle w:val="ListParagraph"/>
        <w:numPr>
          <w:ilvl w:val="0"/>
          <w:numId w:val="5"/>
        </w:numPr>
      </w:pPr>
      <w:r>
        <w:rPr>
          <w:rFonts w:ascii="Calibri" w:cs="Calibri" w:eastAsia="Calibri" w:hAnsi="Calibri"/>
        </w:rPr>
        <w:t xml:space="preserve">Dagster: Assets et jobs avec typage fort et tests intégrés</w:t>
      </w:r>
    </w:p>
    <w:p>
      <w:pPr>
        <w:pStyle w:val="ListParagraph"/>
        <w:numPr>
          <w:ilvl w:val="0"/>
          <w:numId w:val="5"/>
        </w:numPr>
      </w:pPr>
      <w:r>
        <w:rPr>
          <w:rFonts w:ascii="Calibri" w:cs="Calibri" w:eastAsia="Calibri" w:hAnsi="Calibri"/>
        </w:rPr>
        <w:t xml:space="preserve">Apache Spark: Jobs PySpark optimisés pour le traitement distribué</w:t>
      </w:r>
    </w:p>
    <w:p>
      <w:pPr>
        <w:pStyle w:val="Heading2"/>
      </w:pPr>
      <w:r>
        <w:t xml:space="preserve">3.4 Étape 4: Validation de la Qualité</w:t>
      </w:r>
    </w:p>
    <w:p>
      <w:pPr>
        <w:spacing w:after="80"/>
      </w:pPr>
      <w:r>
        <w:rPr>
          <w:rFonts w:ascii="Calibri" w:cs="Calibri" w:eastAsia="Calibri" w:hAnsi="Calibri"/>
        </w:rPr>
        <w:t xml:space="preserve">Le Quality Engine applique automatiquement des tests de qualité sur toutes vos données. Il utilise des algorithmes de machine learning pour détecter les anomalies et génère des alertes en cas de problème.</w:t>
      </w:r>
    </w:p>
    <w:p>
      <w:pPr>
        <w:pStyle w:val="Heading2"/>
      </w:pPr>
      <w:r>
        <w:t xml:space="preserve">3.5 Étape 5: Déploiement et Monitoring</w:t>
      </w:r>
    </w:p>
    <w:p>
      <w:pPr>
        <w:spacing w:after="80"/>
      </w:pPr>
      <w:r>
        <w:rPr>
          <w:rFonts w:ascii="Calibri" w:cs="Calibri" w:eastAsia="Calibri" w:hAnsi="Calibri"/>
        </w:rPr>
        <w:t xml:space="preserve">Une fois vos pipelines validés, vous pouvez les déployer en production en un clic. Le système de monitoring intégré surveille l'exécution, collecte les métriques de performance et vous alerte en cas d'anomalie.</w:t>
      </w:r>
    </w:p>
    <w:p>
      <w:pPr>
        <w:pStyle w:val="Heading1"/>
      </w:pPr>
      <w:r>
        <w:t xml:space="preserve">4. Les Agents IA Spécialisés</w:t>
      </w:r>
    </w:p>
    <w:p>
      <w:pPr>
        <w:spacing w:after="120"/>
      </w:pPr>
      <w:r>
        <w:rPr>
          <w:rFonts w:ascii="Calibri" w:cs="Calibri" w:eastAsia="Calibri" w:hAnsi="Calibri"/>
        </w:rPr>
        <w:t xml:space="preserve">DataSphere Innovation s'appuie sur une équipe d'agents IA spécialisés, chacun expert dans un domaine précis du data engineering. Ces agents collaborent automatiquement pour couvrir l'ensemble du cycle de vie de vos projets de données.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2500"/>
        <w:gridCol w:w="4660"/>
      </w:tblGrid>
      <w:tr>
        <w:trPr>
          <w:tblHeader/>
        </w:trPr>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Agent</w:t>
            </w:r>
          </w:p>
        </w:tc>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Spécialité</w:t>
            </w:r>
          </w:p>
        </w:tc>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Fonctionnalités</w:t>
            </w:r>
          </w:p>
        </w:tc>
      </w:tr>
      <w:tr>
        <w:tc>
          <w:tcPr>
            <w:tcBorders>
              <w:top w:val="single" w:color="64748B" w:sz="1"/>
              <w:left w:val="single" w:color="64748B" w:sz="1"/>
              <w:bottom w:val="single" w:color="64748B" w:sz="1"/>
              <w:right w:val="single" w:color="64748B" w:sz="1"/>
            </w:tcBorders>
          </w:tcPr>
          <w:p>
            <w:r>
              <w:rPr>
                <w:b/>
                <w:bCs/>
                <w:sz w:val="22"/>
                <w:szCs w:val="22"/>
              </w:rPr>
              <w:t xml:space="preserve">Data Archaeologist</w:t>
            </w:r>
          </w:p>
        </w:tc>
        <w:tc>
          <w:tcPr>
            <w:tcBorders>
              <w:top w:val="single" w:color="64748B" w:sz="1"/>
              <w:left w:val="single" w:color="64748B" w:sz="1"/>
              <w:bottom w:val="single" w:color="64748B" w:sz="1"/>
              <w:right w:val="single" w:color="64748B" w:sz="1"/>
            </w:tcBorders>
          </w:tcPr>
          <w:p>
            <w:r>
              <w:rPr>
                <w:sz w:val="22"/>
                <w:szCs w:val="22"/>
              </w:rPr>
              <w:t xml:space="preserve">Découverte &amp; Profilage</w:t>
            </w:r>
          </w:p>
        </w:tc>
        <w:tc>
          <w:tcPr>
            <w:tcBorders>
              <w:top w:val="single" w:color="64748B" w:sz="1"/>
              <w:left w:val="single" w:color="64748B" w:sz="1"/>
              <w:bottom w:val="single" w:color="64748B" w:sz="1"/>
              <w:right w:val="single" w:color="64748B" w:sz="1"/>
            </w:tcBorders>
          </w:tcPr>
          <w:p>
            <w:r>
              <w:rPr>
                <w:sz w:val="22"/>
                <w:szCs w:val="22"/>
              </w:rPr>
              <w:t xml:space="preserve">Analyse de schémas, profiling, détection PII, relations</w:t>
            </w:r>
          </w:p>
        </w:tc>
      </w:tr>
      <w:tr>
        <w:tc>
          <w:tcPr>
            <w:tcBorders>
              <w:top w:val="single" w:color="64748B" w:sz="1"/>
              <w:left w:val="single" w:color="64748B" w:sz="1"/>
              <w:bottom w:val="single" w:color="64748B" w:sz="1"/>
              <w:right w:val="single" w:color="64748B" w:sz="1"/>
            </w:tcBorders>
          </w:tcPr>
          <w:p>
            <w:r>
              <w:rPr>
                <w:b/>
                <w:bCs/>
                <w:sz w:val="22"/>
                <w:szCs w:val="22"/>
              </w:rPr>
              <w:t xml:space="preserve">Blueprint Designer</w:t>
            </w:r>
          </w:p>
        </w:tc>
        <w:tc>
          <w:tcPr>
            <w:tcBorders>
              <w:top w:val="single" w:color="64748B" w:sz="1"/>
              <w:left w:val="single" w:color="64748B" w:sz="1"/>
              <w:bottom w:val="single" w:color="64748B" w:sz="1"/>
              <w:right w:val="single" w:color="64748B" w:sz="1"/>
            </w:tcBorders>
          </w:tcPr>
          <w:p>
            <w:r>
              <w:rPr>
                <w:sz w:val="22"/>
                <w:szCs w:val="22"/>
              </w:rPr>
              <w:t xml:space="preserve">Architecture</w:t>
            </w:r>
          </w:p>
        </w:tc>
        <w:tc>
          <w:tcPr>
            <w:tcBorders>
              <w:top w:val="single" w:color="64748B" w:sz="1"/>
              <w:left w:val="single" w:color="64748B" w:sz="1"/>
              <w:bottom w:val="single" w:color="64748B" w:sz="1"/>
              <w:right w:val="single" w:color="64748B" w:sz="1"/>
            </w:tcBorders>
          </w:tcPr>
          <w:p>
            <w:r>
              <w:rPr>
                <w:sz w:val="22"/>
                <w:szCs w:val="22"/>
              </w:rPr>
              <w:t xml:space="preserve">Design d'architecture, sélection tech stack, coûts</w:t>
            </w:r>
          </w:p>
        </w:tc>
      </w:tr>
      <w:tr>
        <w:tc>
          <w:tcPr>
            <w:tcBorders>
              <w:top w:val="single" w:color="64748B" w:sz="1"/>
              <w:left w:val="single" w:color="64748B" w:sz="1"/>
              <w:bottom w:val="single" w:color="64748B" w:sz="1"/>
              <w:right w:val="single" w:color="64748B" w:sz="1"/>
            </w:tcBorders>
          </w:tcPr>
          <w:p>
            <w:r>
              <w:rPr>
                <w:b/>
                <w:bCs/>
                <w:sz w:val="22"/>
                <w:szCs w:val="22"/>
              </w:rPr>
              <w:t xml:space="preserve">Flow Builder</w:t>
            </w:r>
          </w:p>
        </w:tc>
        <w:tc>
          <w:tcPr>
            <w:tcBorders>
              <w:top w:val="single" w:color="64748B" w:sz="1"/>
              <w:left w:val="single" w:color="64748B" w:sz="1"/>
              <w:bottom w:val="single" w:color="64748B" w:sz="1"/>
              <w:right w:val="single" w:color="64748B" w:sz="1"/>
            </w:tcBorders>
          </w:tcPr>
          <w:p>
            <w:r>
              <w:rPr>
                <w:sz w:val="22"/>
                <w:szCs w:val="22"/>
              </w:rPr>
              <w:t xml:space="preserve">Pipelines ETL</w:t>
            </w:r>
          </w:p>
        </w:tc>
        <w:tc>
          <w:tcPr>
            <w:tcBorders>
              <w:top w:val="single" w:color="64748B" w:sz="1"/>
              <w:left w:val="single" w:color="64748B" w:sz="1"/>
              <w:bottom w:val="single" w:color="64748B" w:sz="1"/>
              <w:right w:val="single" w:color="64748B" w:sz="1"/>
            </w:tcBorders>
          </w:tcPr>
          <w:p>
            <w:r>
              <w:rPr>
                <w:sz w:val="22"/>
                <w:szCs w:val="22"/>
              </w:rPr>
              <w:t xml:space="preserve">Génération DAG, modèles dbt, jobs Spark optimisés</w:t>
            </w:r>
          </w:p>
        </w:tc>
      </w:tr>
      <w:tr>
        <w:tc>
          <w:tcPr>
            <w:tcBorders>
              <w:top w:val="single" w:color="64748B" w:sz="1"/>
              <w:left w:val="single" w:color="64748B" w:sz="1"/>
              <w:bottom w:val="single" w:color="64748B" w:sz="1"/>
              <w:right w:val="single" w:color="64748B" w:sz="1"/>
            </w:tcBorders>
          </w:tcPr>
          <w:p>
            <w:r>
              <w:rPr>
                <w:b/>
                <w:bCs/>
                <w:sz w:val="22"/>
                <w:szCs w:val="22"/>
              </w:rPr>
              <w:t xml:space="preserve">Data Alchemist</w:t>
            </w:r>
          </w:p>
        </w:tc>
        <w:tc>
          <w:tcPr>
            <w:tcBorders>
              <w:top w:val="single" w:color="64748B" w:sz="1"/>
              <w:left w:val="single" w:color="64748B" w:sz="1"/>
              <w:bottom w:val="single" w:color="64748B" w:sz="1"/>
              <w:right w:val="single" w:color="64748B" w:sz="1"/>
            </w:tcBorders>
          </w:tcPr>
          <w:p>
            <w:r>
              <w:rPr>
                <w:sz w:val="22"/>
                <w:szCs w:val="22"/>
              </w:rPr>
              <w:t xml:space="preserve">Transformations</w:t>
            </w:r>
          </w:p>
        </w:tc>
        <w:tc>
          <w:tcPr>
            <w:tcBorders>
              <w:top w:val="single" w:color="64748B" w:sz="1"/>
              <w:left w:val="single" w:color="64748B" w:sz="1"/>
              <w:bottom w:val="single" w:color="64748B" w:sz="1"/>
              <w:right w:val="single" w:color="64748B" w:sz="1"/>
            </w:tcBorders>
          </w:tcPr>
          <w:p>
            <w:r>
              <w:rPr>
                <w:sz w:val="22"/>
                <w:szCs w:val="22"/>
              </w:rPr>
              <w:t xml:space="preserve">Modélisation dimensionnelle, optimisation SQL</w:t>
            </w:r>
          </w:p>
        </w:tc>
      </w:tr>
      <w:tr>
        <w:tc>
          <w:tcPr>
            <w:tcBorders>
              <w:top w:val="single" w:color="64748B" w:sz="1"/>
              <w:left w:val="single" w:color="64748B" w:sz="1"/>
              <w:bottom w:val="single" w:color="64748B" w:sz="1"/>
              <w:right w:val="single" w:color="64748B" w:sz="1"/>
            </w:tcBorders>
          </w:tcPr>
          <w:p>
            <w:r>
              <w:rPr>
                <w:b/>
                <w:bCs/>
                <w:sz w:val="22"/>
                <w:szCs w:val="22"/>
              </w:rPr>
              <w:t xml:space="preserve">Visual Storyteller</w:t>
            </w:r>
          </w:p>
        </w:tc>
        <w:tc>
          <w:tcPr>
            <w:tcBorders>
              <w:top w:val="single" w:color="64748B" w:sz="1"/>
              <w:left w:val="single" w:color="64748B" w:sz="1"/>
              <w:bottom w:val="single" w:color="64748B" w:sz="1"/>
              <w:right w:val="single" w:color="64748B" w:sz="1"/>
            </w:tcBorders>
          </w:tcPr>
          <w:p>
            <w:r>
              <w:rPr>
                <w:sz w:val="22"/>
                <w:szCs w:val="22"/>
              </w:rPr>
              <w:t xml:space="preserve">Business Intelligence</w:t>
            </w:r>
          </w:p>
        </w:tc>
        <w:tc>
          <w:tcPr>
            <w:tcBorders>
              <w:top w:val="single" w:color="64748B" w:sz="1"/>
              <w:left w:val="single" w:color="64748B" w:sz="1"/>
              <w:bottom w:val="single" w:color="64748B" w:sz="1"/>
              <w:right w:val="single" w:color="64748B" w:sz="1"/>
            </w:tcBorders>
          </w:tcPr>
          <w:p>
            <w:r>
              <w:rPr>
                <w:sz w:val="22"/>
                <w:szCs w:val="22"/>
              </w:rPr>
              <w:t xml:space="preserve">Dashboards, KPIs, rapports automatisés, insights</w:t>
            </w:r>
          </w:p>
        </w:tc>
      </w:tr>
    </w:tbl>
    <w:p>
      <w:pPr>
        <w:spacing w:before="80"/>
        <w:jc w:val="center"/>
      </w:pPr>
      <w:r>
        <w:rPr>
          <w:i/>
          <w:iCs/>
          <w:color w:val="64748B"/>
          <w:sz w:val="18"/>
          <w:szCs w:val="18"/>
        </w:rPr>
        <w:t xml:space="preserve">Tableau 2: Agents IA spécialisés</w:t>
      </w:r>
    </w:p>
    <w:p>
      <w:pPr>
        <w:pStyle w:val="Heading1"/>
      </w:pPr>
      <w:r>
        <w:t xml:space="preserve">5. Connecteurs Disponibles</w:t>
      </w:r>
    </w:p>
    <w:p>
      <w:pPr>
        <w:spacing w:after="120"/>
      </w:pPr>
      <w:r>
        <w:rPr>
          <w:rFonts w:ascii="Calibri" w:cs="Calibri" w:eastAsia="Calibri" w:hAnsi="Calibri"/>
        </w:rPr>
        <w:t xml:space="preserve">DataSphere Innovation offre une bibliothèque étendue de connecteurs couvrant tous les types de sources de données courantes. Chaque connecteur est pré-configuré pour une intégration rapide.</w:t>
      </w:r>
    </w:p>
    <w:p>
      <w:pPr>
        <w:pStyle w:val="Heading2"/>
      </w:pPr>
      <w:r>
        <w:t xml:space="preserve">5.1 Bases de Données SQL</w:t>
      </w:r>
    </w:p>
    <w:p>
      <w:pPr>
        <w:spacing w:after="80"/>
      </w:pPr>
      <w:r>
        <w:rPr>
          <w:rFonts w:ascii="Calibri" w:cs="Calibri" w:eastAsia="Calibri" w:hAnsi="Calibri"/>
        </w:rPr>
        <w:t xml:space="preserve">Support complet des bases de données relationnelles les plus populaires:</w:t>
      </w:r>
    </w:p>
    <w:p>
      <w:pPr>
        <w:pStyle w:val="ListParagraph"/>
        <w:numPr>
          <w:ilvl w:val="0"/>
          <w:numId w:val="5"/>
        </w:numPr>
      </w:pPr>
      <w:r>
        <w:rPr>
          <w:rFonts w:ascii="Calibri" w:cs="Calibri" w:eastAsia="Calibri" w:hAnsi="Calibri"/>
        </w:rPr>
        <w:t xml:space="preserve">PostgreSQL: Support complet avec extensions PostGIS, partitionnement</w:t>
      </w:r>
    </w:p>
    <w:p>
      <w:pPr>
        <w:pStyle w:val="ListParagraph"/>
        <w:numPr>
          <w:ilvl w:val="0"/>
          <w:numId w:val="5"/>
        </w:numPr>
      </w:pPr>
      <w:r>
        <w:rPr>
          <w:rFonts w:ascii="Calibri" w:cs="Calibri" w:eastAsia="Calibri" w:hAnsi="Calibri"/>
        </w:rPr>
        <w:t xml:space="preserve">MySQL/MariaDB: Compatible toutes versions, support vues et procédures</w:t>
      </w:r>
    </w:p>
    <w:p>
      <w:pPr>
        <w:pStyle w:val="ListParagraph"/>
        <w:numPr>
          <w:ilvl w:val="0"/>
          <w:numId w:val="5"/>
        </w:numPr>
      </w:pPr>
      <w:r>
        <w:rPr>
          <w:rFonts w:ascii="Calibri" w:cs="Calibri" w:eastAsia="Calibri" w:hAnsi="Calibri"/>
        </w:rPr>
        <w:t xml:space="preserve">Microsoft SQL Server: Intégration Azure SQL, types géographiques</w:t>
      </w:r>
    </w:p>
    <w:p>
      <w:pPr>
        <w:pStyle w:val="ListParagraph"/>
        <w:numPr>
          <w:ilvl w:val="0"/>
          <w:numId w:val="5"/>
        </w:numPr>
      </w:pPr>
      <w:r>
        <w:rPr>
          <w:rFonts w:ascii="Calibri" w:cs="Calibri" w:eastAsia="Calibri" w:hAnsi="Calibri"/>
        </w:rPr>
        <w:t xml:space="preserve">Oracle: Support Enterprise, optimisation performances</w:t>
      </w:r>
    </w:p>
    <w:p>
      <w:pPr>
        <w:pStyle w:val="Heading2"/>
      </w:pPr>
      <w:r>
        <w:t xml:space="preserve">5.2 Data Warehouses Cloud</w:t>
      </w:r>
    </w:p>
    <w:p>
      <w:pPr>
        <w:pStyle w:val="ListParagraph"/>
        <w:numPr>
          <w:ilvl w:val="0"/>
          <w:numId w:val="5"/>
        </w:numPr>
      </w:pPr>
      <w:r>
        <w:rPr>
          <w:rFonts w:ascii="Calibri" w:cs="Calibri" w:eastAsia="Calibri" w:hAnsi="Calibri"/>
        </w:rPr>
        <w:t xml:space="preserve">Snowflake: Intégration native, warehouses multi-cluster</w:t>
      </w:r>
    </w:p>
    <w:p>
      <w:pPr>
        <w:pStyle w:val="ListParagraph"/>
        <w:numPr>
          <w:ilvl w:val="0"/>
          <w:numId w:val="5"/>
        </w:numPr>
      </w:pPr>
      <w:r>
        <w:rPr>
          <w:rFonts w:ascii="Calibri" w:cs="Calibri" w:eastAsia="Calibri" w:hAnsi="Calibri"/>
        </w:rPr>
        <w:t xml:space="preserve">Google BigQuery: Optimisation coûts, partitionnement automatique</w:t>
      </w:r>
    </w:p>
    <w:p>
      <w:pPr>
        <w:pStyle w:val="ListParagraph"/>
        <w:numPr>
          <w:ilvl w:val="0"/>
          <w:numId w:val="5"/>
        </w:numPr>
      </w:pPr>
      <w:r>
        <w:rPr>
          <w:rFonts w:ascii="Calibri" w:cs="Calibri" w:eastAsia="Calibri" w:hAnsi="Calibri"/>
        </w:rPr>
        <w:t xml:space="preserve">Amazon Redshift: Support Spectrum, intégration AWS Glue</w:t>
      </w:r>
    </w:p>
    <w:p>
      <w:pPr>
        <w:pStyle w:val="ListParagraph"/>
        <w:numPr>
          <w:ilvl w:val="0"/>
          <w:numId w:val="5"/>
        </w:numPr>
      </w:pPr>
      <w:r>
        <w:rPr>
          <w:rFonts w:ascii="Calibri" w:cs="Calibri" w:eastAsia="Calibri" w:hAnsi="Calibri"/>
        </w:rPr>
        <w:t xml:space="preserve">Databricks: Delta Lake, Unity Catalog, MLflow intégrés</w:t>
      </w:r>
    </w:p>
    <w:p>
      <w:pPr>
        <w:pStyle w:val="Heading2"/>
      </w:pPr>
      <w:r>
        <w:t xml:space="preserve">5.3 NoSQL &amp; Streaming</w:t>
      </w:r>
    </w:p>
    <w:p>
      <w:pPr>
        <w:pStyle w:val="ListParagraph"/>
        <w:numPr>
          <w:ilvl w:val="0"/>
          <w:numId w:val="5"/>
        </w:numPr>
      </w:pPr>
      <w:r>
        <w:rPr>
          <w:rFonts w:ascii="Calibri" w:cs="Calibri" w:eastAsia="Calibri" w:hAnsi="Calibri"/>
        </w:rPr>
        <w:t xml:space="preserve">MongoDB: Pipelines d'agrégation, change streams</w:t>
      </w:r>
    </w:p>
    <w:p>
      <w:pPr>
        <w:pStyle w:val="ListParagraph"/>
        <w:numPr>
          <w:ilvl w:val="0"/>
          <w:numId w:val="5"/>
        </w:numPr>
      </w:pPr>
      <w:r>
        <w:rPr>
          <w:rFonts w:ascii="Calibri" w:cs="Calibri" w:eastAsia="Calibri" w:hAnsi="Calibri"/>
        </w:rPr>
        <w:t xml:space="preserve">Redis: Caching, sessions, streams avec clustering</w:t>
      </w:r>
    </w:p>
    <w:p>
      <w:pPr>
        <w:pStyle w:val="ListParagraph"/>
        <w:numPr>
          <w:ilvl w:val="0"/>
          <w:numId w:val="5"/>
        </w:numPr>
      </w:pPr>
      <w:r>
        <w:rPr>
          <w:rFonts w:ascii="Calibri" w:cs="Calibri" w:eastAsia="Calibri" w:hAnsi="Calibri"/>
        </w:rPr>
        <w:t xml:space="preserve">Apache Kafka: Streaming temps réel, schema registry</w:t>
      </w:r>
    </w:p>
    <w:p>
      <w:pPr>
        <w:pStyle w:val="ListParagraph"/>
        <w:numPr>
          <w:ilvl w:val="0"/>
          <w:numId w:val="5"/>
        </w:numPr>
      </w:pPr>
      <w:r>
        <w:rPr>
          <w:rFonts w:ascii="Calibri" w:cs="Calibri" w:eastAsia="Calibri" w:hAnsi="Calibri"/>
        </w:rPr>
        <w:t xml:space="preserve">Elasticsearch: Recherche full-text, analytics logs</w:t>
      </w:r>
    </w:p>
    <w:p>
      <w:pPr>
        <w:pStyle w:val="Heading2"/>
      </w:pPr>
      <w:r>
        <w:t xml:space="preserve">5.4 Connecteurs SaaS Business</w:t>
      </w:r>
    </w:p>
    <w:p>
      <w:pPr>
        <w:pStyle w:val="ListParagraph"/>
        <w:numPr>
          <w:ilvl w:val="0"/>
          <w:numId w:val="5"/>
        </w:numPr>
      </w:pPr>
      <w:r>
        <w:rPr>
          <w:rFonts w:ascii="Calibri" w:cs="Calibri" w:eastAsia="Calibri" w:hAnsi="Calibri"/>
        </w:rPr>
        <w:t xml:space="preserve">CRM: Salesforce, HubSpot, Pipedrive - contacts, opportunités, activités</w:t>
      </w:r>
    </w:p>
    <w:p>
      <w:pPr>
        <w:pStyle w:val="ListParagraph"/>
        <w:numPr>
          <w:ilvl w:val="0"/>
          <w:numId w:val="5"/>
        </w:numPr>
      </w:pPr>
      <w:r>
        <w:rPr>
          <w:rFonts w:ascii="Calibri" w:cs="Calibri" w:eastAsia="Calibri" w:hAnsi="Calibri"/>
        </w:rPr>
        <w:t xml:space="preserve">E-Commerce: Shopify, Magento, WooCommerce - commandes, produits</w:t>
      </w:r>
    </w:p>
    <w:p>
      <w:pPr>
        <w:pStyle w:val="ListParagraph"/>
        <w:numPr>
          <w:ilvl w:val="0"/>
          <w:numId w:val="5"/>
        </w:numPr>
      </w:pPr>
      <w:r>
        <w:rPr>
          <w:rFonts w:ascii="Calibri" w:cs="Calibri" w:eastAsia="Calibri" w:hAnsi="Calibri"/>
        </w:rPr>
        <w:t xml:space="preserve">Finance: Stripe, Plaid, QuickBooks - transactions, factures</w:t>
      </w:r>
    </w:p>
    <w:p>
      <w:pPr>
        <w:pStyle w:val="ListParagraph"/>
        <w:numPr>
          <w:ilvl w:val="0"/>
          <w:numId w:val="5"/>
        </w:numPr>
      </w:pPr>
      <w:r>
        <w:rPr>
          <w:rFonts w:ascii="Calibri" w:cs="Calibri" w:eastAsia="Calibri" w:hAnsi="Calibri"/>
        </w:rPr>
        <w:t xml:space="preserve">Marketing: Google Ads, Facebook Ads, Analytics 4 - campagnes</w:t>
      </w:r>
    </w:p>
    <w:p>
      <w:pPr>
        <w:pStyle w:val="Heading1"/>
      </w:pPr>
      <w:r>
        <w:t xml:space="preserve">6. Data Quality Monitoring</w:t>
      </w:r>
    </w:p>
    <w:p>
      <w:pPr>
        <w:spacing w:after="120"/>
      </w:pPr>
      <w:r>
        <w:rPr>
          <w:rFonts w:ascii="Calibri" w:cs="Calibri" w:eastAsia="Calibri" w:hAnsi="Calibri"/>
        </w:rPr>
        <w:t xml:space="preserve">Le module Data Quality offre une approche complète et automatisée de la qualité des données. Il combine des tests traditionnels avec des algorithmes de machine learning pour une détection proactive des problèmes.</w:t>
      </w:r>
    </w:p>
    <w:p>
      <w:pPr>
        <w:pStyle w:val="Heading2"/>
      </w:pPr>
      <w:r>
        <w:t xml:space="preserve">6.1 Types de Tests Disponibles</w:t>
      </w:r>
    </w:p>
    <w:p>
      <w:pPr>
        <w:pStyle w:val="ListParagraph"/>
        <w:numPr>
          <w:ilvl w:val="0"/>
          <w:numId w:val="6"/>
        </w:numPr>
      </w:pPr>
      <w:r>
        <w:rPr>
          <w:rFonts w:ascii="Calibri" w:cs="Calibri" w:eastAsia="Calibri" w:hAnsi="Calibri"/>
        </w:rPr>
        <w:t xml:space="preserve">Tests de complétude: NULL check, pourcentage nulls acceptable, champs requis</w:t>
      </w:r>
    </w:p>
    <w:p>
      <w:pPr>
        <w:pStyle w:val="ListParagraph"/>
        <w:numPr>
          <w:ilvl w:val="0"/>
          <w:numId w:val="6"/>
        </w:numPr>
      </w:pPr>
      <w:r>
        <w:rPr>
          <w:rFonts w:ascii="Calibri" w:cs="Calibri" w:eastAsia="Calibri" w:hAnsi="Calibri"/>
        </w:rPr>
        <w:t xml:space="preserve">Tests d'unicité: clés primaires, détection doublons, combinaisons uniques</w:t>
      </w:r>
    </w:p>
    <w:p>
      <w:pPr>
        <w:pStyle w:val="ListParagraph"/>
        <w:numPr>
          <w:ilvl w:val="0"/>
          <w:numId w:val="6"/>
        </w:numPr>
      </w:pPr>
      <w:r>
        <w:rPr>
          <w:rFonts w:ascii="Calibri" w:cs="Calibri" w:eastAsia="Calibri" w:hAnsi="Calibri"/>
        </w:rPr>
        <w:t xml:space="preserve">Tests de validité: valeurs acceptées, plages numériques, patterns regex</w:t>
      </w:r>
    </w:p>
    <w:p>
      <w:pPr>
        <w:pStyle w:val="ListParagraph"/>
        <w:numPr>
          <w:ilvl w:val="0"/>
          <w:numId w:val="6"/>
        </w:numPr>
      </w:pPr>
      <w:r>
        <w:rPr>
          <w:rFonts w:ascii="Calibri" w:cs="Calibri" w:eastAsia="Calibri" w:hAnsi="Calibri"/>
        </w:rPr>
        <w:t xml:space="preserve">Tests d'intégrité référentielle: foreign keys, orphelins, références cassées</w:t>
      </w:r>
    </w:p>
    <w:p>
      <w:pPr>
        <w:pStyle w:val="ListParagraph"/>
        <w:numPr>
          <w:ilvl w:val="0"/>
          <w:numId w:val="6"/>
        </w:numPr>
      </w:pPr>
      <w:r>
        <w:rPr>
          <w:rFonts w:ascii="Calibri" w:cs="Calibri" w:eastAsia="Calibri" w:hAnsi="Calibri"/>
        </w:rPr>
        <w:t xml:space="preserve">Tests de fraîcheur: âge maximum données, fréquence mise à jour</w:t>
      </w:r>
    </w:p>
    <w:p>
      <w:pPr>
        <w:pStyle w:val="ListParagraph"/>
        <w:numPr>
          <w:ilvl w:val="0"/>
          <w:numId w:val="6"/>
        </w:numPr>
      </w:pPr>
      <w:r>
        <w:rPr>
          <w:rFonts w:ascii="Calibri" w:cs="Calibri" w:eastAsia="Calibri" w:hAnsi="Calibri"/>
        </w:rPr>
        <w:t xml:space="preserve">Tests de volume: nombre lignes attendu, variations anormales</w:t>
      </w:r>
    </w:p>
    <w:p>
      <w:pPr>
        <w:pStyle w:val="ListParagraph"/>
        <w:numPr>
          <w:ilvl w:val="0"/>
          <w:numId w:val="6"/>
        </w:numPr>
      </w:pPr>
      <w:r>
        <w:rPr>
          <w:rFonts w:ascii="Calibri" w:cs="Calibri" w:eastAsia="Calibri" w:hAnsi="Calibri"/>
        </w:rPr>
        <w:t xml:space="preserve">Détection d'anomalies ML: algorithmes prédictifs pour données suspectes</w:t>
      </w:r>
    </w:p>
    <w:p>
      <w:pPr>
        <w:pStyle w:val="Heading1"/>
      </w:pPr>
      <w:r>
        <w:t xml:space="preserve">7. API Publique</w:t>
      </w:r>
    </w:p>
    <w:p>
      <w:pPr>
        <w:spacing w:after="120"/>
      </w:pPr>
      <w:r>
        <w:rPr>
          <w:rFonts w:ascii="Calibri" w:cs="Calibri" w:eastAsia="Calibri" w:hAnsi="Calibri"/>
        </w:rPr>
        <w:t xml:space="preserve">DataSphere Innovation expose une API REST complète permettant d'intégrer toutes les fonctionnalités de la plateforme dans vos applications existantes.</w:t>
      </w:r>
    </w:p>
    <w:p>
      <w:pPr>
        <w:pStyle w:val="Heading2"/>
      </w:pPr>
      <w:r>
        <w:t xml:space="preserve">7.1 Authentification</w:t>
      </w:r>
    </w:p>
    <w:p>
      <w:pPr>
        <w:spacing w:after="80"/>
      </w:pPr>
      <w:r>
        <w:rPr>
          <w:rFonts w:ascii="Calibri" w:cs="Calibri" w:eastAsia="Calibri" w:hAnsi="Calibri"/>
        </w:rPr>
        <w:t xml:space="preserve">L'API utilise l'authentification par clés API. Chaque organisation peut créer plusieurs clés avec des permissions différentes.</w:t>
      </w:r>
    </w:p>
    <w:p>
      <w:pPr>
        <w:pStyle w:val="ListParagraph"/>
        <w:numPr>
          <w:ilvl w:val="0"/>
          <w:numId w:val="7"/>
        </w:numPr>
      </w:pPr>
      <w:r>
        <w:rPr>
          <w:rFonts w:ascii="Calibri" w:cs="Calibri" w:eastAsia="Calibri" w:hAnsi="Calibri"/>
        </w:rPr>
        <w:t xml:space="preserve">Accédez à /api-keys pour créer une nouvelle clé API</w:t>
      </w:r>
    </w:p>
    <w:p>
      <w:pPr>
        <w:pStyle w:val="ListParagraph"/>
        <w:numPr>
          <w:ilvl w:val="0"/>
          <w:numId w:val="7"/>
        </w:numPr>
      </w:pPr>
      <w:r>
        <w:rPr>
          <w:rFonts w:ascii="Calibri" w:cs="Calibri" w:eastAsia="Calibri" w:hAnsi="Calibri"/>
        </w:rPr>
        <w:t xml:space="preserve">Définissez les permissions: lecture seule, lecture/écriture, ou admin</w:t>
      </w:r>
    </w:p>
    <w:p>
      <w:pPr>
        <w:pStyle w:val="ListParagraph"/>
        <w:numPr>
          <w:ilvl w:val="0"/>
          <w:numId w:val="7"/>
        </w:numPr>
      </w:pPr>
      <w:r>
        <w:rPr>
          <w:rFonts w:ascii="Calibri" w:cs="Calibri" w:eastAsia="Calibri" w:hAnsi="Calibri"/>
        </w:rPr>
        <w:t xml:space="preserve">Optionnellement, définissez une date d'expiration pour la clé</w:t>
      </w:r>
    </w:p>
    <w:p>
      <w:pPr>
        <w:pStyle w:val="ListParagraph"/>
        <w:numPr>
          <w:ilvl w:val="0"/>
          <w:numId w:val="7"/>
        </w:numPr>
      </w:pPr>
      <w:r>
        <w:rPr>
          <w:rFonts w:ascii="Calibri" w:cs="Calibri" w:eastAsia="Calibri" w:hAnsi="Calibri"/>
        </w:rPr>
        <w:t xml:space="preserve">Incluez la clé dans le header X-API-Key de vos requêtes</w:t>
      </w:r>
    </w:p>
    <w:p>
      <w:pPr>
        <w:pStyle w:val="Heading2"/>
      </w:pPr>
      <w:r>
        <w:t xml:space="preserve">7.2 Endpoints Principaux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3500"/>
        <w:gridCol w:w="4360"/>
      </w:tblGrid>
      <w:tr>
        <w:trPr>
          <w:tblHeader/>
        </w:trPr>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Méthode</w:t>
            </w:r>
          </w:p>
        </w:tc>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Endpoint</w:t>
            </w:r>
          </w:p>
        </w:tc>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Description</w:t>
            </w:r>
          </w:p>
        </w:tc>
      </w:tr>
      <w:tr>
        <w:tc>
          <w:tcPr>
            <w:tcBorders>
              <w:top w:val="single" w:color="64748B" w:sz="1"/>
              <w:left w:val="single" w:color="64748B" w:sz="1"/>
              <w:bottom w:val="single" w:color="64748B" w:sz="1"/>
              <w:right w:val="single" w:color="64748B" w:sz="1"/>
            </w:tcBorders>
          </w:tcPr>
          <w:p>
            <w:pPr>
              <w:jc w:val="center"/>
            </w:pPr>
            <w:r>
              <w:rPr>
                <w:b/>
                <w:bCs/>
                <w:color w:val="22c55e"/>
                <w:sz w:val="22"/>
                <w:szCs w:val="22"/>
              </w:rPr>
              <w:t xml:space="preserve">GET</w:t>
            </w:r>
          </w:p>
        </w:tc>
        <w:tc>
          <w:tcPr>
            <w:tcBorders>
              <w:top w:val="single" w:color="64748B" w:sz="1"/>
              <w:left w:val="single" w:color="64748B" w:sz="1"/>
              <w:bottom w:val="single" w:color="64748B" w:sz="1"/>
              <w:right w:val="single" w:color="64748B" w:sz="1"/>
            </w:tcBorders>
          </w:tcPr>
          <w:p>
            <w:r>
              <w:rPr>
                <w:sz w:val="22"/>
                <w:szCs w:val="22"/>
              </w:rPr>
              <w:t xml:space="preserve">/api/projects</w:t>
            </w:r>
          </w:p>
        </w:tc>
        <w:tc>
          <w:tcPr>
            <w:tcBorders>
              <w:top w:val="single" w:color="64748B" w:sz="1"/>
              <w:left w:val="single" w:color="64748B" w:sz="1"/>
              <w:bottom w:val="single" w:color="64748B" w:sz="1"/>
              <w:right w:val="single" w:color="64748B" w:sz="1"/>
            </w:tcBorders>
          </w:tcPr>
          <w:p>
            <w:r>
              <w:rPr>
                <w:sz w:val="22"/>
                <w:szCs w:val="22"/>
              </w:rPr>
              <w:t xml:space="preserve">Liste tous les projets</w:t>
            </w:r>
          </w:p>
        </w:tc>
      </w:tr>
      <w:tr>
        <w:tc>
          <w:tcPr>
            <w:tcBorders>
              <w:top w:val="single" w:color="64748B" w:sz="1"/>
              <w:left w:val="single" w:color="64748B" w:sz="1"/>
              <w:bottom w:val="single" w:color="64748B" w:sz="1"/>
              <w:right w:val="single" w:color="64748B" w:sz="1"/>
            </w:tcBorders>
          </w:tcPr>
          <w:p>
            <w:pPr>
              <w:jc w:val="center"/>
            </w:pPr>
            <w:r>
              <w:rPr>
                <w:b/>
                <w:bCs/>
                <w:color w:val="3b82f6"/>
                <w:sz w:val="22"/>
                <w:szCs w:val="22"/>
              </w:rPr>
              <w:t xml:space="preserve">POST</w:t>
            </w:r>
          </w:p>
        </w:tc>
        <w:tc>
          <w:tcPr>
            <w:tcBorders>
              <w:top w:val="single" w:color="64748B" w:sz="1"/>
              <w:left w:val="single" w:color="64748B" w:sz="1"/>
              <w:bottom w:val="single" w:color="64748B" w:sz="1"/>
              <w:right w:val="single" w:color="64748B" w:sz="1"/>
            </w:tcBorders>
          </w:tcPr>
          <w:p>
            <w:r>
              <w:rPr>
                <w:sz w:val="22"/>
                <w:szCs w:val="22"/>
              </w:rPr>
              <w:t xml:space="preserve">/api/pipelines</w:t>
            </w:r>
          </w:p>
        </w:tc>
        <w:tc>
          <w:tcPr>
            <w:tcBorders>
              <w:top w:val="single" w:color="64748B" w:sz="1"/>
              <w:left w:val="single" w:color="64748B" w:sz="1"/>
              <w:bottom w:val="single" w:color="64748B" w:sz="1"/>
              <w:right w:val="single" w:color="64748B" w:sz="1"/>
            </w:tcBorders>
          </w:tcPr>
          <w:p>
            <w:r>
              <w:rPr>
                <w:sz w:val="22"/>
                <w:szCs w:val="22"/>
              </w:rPr>
              <w:t xml:space="preserve">Génère un nouveau pipeline</w:t>
            </w:r>
          </w:p>
        </w:tc>
      </w:tr>
      <w:tr>
        <w:tc>
          <w:tcPr>
            <w:tcBorders>
              <w:top w:val="single" w:color="64748B" w:sz="1"/>
              <w:left w:val="single" w:color="64748B" w:sz="1"/>
              <w:bottom w:val="single" w:color="64748B" w:sz="1"/>
              <w:right w:val="single" w:color="64748B" w:sz="1"/>
            </w:tcBorders>
          </w:tcPr>
          <w:p>
            <w:pPr>
              <w:jc w:val="center"/>
            </w:pPr>
            <w:r>
              <w:rPr>
                <w:b/>
                <w:bCs/>
                <w:color w:val="3b82f6"/>
                <w:sz w:val="22"/>
                <w:szCs w:val="22"/>
              </w:rPr>
              <w:t xml:space="preserve">POST</w:t>
            </w:r>
          </w:p>
        </w:tc>
        <w:tc>
          <w:tcPr>
            <w:tcBorders>
              <w:top w:val="single" w:color="64748B" w:sz="1"/>
              <w:left w:val="single" w:color="64748B" w:sz="1"/>
              <w:bottom w:val="single" w:color="64748B" w:sz="1"/>
              <w:right w:val="single" w:color="64748B" w:sz="1"/>
            </w:tcBorders>
          </w:tcPr>
          <w:p>
            <w:r>
              <w:rPr>
                <w:sz w:val="22"/>
                <w:szCs w:val="22"/>
              </w:rPr>
              <w:t xml:space="preserve">/api/agents/execute</w:t>
            </w:r>
          </w:p>
        </w:tc>
        <w:tc>
          <w:tcPr>
            <w:tcBorders>
              <w:top w:val="single" w:color="64748B" w:sz="1"/>
              <w:left w:val="single" w:color="64748B" w:sz="1"/>
              <w:bottom w:val="single" w:color="64748B" w:sz="1"/>
              <w:right w:val="single" w:color="64748B" w:sz="1"/>
            </w:tcBorders>
          </w:tcPr>
          <w:p>
            <w:r>
              <w:rPr>
                <w:sz w:val="22"/>
                <w:szCs w:val="22"/>
              </w:rPr>
              <w:t xml:space="preserve">Exécute un agent IA</w:t>
            </w:r>
          </w:p>
        </w:tc>
      </w:tr>
      <w:tr>
        <w:tc>
          <w:tcPr>
            <w:tcBorders>
              <w:top w:val="single" w:color="64748B" w:sz="1"/>
              <w:left w:val="single" w:color="64748B" w:sz="1"/>
              <w:bottom w:val="single" w:color="64748B" w:sz="1"/>
              <w:right w:val="single" w:color="64748B" w:sz="1"/>
            </w:tcBorders>
          </w:tcPr>
          <w:p>
            <w:pPr>
              <w:jc w:val="center"/>
            </w:pPr>
            <w:r>
              <w:rPr>
                <w:b/>
                <w:bCs/>
                <w:color w:val="3b82f6"/>
                <w:sz w:val="22"/>
                <w:szCs w:val="22"/>
              </w:rPr>
              <w:t xml:space="preserve">POST</w:t>
            </w:r>
          </w:p>
        </w:tc>
        <w:tc>
          <w:tcPr>
            <w:tcBorders>
              <w:top w:val="single" w:color="64748B" w:sz="1"/>
              <w:left w:val="single" w:color="64748B" w:sz="1"/>
              <w:bottom w:val="single" w:color="64748B" w:sz="1"/>
              <w:right w:val="single" w:color="64748B" w:sz="1"/>
            </w:tcBorders>
          </w:tcPr>
          <w:p>
            <w:r>
              <w:rPr>
                <w:sz w:val="22"/>
                <w:szCs w:val="22"/>
              </w:rPr>
              <w:t xml:space="preserve">/api/quality/run</w:t>
            </w:r>
          </w:p>
        </w:tc>
        <w:tc>
          <w:tcPr>
            <w:tcBorders>
              <w:top w:val="single" w:color="64748B" w:sz="1"/>
              <w:left w:val="single" w:color="64748B" w:sz="1"/>
              <w:bottom w:val="single" w:color="64748B" w:sz="1"/>
              <w:right w:val="single" w:color="64748B" w:sz="1"/>
            </w:tcBorders>
          </w:tcPr>
          <w:p>
            <w:r>
              <w:rPr>
                <w:sz w:val="22"/>
                <w:szCs w:val="22"/>
              </w:rPr>
              <w:t xml:space="preserve">Lance les tests de qualité</w:t>
            </w:r>
          </w:p>
        </w:tc>
      </w:tr>
      <w:tr>
        <w:tc>
          <w:tcPr>
            <w:tcBorders>
              <w:top w:val="single" w:color="64748B" w:sz="1"/>
              <w:left w:val="single" w:color="64748B" w:sz="1"/>
              <w:bottom w:val="single" w:color="64748B" w:sz="1"/>
              <w:right w:val="single" w:color="64748B" w:sz="1"/>
            </w:tcBorders>
          </w:tcPr>
          <w:p>
            <w:pPr>
              <w:jc w:val="center"/>
            </w:pPr>
            <w:r>
              <w:rPr>
                <w:b/>
                <w:bCs/>
                <w:color w:val="3b82f6"/>
                <w:sz w:val="22"/>
                <w:szCs w:val="22"/>
              </w:rPr>
              <w:t xml:space="preserve">POST</w:t>
            </w:r>
          </w:p>
        </w:tc>
        <w:tc>
          <w:tcPr>
            <w:tcBorders>
              <w:top w:val="single" w:color="64748B" w:sz="1"/>
              <w:left w:val="single" w:color="64748B" w:sz="1"/>
              <w:bottom w:val="single" w:color="64748B" w:sz="1"/>
              <w:right w:val="single" w:color="64748B" w:sz="1"/>
            </w:tcBorders>
          </w:tcPr>
          <w:p>
            <w:r>
              <w:rPr>
                <w:sz w:val="22"/>
                <w:szCs w:val="22"/>
              </w:rPr>
              <w:t xml:space="preserve">/api/export</w:t>
            </w:r>
          </w:p>
        </w:tc>
        <w:tc>
          <w:tcPr>
            <w:tcBorders>
              <w:top w:val="single" w:color="64748B" w:sz="1"/>
              <w:left w:val="single" w:color="64748B" w:sz="1"/>
              <w:bottom w:val="single" w:color="64748B" w:sz="1"/>
              <w:right w:val="single" w:color="64748B" w:sz="1"/>
            </w:tcBorders>
          </w:tcPr>
          <w:p>
            <w:r>
              <w:rPr>
                <w:sz w:val="22"/>
                <w:szCs w:val="22"/>
              </w:rPr>
              <w:t xml:space="preserve">Exporte les livrables</w:t>
            </w:r>
          </w:p>
        </w:tc>
      </w:tr>
    </w:tbl>
    <w:p>
      <w:pPr>
        <w:spacing w:before="80"/>
        <w:jc w:val="center"/>
      </w:pPr>
      <w:r>
        <w:rPr>
          <w:i/>
          <w:iCs/>
          <w:color w:val="64748B"/>
          <w:sz w:val="18"/>
          <w:szCs w:val="18"/>
        </w:rPr>
        <w:t xml:space="preserve">Tableau 3: Principaux endpoints de l'API</w:t>
      </w:r>
    </w:p>
    <w:p>
      <w:pPr>
        <w:pStyle w:val="Heading1"/>
      </w:pPr>
      <w:r>
        <w:t xml:space="preserve">8. Plans et Tarification</w:t>
      </w:r>
    </w:p>
    <w:p>
      <w:pPr>
        <w:spacing w:after="120"/>
      </w:pPr>
      <w:r>
        <w:rPr>
          <w:rFonts w:ascii="Calibri" w:cs="Calibri" w:eastAsia="Calibri" w:hAnsi="Calibri"/>
        </w:rPr>
        <w:t xml:space="preserve">DataSphere Innovation propose trois plans adaptés aux besoins et à la taille des organisations. Tous les plans incluent les fonctionnalités essentielles de data engineering.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Caractéristique</w:t>
            </w:r>
          </w:p>
        </w:tc>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Starter (499€)</w:t>
            </w:r>
          </w:p>
        </w:tc>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Professional (1499€)</w:t>
            </w:r>
          </w:p>
        </w:tc>
        <w:tc>
          <w:tcPr>
            <w:tcBorders>
              <w:top w:val="single" w:color="64748B" w:sz="1"/>
              <w:left w:val="single" w:color="64748B" w:sz="1"/>
              <w:bottom w:val="single" w:color="64748B" w:sz="1"/>
              <w:right w:val="single" w:color="64748B" w:sz="1"/>
            </w:tcBorders>
            <w:shd w:fill="E2E8F0" w:val="clear"/>
          </w:tcPr>
          <w:p>
            <w:pPr>
              <w:jc w:val="center"/>
            </w:pPr>
            <w:r>
              <w:rPr>
                <w:b/>
                <w:bCs/>
                <w:sz w:val="22"/>
                <w:szCs w:val="22"/>
              </w:rPr>
              <w:t xml:space="preserve">Enterprise (4999€)</w:t>
            </w:r>
          </w:p>
        </w:tc>
      </w:tr>
      <w:tr>
        <w:tc>
          <w:tcPr>
            <w:tcBorders>
              <w:top w:val="single" w:color="64748B" w:sz="1"/>
              <w:left w:val="single" w:color="64748B" w:sz="1"/>
              <w:bottom w:val="single" w:color="64748B" w:sz="1"/>
              <w:right w:val="single" w:color="64748B" w:sz="1"/>
            </w:tcBorders>
          </w:tcPr>
          <w:p>
            <w:r>
              <w:rPr>
                <w:sz w:val="22"/>
                <w:szCs w:val="22"/>
              </w:rPr>
              <w:t xml:space="preserve">Projets actifs</w:t>
            </w:r>
          </w:p>
        </w:tc>
        <w:tc>
          <w:tcPr>
            <w:tcBorders>
              <w:top w:val="single" w:color="64748B" w:sz="1"/>
              <w:left w:val="single" w:color="64748B" w:sz="1"/>
              <w:bottom w:val="single" w:color="64748B" w:sz="1"/>
              <w:right w:val="single" w:color="64748B" w:sz="1"/>
            </w:tcBorders>
          </w:tcPr>
          <w:p>
            <w:pPr>
              <w:jc w:val="center"/>
            </w:pPr>
            <w:r>
              <w:rPr>
                <w:sz w:val="22"/>
                <w:szCs w:val="22"/>
              </w:rPr>
              <w:t xml:space="preserve">5</w:t>
            </w:r>
          </w:p>
        </w:tc>
        <w:tc>
          <w:tcPr>
            <w:tcBorders>
              <w:top w:val="single" w:color="64748B" w:sz="1"/>
              <w:left w:val="single" w:color="64748B" w:sz="1"/>
              <w:bottom w:val="single" w:color="64748B" w:sz="1"/>
              <w:right w:val="single" w:color="64748B" w:sz="1"/>
            </w:tcBorders>
          </w:tcPr>
          <w:p>
            <w:pPr>
              <w:jc w:val="center"/>
            </w:pPr>
            <w:r>
              <w:rPr>
                <w:sz w:val="22"/>
                <w:szCs w:val="22"/>
              </w:rPr>
              <w:t xml:space="preserve">25</w:t>
            </w:r>
          </w:p>
        </w:tc>
        <w:tc>
          <w:tcPr>
            <w:tcBorders>
              <w:top w:val="single" w:color="64748B" w:sz="1"/>
              <w:left w:val="single" w:color="64748B" w:sz="1"/>
              <w:bottom w:val="single" w:color="64748B" w:sz="1"/>
              <w:right w:val="single" w:color="64748B" w:sz="1"/>
            </w:tcBorders>
          </w:tcPr>
          <w:p>
            <w:pPr>
              <w:jc w:val="center"/>
            </w:pPr>
            <w:r>
              <w:rPr>
                <w:sz w:val="22"/>
                <w:szCs w:val="22"/>
              </w:rPr>
              <w:t xml:space="preserve">Illimité</w:t>
            </w:r>
          </w:p>
        </w:tc>
      </w:tr>
      <w:tr>
        <w:tc>
          <w:tcPr>
            <w:tcBorders>
              <w:top w:val="single" w:color="64748B" w:sz="1"/>
              <w:left w:val="single" w:color="64748B" w:sz="1"/>
              <w:bottom w:val="single" w:color="64748B" w:sz="1"/>
              <w:right w:val="single" w:color="64748B" w:sz="1"/>
            </w:tcBorders>
          </w:tcPr>
          <w:p>
            <w:r>
              <w:rPr>
                <w:sz w:val="22"/>
                <w:szCs w:val="22"/>
              </w:rPr>
              <w:t xml:space="preserve">Sources de données</w:t>
            </w:r>
          </w:p>
        </w:tc>
        <w:tc>
          <w:tcPr>
            <w:tcBorders>
              <w:top w:val="single" w:color="64748B" w:sz="1"/>
              <w:left w:val="single" w:color="64748B" w:sz="1"/>
              <w:bottom w:val="single" w:color="64748B" w:sz="1"/>
              <w:right w:val="single" w:color="64748B" w:sz="1"/>
            </w:tcBorders>
          </w:tcPr>
          <w:p>
            <w:pPr>
              <w:jc w:val="center"/>
            </w:pPr>
            <w:r>
              <w:rPr>
                <w:sz w:val="22"/>
                <w:szCs w:val="22"/>
              </w:rPr>
              <w:t xml:space="preserve">10</w:t>
            </w:r>
          </w:p>
        </w:tc>
        <w:tc>
          <w:tcPr>
            <w:tcBorders>
              <w:top w:val="single" w:color="64748B" w:sz="1"/>
              <w:left w:val="single" w:color="64748B" w:sz="1"/>
              <w:bottom w:val="single" w:color="64748B" w:sz="1"/>
              <w:right w:val="single" w:color="64748B" w:sz="1"/>
            </w:tcBorders>
          </w:tcPr>
          <w:p>
            <w:pPr>
              <w:jc w:val="center"/>
            </w:pPr>
            <w:r>
              <w:rPr>
                <w:sz w:val="22"/>
                <w:szCs w:val="22"/>
              </w:rPr>
              <w:t xml:space="preserve">25</w:t>
            </w:r>
          </w:p>
        </w:tc>
        <w:tc>
          <w:tcPr>
            <w:tcBorders>
              <w:top w:val="single" w:color="64748B" w:sz="1"/>
              <w:left w:val="single" w:color="64748B" w:sz="1"/>
              <w:bottom w:val="single" w:color="64748B" w:sz="1"/>
              <w:right w:val="single" w:color="64748B" w:sz="1"/>
            </w:tcBorders>
          </w:tcPr>
          <w:p>
            <w:pPr>
              <w:jc w:val="center"/>
            </w:pPr>
            <w:r>
              <w:rPr>
                <w:sz w:val="22"/>
                <w:szCs w:val="22"/>
              </w:rPr>
              <w:t xml:space="preserve">Illimité</w:t>
            </w:r>
          </w:p>
        </w:tc>
      </w:tr>
      <w:tr>
        <w:tc>
          <w:tcPr>
            <w:tcBorders>
              <w:top w:val="single" w:color="64748B" w:sz="1"/>
              <w:left w:val="single" w:color="64748B" w:sz="1"/>
              <w:bottom w:val="single" w:color="64748B" w:sz="1"/>
              <w:right w:val="single" w:color="64748B" w:sz="1"/>
            </w:tcBorders>
          </w:tcPr>
          <w:p>
            <w:r>
              <w:rPr>
                <w:sz w:val="22"/>
                <w:szCs w:val="22"/>
              </w:rPr>
              <w:t xml:space="preserve">Exécutions/mois</w:t>
            </w:r>
          </w:p>
        </w:tc>
        <w:tc>
          <w:tcPr>
            <w:tcBorders>
              <w:top w:val="single" w:color="64748B" w:sz="1"/>
              <w:left w:val="single" w:color="64748B" w:sz="1"/>
              <w:bottom w:val="single" w:color="64748B" w:sz="1"/>
              <w:right w:val="single" w:color="64748B" w:sz="1"/>
            </w:tcBorders>
          </w:tcPr>
          <w:p>
            <w:pPr>
              <w:jc w:val="center"/>
            </w:pPr>
            <w:r>
              <w:rPr>
                <w:sz w:val="22"/>
                <w:szCs w:val="22"/>
              </w:rPr>
              <w:t xml:space="preserve">1 000</w:t>
            </w:r>
          </w:p>
        </w:tc>
        <w:tc>
          <w:tcPr>
            <w:tcBorders>
              <w:top w:val="single" w:color="64748B" w:sz="1"/>
              <w:left w:val="single" w:color="64748B" w:sz="1"/>
              <w:bottom w:val="single" w:color="64748B" w:sz="1"/>
              <w:right w:val="single" w:color="64748B" w:sz="1"/>
            </w:tcBorders>
          </w:tcPr>
          <w:p>
            <w:pPr>
              <w:jc w:val="center"/>
            </w:pPr>
            <w:r>
              <w:rPr>
                <w:sz w:val="22"/>
                <w:szCs w:val="22"/>
              </w:rPr>
              <w:t xml:space="preserve">10 000</w:t>
            </w:r>
          </w:p>
        </w:tc>
        <w:tc>
          <w:tcPr>
            <w:tcBorders>
              <w:top w:val="single" w:color="64748B" w:sz="1"/>
              <w:left w:val="single" w:color="64748B" w:sz="1"/>
              <w:bottom w:val="single" w:color="64748B" w:sz="1"/>
              <w:right w:val="single" w:color="64748B" w:sz="1"/>
            </w:tcBorders>
          </w:tcPr>
          <w:p>
            <w:pPr>
              <w:jc w:val="center"/>
            </w:pPr>
            <w:r>
              <w:rPr>
                <w:sz w:val="22"/>
                <w:szCs w:val="22"/>
              </w:rPr>
              <w:t xml:space="preserve">Illimité</w:t>
            </w:r>
          </w:p>
        </w:tc>
      </w:tr>
      <w:tr>
        <w:tc>
          <w:tcPr>
            <w:tcBorders>
              <w:top w:val="single" w:color="64748B" w:sz="1"/>
              <w:left w:val="single" w:color="64748B" w:sz="1"/>
              <w:bottom w:val="single" w:color="64748B" w:sz="1"/>
              <w:right w:val="single" w:color="64748B" w:sz="1"/>
            </w:tcBorders>
          </w:tcPr>
          <w:p>
            <w:r>
              <w:rPr>
                <w:sz w:val="22"/>
                <w:szCs w:val="22"/>
              </w:rPr>
              <w:t xml:space="preserve">Membres équipe</w:t>
            </w:r>
          </w:p>
        </w:tc>
        <w:tc>
          <w:tcPr>
            <w:tcBorders>
              <w:top w:val="single" w:color="64748B" w:sz="1"/>
              <w:left w:val="single" w:color="64748B" w:sz="1"/>
              <w:bottom w:val="single" w:color="64748B" w:sz="1"/>
              <w:right w:val="single" w:color="64748B" w:sz="1"/>
            </w:tcBorders>
          </w:tcPr>
          <w:p>
            <w:pPr>
              <w:jc w:val="center"/>
            </w:pPr>
            <w:r>
              <w:rPr>
                <w:sz w:val="22"/>
                <w:szCs w:val="22"/>
              </w:rPr>
              <w:t xml:space="preserve">3</w:t>
            </w:r>
          </w:p>
        </w:tc>
        <w:tc>
          <w:tcPr>
            <w:tcBorders>
              <w:top w:val="single" w:color="64748B" w:sz="1"/>
              <w:left w:val="single" w:color="64748B" w:sz="1"/>
              <w:bottom w:val="single" w:color="64748B" w:sz="1"/>
              <w:right w:val="single" w:color="64748B" w:sz="1"/>
            </w:tcBorders>
          </w:tcPr>
          <w:p>
            <w:pPr>
              <w:jc w:val="center"/>
            </w:pPr>
            <w:r>
              <w:rPr>
                <w:sz w:val="22"/>
                <w:szCs w:val="22"/>
              </w:rPr>
              <w:t xml:space="preserve">10</w:t>
            </w:r>
          </w:p>
        </w:tc>
        <w:tc>
          <w:tcPr>
            <w:tcBorders>
              <w:top w:val="single" w:color="64748B" w:sz="1"/>
              <w:left w:val="single" w:color="64748B" w:sz="1"/>
              <w:bottom w:val="single" w:color="64748B" w:sz="1"/>
              <w:right w:val="single" w:color="64748B" w:sz="1"/>
            </w:tcBorders>
          </w:tcPr>
          <w:p>
            <w:pPr>
              <w:jc w:val="center"/>
            </w:pPr>
            <w:r>
              <w:rPr>
                <w:sz w:val="22"/>
                <w:szCs w:val="22"/>
              </w:rPr>
              <w:t xml:space="preserve">Illimité</w:t>
            </w:r>
          </w:p>
        </w:tc>
      </w:tr>
      <w:tr>
        <w:tc>
          <w:tcPr>
            <w:tcBorders>
              <w:top w:val="single" w:color="64748B" w:sz="1"/>
              <w:left w:val="single" w:color="64748B" w:sz="1"/>
              <w:bottom w:val="single" w:color="64748B" w:sz="1"/>
              <w:right w:val="single" w:color="64748B" w:sz="1"/>
            </w:tcBorders>
          </w:tcPr>
          <w:p>
            <w:r>
              <w:rPr>
                <w:sz w:val="22"/>
                <w:szCs w:val="22"/>
              </w:rPr>
              <w:t xml:space="preserve">Support</w:t>
            </w:r>
          </w:p>
        </w:tc>
        <w:tc>
          <w:tcPr>
            <w:tcBorders>
              <w:top w:val="single" w:color="64748B" w:sz="1"/>
              <w:left w:val="single" w:color="64748B" w:sz="1"/>
              <w:bottom w:val="single" w:color="64748B" w:sz="1"/>
              <w:right w:val="single" w:color="64748B" w:sz="1"/>
            </w:tcBorders>
          </w:tcPr>
          <w:p>
            <w:pPr>
              <w:jc w:val="center"/>
            </w:pPr>
            <w:r>
              <w:rPr>
                <w:sz w:val="22"/>
                <w:szCs w:val="22"/>
              </w:rPr>
              <w:t xml:space="preserve">Email</w:t>
            </w:r>
          </w:p>
        </w:tc>
        <w:tc>
          <w:tcPr>
            <w:tcBorders>
              <w:top w:val="single" w:color="64748B" w:sz="1"/>
              <w:left w:val="single" w:color="64748B" w:sz="1"/>
              <w:bottom w:val="single" w:color="64748B" w:sz="1"/>
              <w:right w:val="single" w:color="64748B" w:sz="1"/>
            </w:tcBorders>
          </w:tcPr>
          <w:p>
            <w:pPr>
              <w:jc w:val="center"/>
            </w:pPr>
            <w:r>
              <w:rPr>
                <w:sz w:val="22"/>
                <w:szCs w:val="22"/>
              </w:rPr>
              <w:t xml:space="preserve">Prioritaire</w:t>
            </w:r>
          </w:p>
        </w:tc>
        <w:tc>
          <w:tcPr>
            <w:tcBorders>
              <w:top w:val="single" w:color="64748B" w:sz="1"/>
              <w:left w:val="single" w:color="64748B" w:sz="1"/>
              <w:bottom w:val="single" w:color="64748B" w:sz="1"/>
              <w:right w:val="single" w:color="64748B" w:sz="1"/>
            </w:tcBorders>
          </w:tcPr>
          <w:p>
            <w:pPr>
              <w:jc w:val="center"/>
            </w:pPr>
            <w:r>
              <w:rPr>
                <w:sz w:val="22"/>
                <w:szCs w:val="22"/>
              </w:rPr>
              <w:t xml:space="preserve">Dédié 24/7</w:t>
            </w:r>
          </w:p>
        </w:tc>
      </w:tr>
      <w:tr>
        <w:tc>
          <w:tcPr>
            <w:tcBorders>
              <w:top w:val="single" w:color="64748B" w:sz="1"/>
              <w:left w:val="single" w:color="64748B" w:sz="1"/>
              <w:bottom w:val="single" w:color="64748B" w:sz="1"/>
              <w:right w:val="single" w:color="64748B" w:sz="1"/>
            </w:tcBorders>
          </w:tcPr>
          <w:p>
            <w:r>
              <w:rPr>
                <w:sz w:val="22"/>
                <w:szCs w:val="22"/>
              </w:rPr>
              <w:t xml:space="preserve">SSO Entreprise</w:t>
            </w:r>
          </w:p>
        </w:tc>
        <w:tc>
          <w:tcPr>
            <w:tcBorders>
              <w:top w:val="single" w:color="64748B" w:sz="1"/>
              <w:left w:val="single" w:color="64748B" w:sz="1"/>
              <w:bottom w:val="single" w:color="64748B" w:sz="1"/>
              <w:right w:val="single" w:color="64748B" w:sz="1"/>
            </w:tcBorders>
          </w:tcPr>
          <w:p>
            <w:pPr>
              <w:jc w:val="center"/>
            </w:pPr>
            <w:r>
              <w:rPr>
                <w:color w:val="64748B"/>
                <w:sz w:val="22"/>
                <w:szCs w:val="22"/>
              </w:rPr>
              <w:t xml:space="preserve">—</w:t>
            </w:r>
          </w:p>
        </w:tc>
        <w:tc>
          <w:tcPr>
            <w:tcBorders>
              <w:top w:val="single" w:color="64748B" w:sz="1"/>
              <w:left w:val="single" w:color="64748B" w:sz="1"/>
              <w:bottom w:val="single" w:color="64748B" w:sz="1"/>
              <w:right w:val="single" w:color="64748B" w:sz="1"/>
            </w:tcBorders>
          </w:tcPr>
          <w:p>
            <w:pPr>
              <w:jc w:val="center"/>
            </w:pPr>
            <w:r>
              <w:rPr>
                <w:sz w:val="22"/>
                <w:szCs w:val="22"/>
              </w:rPr>
              <w:t xml:space="preserve">Basique</w:t>
            </w:r>
          </w:p>
        </w:tc>
        <w:tc>
          <w:tcPr>
            <w:tcBorders>
              <w:top w:val="single" w:color="64748B" w:sz="1"/>
              <w:left w:val="single" w:color="64748B" w:sz="1"/>
              <w:bottom w:val="single" w:color="64748B" w:sz="1"/>
              <w:right w:val="single" w:color="64748B" w:sz="1"/>
            </w:tcBorders>
          </w:tcPr>
          <w:p>
            <w:pPr>
              <w:jc w:val="center"/>
            </w:pPr>
            <w:r>
              <w:rPr>
                <w:sz w:val="22"/>
                <w:szCs w:val="22"/>
              </w:rPr>
              <w:t xml:space="preserve">SAML/OIDC</w:t>
            </w:r>
          </w:p>
        </w:tc>
      </w:tr>
    </w:tbl>
    <w:p>
      <w:pPr>
        <w:spacing w:before="80"/>
        <w:jc w:val="center"/>
      </w:pPr>
      <w:r>
        <w:rPr>
          <w:i/>
          <w:iCs/>
          <w:color w:val="64748B"/>
          <w:sz w:val="18"/>
          <w:szCs w:val="18"/>
        </w:rPr>
        <w:t xml:space="preserve">Tableau 4: Comparatif des plans tarifaires</w:t>
      </w:r>
    </w:p>
    <w:p>
      <w:pPr>
        <w:pStyle w:val="Heading1"/>
      </w:pPr>
      <w:r>
        <w:t xml:space="preserve">9. Tutoriel Pratique: Démonstration TechMart</w:t>
      </w:r>
    </w:p>
    <w:p>
      <w:pPr>
        <w:spacing w:after="120"/>
      </w:pPr>
      <w:r>
        <w:rPr>
          <w:rFonts w:ascii="Calibri" w:cs="Calibri" w:eastAsia="Calibri" w:hAnsi="Calibri"/>
        </w:rPr>
        <w:t xml:space="preserve">Cette section vous guide à travers un cas d'usage réel pour illustrer les capacités de DataSphere Innovation. Nous utiliserons l'exemple d'une entreprise de e-commerce fictive, "TechMart", qui souhaite optimiser sa chaîne d'approvisionnement.</w:t>
      </w:r>
    </w:p>
    <w:p>
      <w:pPr>
        <w:pStyle w:val="Heading2"/>
      </w:pPr>
      <w:r>
        <w:t xml:space="preserve">9.1 Contexte: TechMart</w:t>
      </w:r>
    </w:p>
    <w:p>
      <w:pPr>
        <w:spacing w:after="80"/>
      </w:pPr>
      <w:r>
        <w:rPr>
          <w:rFonts w:ascii="Calibri" w:cs="Calibri" w:eastAsia="Calibri" w:hAnsi="Calibri"/>
        </w:rPr>
        <w:t xml:space="preserve">TechMart est un retailer en ligne spécialisé dans les produits technologiques. L'entreprise dispose de plusieurs sources de données disparates:</w:t>
      </w:r>
    </w:p>
    <w:p>
      <w:pPr>
        <w:pStyle w:val="ListParagraph"/>
        <w:numPr>
          <w:ilvl w:val="0"/>
          <w:numId w:val="8"/>
        </w:numPr>
      </w:pPr>
      <w:r>
        <w:rPr>
          <w:rFonts w:ascii="Calibri" w:cs="Calibri" w:eastAsia="Calibri" w:hAnsi="Calibri"/>
        </w:rPr>
        <w:t xml:space="preserve">Base PostgreSQL contenant les commandes, clients et produits (500K+ enregistrements)</w:t>
      </w:r>
    </w:p>
    <w:p>
      <w:pPr>
        <w:pStyle w:val="ListParagraph"/>
        <w:numPr>
          <w:ilvl w:val="0"/>
          <w:numId w:val="8"/>
        </w:numPr>
      </w:pPr>
      <w:r>
        <w:rPr>
          <w:rFonts w:ascii="Calibri" w:cs="Calibri" w:eastAsia="Calibri" w:hAnsi="Calibri"/>
        </w:rPr>
        <w:t xml:space="preserve">Compte Shopify pour les ventes marketplace avec synchronisation temps réel</w:t>
      </w:r>
    </w:p>
    <w:p>
      <w:pPr>
        <w:pStyle w:val="ListParagraph"/>
        <w:numPr>
          <w:ilvl w:val="0"/>
          <w:numId w:val="8"/>
        </w:numPr>
      </w:pPr>
      <w:r>
        <w:rPr>
          <w:rFonts w:ascii="Calibri" w:cs="Calibri" w:eastAsia="Calibri" w:hAnsi="Calibri"/>
        </w:rPr>
        <w:t xml:space="preserve">Google Analytics 4 pour le tracking comportemental et les conversions</w:t>
      </w:r>
    </w:p>
    <w:p>
      <w:pPr>
        <w:pStyle w:val="ListParagraph"/>
        <w:numPr>
          <w:ilvl w:val="0"/>
          <w:numId w:val="8"/>
        </w:numPr>
      </w:pPr>
      <w:r>
        <w:rPr>
          <w:rFonts w:ascii="Calibri" w:cs="Calibri" w:eastAsia="Calibri" w:hAnsi="Calibri"/>
        </w:rPr>
        <w:t xml:space="preserve">Google Ads pour les campagnes marketing et les données de performance</w:t>
      </w:r>
    </w:p>
    <w:p>
      <w:pPr>
        <w:pStyle w:val="ListParagraph"/>
        <w:numPr>
          <w:ilvl w:val="0"/>
          <w:numId w:val="8"/>
        </w:numPr>
      </w:pPr>
      <w:r>
        <w:rPr>
          <w:rFonts w:ascii="Calibri" w:cs="Calibri" w:eastAsia="Calibri" w:hAnsi="Calibri"/>
        </w:rPr>
        <w:t xml:space="preserve">API Stripe pour les paiements et la facturation récurrente</w:t>
      </w:r>
    </w:p>
    <w:p>
      <w:pPr>
        <w:pStyle w:val="Heading2"/>
      </w:pPr>
      <w:r>
        <w:t xml:space="preserve">9.2 Objectifs Business</w:t>
      </w:r>
    </w:p>
    <w:p>
      <w:pPr>
        <w:pStyle w:val="ListParagraph"/>
        <w:numPr>
          <w:ilvl w:val="0"/>
          <w:numId w:val="9"/>
        </w:numPr>
      </w:pPr>
      <w:r>
        <w:rPr>
          <w:rFonts w:ascii="Calibri" w:cs="Calibri" w:eastAsia="Calibri" w:hAnsi="Calibri"/>
        </w:rPr>
        <w:t xml:space="preserve">360° Customer View: Vue unifiée du client à travers tous les canaux de vente</w:t>
      </w:r>
    </w:p>
    <w:p>
      <w:pPr>
        <w:pStyle w:val="ListParagraph"/>
        <w:numPr>
          <w:ilvl w:val="0"/>
          <w:numId w:val="9"/>
        </w:numPr>
      </w:pPr>
      <w:r>
        <w:rPr>
          <w:rFonts w:ascii="Calibri" w:cs="Calibri" w:eastAsia="Calibri" w:hAnsi="Calibri"/>
        </w:rPr>
        <w:t xml:space="preserve">Inventory Optimization: Prédiction des stocks pour réduire les ruptures de 40%</w:t>
      </w:r>
    </w:p>
    <w:p>
      <w:pPr>
        <w:pStyle w:val="ListParagraph"/>
        <w:numPr>
          <w:ilvl w:val="0"/>
          <w:numId w:val="9"/>
        </w:numPr>
      </w:pPr>
      <w:r>
        <w:rPr>
          <w:rFonts w:ascii="Calibri" w:cs="Calibri" w:eastAsia="Calibri" w:hAnsi="Calibri"/>
        </w:rPr>
        <w:t xml:space="preserve">Marketing Attribution: Mesure précise du ROI marketing multi-canal</w:t>
      </w:r>
    </w:p>
    <w:p>
      <w:pPr>
        <w:pStyle w:val="ListParagraph"/>
        <w:numPr>
          <w:ilvl w:val="0"/>
          <w:numId w:val="9"/>
        </w:numPr>
      </w:pPr>
      <w:r>
        <w:rPr>
          <w:rFonts w:ascii="Calibri" w:cs="Calibri" w:eastAsia="Calibri" w:hAnsi="Calibri"/>
        </w:rPr>
        <w:t xml:space="preserve">Churn Prediction: Identification proactive des clients à risque de départ</w:t>
      </w:r>
    </w:p>
    <w:p>
      <w:pPr>
        <w:pStyle w:val="Heading2"/>
      </w:pPr>
      <w:r>
        <w:t xml:space="preserve">9.3 Mise en Œuvre</w:t>
      </w:r>
    </w:p>
    <w:p>
      <w:pPr>
        <w:pStyle w:val="Heading3"/>
      </w:pPr>
      <w:r>
        <w:t xml:space="preserve">Phase 1: Connexion des sources (Jours 1-2)</w:t>
      </w:r>
    </w:p>
    <w:p>
      <w:pPr>
        <w:spacing w:after="80"/>
      </w:pPr>
      <w:r>
        <w:rPr>
          <w:rFonts w:ascii="Calibri" w:cs="Calibri" w:eastAsia="Calibri" w:hAnsi="Calibri"/>
        </w:rPr>
        <w:t xml:space="preserve">Création d'un nouveau projet "TechMart Analytics" dans la plateforme, puis connexion successive des 5 sources de données. Chaque connecteur a été configuré avec les paramètres de sécurité appropriés et testé individuellement. La découverte automatique a identifié 47 tables au total avec 312 colonnes.</w:t>
      </w:r>
    </w:p>
    <w:p>
      <w:pPr>
        <w:pStyle w:val="Heading3"/>
      </w:pPr>
      <w:r>
        <w:t xml:space="preserve">Phase 2: Découverte et profilage (Jours 3-4)</w:t>
      </w:r>
    </w:p>
    <w:p>
      <w:pPr>
        <w:spacing w:after="80"/>
      </w:pPr>
      <w:r>
        <w:rPr>
          <w:rFonts w:ascii="Calibri" w:cs="Calibri" w:eastAsia="Calibri" w:hAnsi="Calibri"/>
        </w:rPr>
        <w:t xml:space="preserve">L'agent Data Archaeologist a analysé les données et produit un rapport complet: identification de 12 relations entre tables, détection de 3.2% de valeurs nulles problématiques, découverte de 23 champs PII nécessitant une protection, et suggéré 15 optimisations d'index.</w:t>
      </w:r>
    </w:p>
    <w:p>
      <w:pPr>
        <w:pStyle w:val="Heading3"/>
      </w:pPr>
      <w:r>
        <w:t xml:space="preserve">Phase 3: Architecture et pipelines (Jours 5-10)</w:t>
      </w:r>
    </w:p>
    <w:p>
      <w:pPr>
        <w:spacing w:after="80"/>
      </w:pPr>
      <w:r>
        <w:rPr>
          <w:rFonts w:ascii="Calibri" w:cs="Calibri" w:eastAsia="Calibri" w:hAnsi="Calibri"/>
        </w:rPr>
        <w:t xml:space="preserve">L'agent Blueprint Designer a proposé une architecture moderne basée sur dbt + Airflow + Snowflake. Ensuite, l'agent Flow Builder a généré 23 modèles dbt (staging, intermediate, marts) et 5 DAGs Airflow pour l'orchestration. Le code généré a été directement déployable.</w:t>
      </w:r>
    </w:p>
    <w:p>
      <w:pPr>
        <w:pStyle w:val="Heading3"/>
      </w:pPr>
      <w:r>
        <w:t xml:space="preserve">Phase 4: Qualité et déploiement (Jours 11-14)</w:t>
      </w:r>
    </w:p>
    <w:p>
      <w:pPr>
        <w:spacing w:after="80"/>
      </w:pPr>
      <w:r>
        <w:rPr>
          <w:rFonts w:ascii="Calibri" w:cs="Calibri" w:eastAsia="Calibri" w:hAnsi="Calibri"/>
        </w:rPr>
        <w:t xml:space="preserve">Configuration de 45 tests de qualité couvrant toutes les tables critiques. Score de qualité initial de 87% après correction des problèmes détectés. Mise en place d'alertes email et Slack pour les tests en échec. Déploiement en production avec monitoring temps réel.</w:t>
      </w:r>
    </w:p>
    <w:p>
      <w:pPr>
        <w:pStyle w:val="Heading2"/>
      </w:pPr>
      <w:r>
        <w:t xml:space="preserve">9.4 Résultats Obtenus</w:t>
      </w:r>
    </w:p>
    <w:p>
      <w:pPr>
        <w:pStyle w:val="ListParagraph"/>
        <w:numPr>
          <w:ilvl w:val="0"/>
          <w:numId w:val="9"/>
        </w:numPr>
      </w:pPr>
      <w:r>
        <w:rPr>
          <w:rFonts w:ascii="Calibri" w:cs="Calibri" w:eastAsia="Calibri" w:hAnsi="Calibri"/>
        </w:rPr>
        <w:t xml:space="preserve">Temps de développement réduit de 6 mois (approche traditionnelle) à 2 semaines</w:t>
      </w:r>
    </w:p>
    <w:p>
      <w:pPr>
        <w:pStyle w:val="ListParagraph"/>
        <w:numPr>
          <w:ilvl w:val="0"/>
          <w:numId w:val="9"/>
        </w:numPr>
      </w:pPr>
      <w:r>
        <w:rPr>
          <w:rFonts w:ascii="Calibri" w:cs="Calibri" w:eastAsia="Calibri" w:hAnsi="Calibri"/>
        </w:rPr>
        <w:t xml:space="preserve">Qualité des données améliorée de 72% à 94% grâce aux tests automatisés</w:t>
      </w:r>
    </w:p>
    <w:p>
      <w:pPr>
        <w:pStyle w:val="ListParagraph"/>
        <w:numPr>
          <w:ilvl w:val="0"/>
          <w:numId w:val="9"/>
        </w:numPr>
      </w:pPr>
      <w:r>
        <w:rPr>
          <w:rFonts w:ascii="Calibri" w:cs="Calibri" w:eastAsia="Calibri" w:hAnsi="Calibri"/>
        </w:rPr>
        <w:t xml:space="preserve">ROI marketing mesuré avec précision: attribution multi-touch opérationnelle</w:t>
      </w:r>
    </w:p>
    <w:p>
      <w:pPr>
        <w:pStyle w:val="ListParagraph"/>
        <w:numPr>
          <w:ilvl w:val="0"/>
          <w:numId w:val="9"/>
        </w:numPr>
      </w:pPr>
      <w:r>
        <w:rPr>
          <w:rFonts w:ascii="Calibri" w:cs="Calibri" w:eastAsia="Calibri" w:hAnsi="Calibri"/>
        </w:rPr>
        <w:t xml:space="preserve">Prédictions de stock fiables à 89% permettant d'optimiser les commandes fournisseurs</w:t>
      </w:r>
    </w:p>
    <w:p>
      <w:pPr>
        <w:pStyle w:val="ListParagraph"/>
        <w:numPr>
          <w:ilvl w:val="0"/>
          <w:numId w:val="9"/>
        </w:numPr>
      </w:pPr>
      <w:r>
        <w:rPr>
          <w:rFonts w:ascii="Calibri" w:cs="Calibri" w:eastAsia="Calibri" w:hAnsi="Calibri"/>
        </w:rPr>
        <w:t xml:space="preserve">Économies estimées de 150K€/an sur les coûts opérationnels</w:t>
      </w:r>
    </w:p>
    <w:p>
      <w:pPr>
        <w:pStyle w:val="Heading1"/>
      </w:pPr>
      <w:r>
        <w:t xml:space="preserve">10. Support et Ressources</w:t>
      </w:r>
    </w:p>
    <w:p>
      <w:pPr>
        <w:spacing w:after="120"/>
      </w:pPr>
      <w:r>
        <w:rPr>
          <w:rFonts w:ascii="Calibri" w:cs="Calibri" w:eastAsia="Calibri" w:hAnsi="Calibri"/>
        </w:rPr>
        <w:t xml:space="preserve">DataSphere Innovation s'engage à accompagner ses clients dans leur transformation data avec un support réactif et des ressources pédagogiques complètes.</w:t>
      </w:r>
    </w:p>
    <w:p>
      <w:pPr>
        <w:pStyle w:val="Heading2"/>
      </w:pPr>
      <w:r>
        <w:t xml:space="preserve">10.1 Canaux de Support</w:t>
      </w:r>
    </w:p>
    <w:p>
      <w:pPr>
        <w:pStyle w:val="ListParagraph"/>
        <w:numPr>
          <w:ilvl w:val="0"/>
          <w:numId w:val="5"/>
        </w:numPr>
      </w:pPr>
      <w:r>
        <w:rPr>
          <w:rFonts w:ascii="Calibri" w:cs="Calibri" w:eastAsia="Calibri" w:hAnsi="Calibri"/>
        </w:rPr>
        <w:t xml:space="preserve">Documentation en ligne: docs.datasphere-innovation.com avec guides et tutoriels</w:t>
      </w:r>
    </w:p>
    <w:p>
      <w:pPr>
        <w:pStyle w:val="ListParagraph"/>
        <w:numPr>
          <w:ilvl w:val="0"/>
          <w:numId w:val="5"/>
        </w:numPr>
      </w:pPr>
      <w:r>
        <w:rPr>
          <w:rFonts w:ascii="Calibri" w:cs="Calibri" w:eastAsia="Calibri" w:hAnsi="Calibri"/>
        </w:rPr>
        <w:t xml:space="preserve">Support email: support@datasphere-innovation.com (réponse sous 24h)</w:t>
      </w:r>
    </w:p>
    <w:p>
      <w:pPr>
        <w:pStyle w:val="ListParagraph"/>
        <w:numPr>
          <w:ilvl w:val="0"/>
          <w:numId w:val="5"/>
        </w:numPr>
      </w:pPr>
      <w:r>
        <w:rPr>
          <w:rFonts w:ascii="Calibri" w:cs="Calibri" w:eastAsia="Calibri" w:hAnsi="Calibri"/>
        </w:rPr>
        <w:t xml:space="preserve">Chat en direct: disponible dans l'application pour les plans Professional et Enterprise</w:t>
      </w:r>
    </w:p>
    <w:p>
      <w:pPr>
        <w:pStyle w:val="ListParagraph"/>
        <w:numPr>
          <w:ilvl w:val="0"/>
          <w:numId w:val="5"/>
        </w:numPr>
      </w:pPr>
      <w:r>
        <w:rPr>
          <w:rFonts w:ascii="Calibri" w:cs="Calibri" w:eastAsia="Calibri" w:hAnsi="Calibri"/>
        </w:rPr>
        <w:t xml:space="preserve">Support téléphonique: ligne dédiée pour les clients Enterprise</w:t>
      </w:r>
    </w:p>
    <w:p>
      <w:pPr>
        <w:spacing w:before="400"/>
        <w:jc w:val="center"/>
      </w:pPr>
      <w:r>
        <w:rPr>
          <w:color w:val="64748B"/>
          <w:sz w:val="24"/>
          <w:szCs w:val="24"/>
        </w:rPr>
        <w:t xml:space="preserve">— — —</w:t>
      </w:r>
    </w:p>
    <w:p>
      <w:pPr>
        <w:spacing w:before="200"/>
        <w:jc w:val="center"/>
      </w:pPr>
      <w:r>
        <w:rPr>
          <w:b/>
          <w:bCs/>
          <w:color w:val="7c3aed"/>
          <w:sz w:val="24"/>
          <w:szCs w:val="24"/>
        </w:rPr>
        <w:t xml:space="preserve">DataSphere Innovation</w:t>
      </w:r>
    </w:p>
    <w:p>
      <w:pPr>
        <w:jc w:val="center"/>
      </w:pPr>
      <w:r>
        <w:rPr>
          <w:i/>
          <w:iCs/>
          <w:color w:val="64748B"/>
          <w:sz w:val="20"/>
          <w:szCs w:val="20"/>
        </w:rPr>
        <w:t xml:space="preserve">Transformez vos données avec l'intelligence artificielle</w:t>
      </w:r>
    </w:p>
    <w:p>
      <w:pPr>
        <w:jc w:val="center"/>
      </w:pPr>
      <w:r>
        <w:rPr>
          <w:color w:val="1E293B"/>
          <w:sz w:val="20"/>
          <w:szCs w:val="20"/>
        </w:rPr>
        <w:t xml:space="preserve">www.datasphere-innovation.com</w:t>
      </w:r>
    </w:p>
    <w:sectPr>
      <w:headerReference w:type="default" r:id="rId9"/>
      <w:footerReference w:type="default" r:id="rId10"/>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DataSphere Innovation - Formation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DataSphere Innovation - Guide de 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2026-03-18T18:46:14.671Z</dcterms:created>
  <dcterms:modified xsi:type="dcterms:W3CDTF">2026-03-18T18:46:14.671Z</dcterms:modified>
</cp:coreProperties>
</file>

<file path=docProps/custom.xml><?xml version="1.0" encoding="utf-8"?>
<Properties xmlns="http://schemas.openxmlformats.org/officeDocument/2006/custom-properties" xmlns:vt="http://schemas.openxmlformats.org/officeDocument/2006/docPropsVTypes"/>
</file>